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Tax year 2024 — client summary (synthetic).</w:t>
      </w:r>
    </w:p>
    <w:p>
      <w:r>
        <w:t>Taxpayer: Avery Diaz (synthetic)</w:t>
      </w:r>
    </w:p>
    <w:p>
      <w:r>
        <w:t>Filing status: single</w:t>
      </w:r>
    </w:p>
    <w:p>
      <w:r>
        <w:t>Residence: Houston, TX 77002</w:t>
      </w:r>
    </w:p>
    <w:p>
      <w:r>
        <w:t>Questionnaire alignment: wages reported 59031; itemized elected False; SE income flag False; retirement distributions flag False; complexity 'medium'.</w:t>
      </w:r>
    </w:p>
    <w:p>
      <w:r>
        <w:t>AGI (reconciled): 67699; taxable income: 53099; total federal tax: 6735; withholding: 11270.</w:t>
      </w:r>
    </w:p>
    <w:p>
      <w:r>
        <w:t>This document is generated for training and testing only. Not for filing.</w:t>
      </w:r>
    </w:p>
  </w:body>
</w:document>
</file>

<file path=word/_rels/document.xml.rels><?xml version="1.0" encoding="UTF-8" standalone="yes"?>
<Relationships xmlns="http://schemas.openxmlformats.org/package/2006/relationships"/>

</file>