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2024 — client summary (synthetic).</w:t>
      </w:r>
    </w:p>
    <w:p>
      <w:r>
        <w:t>Taxpayer: Skyler Mercer (synthetic)</w:t>
      </w:r>
    </w:p>
    <w:p>
      <w:r>
        <w:t>Filing status: single</w:t>
      </w:r>
    </w:p>
    <w:p>
      <w:r>
        <w:t>Residence: Houston, TX 77002</w:t>
      </w:r>
    </w:p>
    <w:p>
      <w:r>
        <w:t>Questionnaire alignment: wages reported 76643; itemized elected False; SE income flag False; retirement distributions flag False; complexity 'moderately_complex'.</w:t>
      </w:r>
    </w:p>
    <w:p>
      <w:r>
        <w:t>AGI (reconciled): 80401; taxable income: 65801; total federal tax: 9529; withholding: 15425.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