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year 2024 — client summary (synthetic).</w:t>
      </w:r>
    </w:p>
    <w:p>
      <w:r>
        <w:t>Taxpayer: Avery Foster (synthetic)</w:t>
      </w:r>
    </w:p>
    <w:p>
      <w:r>
        <w:t>Filing status: head of household</w:t>
      </w:r>
    </w:p>
    <w:p>
      <w:r>
        <w:t>Residence: Fresno, CA 93721</w:t>
      </w:r>
    </w:p>
    <w:p>
      <w:r>
        <w:t>Questionnaire alignment: wages reported 136275; itemized elected False; SE income flag False; retirement distributions flag False; complexity 'medium'.</w:t>
      </w:r>
    </w:p>
    <w:p>
      <w:r>
        <w:t>AGI (reconciled): 139463; taxable income: 117563; total federal tax: 18603; withholding: 25807.</w:t>
      </w:r>
    </w:p>
    <w:p>
      <w:r>
        <w:t>This document is generated for training and testing only. Not for filing.</w:t>
      </w:r>
    </w:p>
  </w:body>
</w:document>
</file>

<file path=word/_rels/document.xml.rels><?xml version="1.0" encoding="UTF-8" standalone="yes"?>
<Relationships xmlns="http://schemas.openxmlformats.org/package/2006/relationships"/>

</file>