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139463; taxable income: 117563</w:t>
      </w:r>
    </w:p>
    <w:p>
      <w:r>
        <w:t>Federal tax: 18603; withholding: 25807; state tax: 7670</w:t>
      </w:r>
    </w:p>
    <w:p>
      <w:r>
        <w:t>Effective federal rate (synthetic): 0.1334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