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Tax year 2022 — client summary (synthetic).</w:t>
      </w:r>
    </w:p>
    <w:p>
      <w:r>
        <w:t>Taxpayer: Parker Navarro (synthetic)</w:t>
      </w:r>
    </w:p>
    <w:p>
      <w:r>
        <w:t>Filing status: married filing jointly</w:t>
      </w:r>
    </w:p>
    <w:p>
      <w:r>
        <w:t>Residence: Houston, TX 77002</w:t>
      </w:r>
    </w:p>
    <w:p>
      <w:r>
        <w:t>Questionnaire alignment: wages reported 99741; itemized elected False; SE income flag False; retirement distributions flag True; complexity 'medium'.</w:t>
      </w:r>
    </w:p>
    <w:p>
      <w:r>
        <w:t>AGI (reconciled): 147970; taxable income: 122070; total federal tax: 19490; withholding: 10006.</w:t>
      </w:r>
    </w:p>
    <w:p>
      <w:r>
        <w:t>This document is generated for training and testing only. Not for filing.</w:t>
      </w:r>
    </w:p>
  </w:body>
</w:document>
</file>

<file path=word/_rels/document.xml.rels><?xml version="1.0" encoding="UTF-8" standalone="yes"?>
<Relationships xmlns="http://schemas.openxmlformats.org/package/2006/relationships"/>

</file>