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137298; taxable income: 116498</w:t>
      </w:r>
    </w:p>
    <w:p>
      <w:r>
        <w:t>Federal tax: 18426; withholding: 20665; state tax: 6796</w:t>
      </w:r>
    </w:p>
    <w:p>
      <w:r>
        <w:t>Effective federal rate (synthetic): 0.1342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