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Tax year 2022 — client summary (synthetic).</w:t>
      </w:r>
    </w:p>
    <w:p>
      <w:r>
        <w:t>Taxpayer: Jordan Keller (synthetic)</w:t>
      </w:r>
    </w:p>
    <w:p>
      <w:r>
        <w:t>Filing status: single</w:t>
      </w:r>
    </w:p>
    <w:p>
      <w:r>
        <w:t>Residence: Tampa, FL 33602</w:t>
      </w:r>
    </w:p>
    <w:p>
      <w:r>
        <w:t>Questionnaire alignment: wages reported 159650; itemized elected True; SE income flag True; retirement distributions flag True; complexity 'moderately_complex'.</w:t>
      </w:r>
    </w:p>
    <w:p>
      <w:r>
        <w:t>AGI (reconciled): 224203; taxable income: 211253; total federal tax: 39859; withholding: 18980.</w:t>
      </w:r>
    </w:p>
    <w:p>
      <w:r>
        <w:t>This document is generated for training and testing only. Not for filing.</w:t>
      </w:r>
    </w:p>
  </w:body>
</w:document>
</file>

<file path=word/_rels/document.xml.rels><?xml version="1.0" encoding="UTF-8" standalone="yes"?>
<Relationships xmlns="http://schemas.openxmlformats.org/package/2006/relationships"/>

</file>