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224203; taxable income: 211253</w:t>
      </w:r>
    </w:p>
    <w:p>
      <w:r>
        <w:t>Federal tax: 39859; withholding: 18980; state tax: 0</w:t>
      </w:r>
    </w:p>
    <w:p>
      <w:r>
        <w:t>Effective federal rate (synthetic): 0.1778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