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2025 — client summary (synthetic).</w:t>
      </w:r>
    </w:p>
    <w:p>
      <w:r>
        <w:t>Taxpayer: Avery Navarro (synthetic)</w:t>
      </w:r>
    </w:p>
    <w:p>
      <w:r>
        <w:t>Filing status: head of household</w:t>
      </w:r>
    </w:p>
    <w:p>
      <w:r>
        <w:t>Residence: Houston, TX 77002</w:t>
      </w:r>
    </w:p>
    <w:p>
      <w:r>
        <w:t>Questionnaire alignment: wages reported 164276; itemized elected False; SE income flag False; retirement distributions flag True; complexity 'moderately_complex'.</w:t>
      </w:r>
    </w:p>
    <w:p>
      <w:r>
        <w:t>AGI (reconciled): 180200; taxable income: 157700; total federal tax: 30108; withholding: 17714.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