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Tax year 2025 — client summary (synthetic).</w:t>
      </w:r>
    </w:p>
    <w:p>
      <w:r>
        <w:t>Taxpayer: Quinn Jennings (synthetic)</w:t>
      </w:r>
    </w:p>
    <w:p>
      <w:r>
        <w:t>Filing status: married filing jointly</w:t>
      </w:r>
    </w:p>
    <w:p>
      <w:r>
        <w:t>Residence: Houston, TX 77002</w:t>
      </w:r>
    </w:p>
    <w:p>
      <w:r>
        <w:t>Questionnaire alignment: wages reported 158608; itemized elected False; SE income flag True; retirement distributions flag False; complexity 'moderately_complex'.</w:t>
      </w:r>
    </w:p>
    <w:p>
      <w:r>
        <w:t>AGI (reconciled): 194371; taxable income: 164371; total federal tax: 26491; withholding: 15827.</w:t>
      </w:r>
    </w:p>
    <w:p>
      <w:r>
        <w:t>This document is generated for training and testing only. Not for filing.</w:t>
      </w:r>
    </w:p>
  </w:body>
</w:document>
</file>

<file path=word/_rels/document.xml.rels><?xml version="1.0" encoding="UTF-8" standalone="yes"?>
<Relationships xmlns="http://schemas.openxmlformats.org/package/2006/relationships"/>

</file>