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116874; taxable income: 102274</w:t>
      </w:r>
    </w:p>
    <w:p>
      <w:r>
        <w:t>Federal tax: 15588; withholding: 9452; state tax: 6428</w:t>
      </w:r>
    </w:p>
    <w:p>
      <w:r>
        <w:t>Effective federal rate (synthetic): 0.1334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