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2021 — client summary (synthetic).</w:t>
      </w:r>
    </w:p>
    <w:p>
      <w:r>
        <w:t>Taxpayer: Parker Foster (synthetic)</w:t>
      </w:r>
    </w:p>
    <w:p>
      <w:r>
        <w:t>Filing status: single</w:t>
      </w:r>
    </w:p>
    <w:p>
      <w:r>
        <w:t>Residence: Orlando, FL 32801</w:t>
      </w:r>
    </w:p>
    <w:p>
      <w:r>
        <w:t>Questionnaire alignment: wages reported 63411; itemized elected False; SE income flag False; retirement distributions flag False; complexity 'medium'.</w:t>
      </w:r>
    </w:p>
    <w:p>
      <w:r>
        <w:t>AGI (reconciled): 63411; taxable income: 50861; total federal tax: 2242; withholding: 11305.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