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Tax year 2023 — client summary (synthetic).</w:t>
      </w:r>
    </w:p>
    <w:p>
      <w:r>
        <w:t>Taxpayer: River Okoro (synthetic)</w:t>
      </w:r>
    </w:p>
    <w:p>
      <w:r>
        <w:t>Filing status: single</w:t>
      </w:r>
    </w:p>
    <w:p>
      <w:r>
        <w:t>Residence: Austin, TX 78701</w:t>
      </w:r>
    </w:p>
    <w:p>
      <w:r>
        <w:t>Questionnaire alignment: wages reported 80409; itemized elected False; SE income flag False; retirement distributions flag False; complexity 'medium'.</w:t>
      </w:r>
    </w:p>
    <w:p>
      <w:r>
        <w:t>AGI (reconciled): 91791; taxable income: 77941; total federal tax: 11225; withholding: 15342.</w:t>
      </w:r>
    </w:p>
    <w:p>
      <w:r>
        <w:t>This document is generated for training and testing only. Not for filing.</w:t>
      </w:r>
    </w:p>
  </w:body>
</w:document>
</file>

<file path=word/_rels/document.xml.rels><?xml version="1.0" encoding="UTF-8" standalone="yes"?>
<Relationships xmlns="http://schemas.openxmlformats.org/package/2006/relationships"/>

</file>