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Tax Return Data — Prompt companion (synthetic).</w:t>
      </w:r>
    </w:p>
    <w:p>
      <w:r>
        <w:t>Tax year 2025.</w:t>
      </w:r>
    </w:p>
    <w:p>
      <w:r>
        <w:t>Machine-readable intake: see Tax Return Data - Prompt.xml in this folder.</w:t>
      </w:r>
    </w:p>
    <w:p>
      <w:r>
        <w:t>XML uses a MeF-shaped subset populated from the same SyntheticTaxCase as all other artifacts.</w:t>
      </w:r>
    </w:p>
    <w:p>
      <w:r>
        <w:t>Omissions vs a full IRS e-file package are listed under TaxWeaveAtlasCoverage (sibling of ReturnData) in the XML.</w:t>
      </w:r>
    </w:p>
    <w:p>
      <w:r>
        <w:t>Not a submission to any tax authority.</w:t>
      </w:r>
    </w:p>
  </w:body>
</w:document>
</file>

<file path=word/_rels/document.xml.rels><?xml version="1.0" encoding="UTF-8" standalone="yes"?>
<Relationships xmlns="http://schemas.openxmlformats.org/package/2006/relationships"/>

</file>