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181626; taxable income: 144576</w:t>
      </w:r>
    </w:p>
    <w:p>
      <w:r>
        <w:t>Federal tax: 21597; withholding: 36352; state tax: 9989</w:t>
      </w:r>
    </w:p>
    <w:p>
      <w:r>
        <w:t>Effective federal rate (synthetic): 0.1189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