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2023 — client summary (synthetic).</w:t>
      </w:r>
    </w:p>
    <w:p>
      <w:r>
        <w:t>Taxpayer: Reese Jennings (synthetic)</w:t>
      </w:r>
    </w:p>
    <w:p>
      <w:r>
        <w:t>Filing status: married filing jointly</w:t>
      </w:r>
    </w:p>
    <w:p>
      <w:r>
        <w:t>Residence: Orlando, FL 32801</w:t>
      </w:r>
    </w:p>
    <w:p>
      <w:r>
        <w:t>Questionnaire alignment: wages reported 86877; itemized elected False; SE income flag False; retirement distributions flag False; complexity 'moderately_complex'.</w:t>
      </w:r>
    </w:p>
    <w:p>
      <w:r>
        <w:t>AGI (reconciled): 106013; taxable income: 78313; total federal tax: 4359; withholding: 9129.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