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Segoe UI" w:hAnsi="Segoe UI"/>
          <w:b/>
          <w:color w:val="4F46E5"/>
          <w:sz w:val="44"/>
        </w:rPr>
        <w:t>🚀 Future Scope &amp; Scalability Roadmap</w:t>
      </w:r>
    </w:p>
    <w:p>
      <w:pPr>
        <w:spacing w:after="480"/>
        <w:jc w:val="center"/>
      </w:pPr>
      <w:r>
        <w:rPr>
          <w:i/>
          <w:color w:val="64748B"/>
          <w:sz w:val="24"/>
        </w:rPr>
        <w:t>Scalability Vectors, Kernel Integration, and Distributed System Horizons</w:t>
      </w:r>
    </w:p>
    <w:p>
      <w:pPr>
        <w:spacing w:after="480"/>
        <w:jc w:val="center"/>
      </w:pPr>
      <w:r>
        <w:rPr>
          <w:color w:val="E2E8F0"/>
        </w:rPr>
        <w:t>────────────────────────────────────────────────────────────</w:t>
      </w:r>
    </w:p>
    <w:p>
      <w:pPr>
        <w:pStyle w:val="Heading1"/>
        <w:keepNext/>
        <w:spacing w:before="400" w:after="160"/>
      </w:pPr>
      <w:r>
        <w:rPr>
          <w:rFonts w:ascii="Segoe UI" w:hAnsi="Segoe UI"/>
          <w:b/>
          <w:color w:val="4F46E5"/>
          <w:sz w:val="36"/>
        </w:rPr>
        <w:t>1. Thermal &amp; Energy-Aware Scheduling (DVFS)</w:t>
      </w:r>
    </w:p>
    <w:p>
      <w:r>
        <w:t>Modern microprocessors (such as Intel's Thread Director or ARM's big.LITTLE architectures) do not schedule purely for execution speed. They must also account for thermal constraints and minimize overall energy consumption to prevent core throttling.</w:t>
      </w:r>
    </w:p>
    <w:p>
      <w:r>
        <w:rPr>
          <w:b/>
        </w:rPr>
        <w:t>Implementation Pathway:</w:t>
      </w:r>
    </w:p>
    <w:p>
      <w:r>
        <w:t>• Integrate a Dynamic Voltage &amp; Frequency Scaling (DVFS) model where core power consumption scales with voltage and frequency.</w:t>
      </w:r>
    </w:p>
    <w:p>
      <w:r>
        <w:t>• Incorporate an energy penalty into the RL reward function: Reward = ... - (λ * Power Consumption in Watts).</w:t>
      </w:r>
    </w:p>
    <w:p>
      <w:r>
        <w:t>• This teaches the model to power down idle cores or schedule background processes on high-efficiency cores.</w:t>
      </w:r>
    </w:p>
    <w:p>
      <w:pPr>
        <w:pStyle w:val="Heading1"/>
        <w:keepNext/>
        <w:spacing w:before="400" w:after="160"/>
      </w:pPr>
      <w:r>
        <w:rPr>
          <w:rFonts w:ascii="Segoe UI" w:hAnsi="Segoe UI"/>
          <w:b/>
          <w:color w:val="4F46E5"/>
          <w:sz w:val="36"/>
        </w:rPr>
        <w:t>2. Graph Neural Networks (GNNs) for Variable Queue Sizing</w:t>
      </w:r>
    </w:p>
    <w:p>
      <w:r>
        <w:t>The current implementation uses a flattened, fixed-size observation vector (252 dimensions) supporting up to 50 ready queue process slots. In production operating systems handling thousands of concurrent threads, simple vector padding becomes memory-inefficient and fails to generalize.</w:t>
      </w:r>
    </w:p>
    <w:p>
      <w:r>
        <w:rPr>
          <w:b/>
        </w:rPr>
        <w:t>Implementation Pathway:</w:t>
      </w:r>
    </w:p>
    <w:p>
      <w:r>
        <w:t>• Represent ready queues as a graph, where each process represents a node, and dependencies (mutex locks, parent-child structures) represent edges.</w:t>
      </w:r>
    </w:p>
    <w:p>
      <w:r>
        <w:t>• Replace the default Multi-Layer Perceptron (MLP) neural net layers in SB3 PPO with a Graph Convolutional Network (GCN) or Attention Transformer.</w:t>
      </w:r>
    </w:p>
    <w:p>
      <w:r>
        <w:t>• Allows processing variable-sized ready queues without padding, achieving linear scalability.</w:t>
      </w:r>
    </w:p>
    <w:p>
      <w:pPr>
        <w:pStyle w:val="Heading1"/>
        <w:keepNext/>
        <w:spacing w:before="400" w:after="160"/>
      </w:pPr>
      <w:r>
        <w:rPr>
          <w:rFonts w:ascii="Segoe UI" w:hAnsi="Segoe UI"/>
          <w:b/>
          <w:color w:val="4F46E5"/>
          <w:sz w:val="36"/>
        </w:rPr>
        <w:t>3. Cluster &amp; Distributed Systems Scaling (Kubernetes)</w:t>
      </w:r>
    </w:p>
    <w:p>
      <w:r>
        <w:t>Scale the scheduling logic from a single-machine multi-core CPU to scheduling container workloads across a cluster of thousands of physical server nodes (similar to the Kubernetes scheduler).</w:t>
      </w:r>
    </w:p>
    <w:p>
      <w:r>
        <w:rPr>
          <w:b/>
        </w:rPr>
        <w:t>Implementation Pathway:</w:t>
      </w:r>
    </w:p>
    <w:p>
      <w:r>
        <w:t>• Expand the observation space state vector to capture memory, disk I/O, bandwidth capacity, and network latencies.</w:t>
      </w:r>
    </w:p>
    <w:p>
      <w:r>
        <w:t>• Penalize network latency during task transitions to prevent container execution on nodes distant from their databases.</w:t>
      </w:r>
    </w:p>
    <w:p>
      <w:pPr>
        <w:pStyle w:val="Heading1"/>
        <w:keepNext/>
        <w:spacing w:before="400" w:after="160"/>
      </w:pPr>
      <w:r>
        <w:rPr>
          <w:rFonts w:ascii="Segoe UI" w:hAnsi="Segoe UI"/>
          <w:b/>
          <w:color w:val="4F46E5"/>
          <w:sz w:val="36"/>
        </w:rPr>
        <w:t>4. Hierarchical Reinforcement Learning (HRL)</w:t>
      </w:r>
    </w:p>
    <w:p>
      <w:r>
        <w:t>Scheduling thousands of threads at the microsecond level is computationally too demanding for a single monolithic neural network.</w:t>
      </w:r>
    </w:p>
    <w:p>
      <w:r>
        <w:rPr>
          <w:b/>
        </w:rPr>
        <w:t>Implementation Pathway:</w:t>
      </w:r>
    </w:p>
    <w:p>
      <w:r>
        <w:t>• Macro-Scheduler: A high-level neural network runs at a slower interval (e.g. every 10ms) and dynamically distributes tasks across core groups.</w:t>
      </w:r>
    </w:p>
    <w:p>
      <w:r>
        <w:t>• Micro-Scheduler: Simple, low-overhead local schedulers run on each core to select active execution threads in microseconds.</w:t>
      </w:r>
    </w:p>
    <w:p>
      <w:pPr>
        <w:pStyle w:val="Heading1"/>
        <w:keepNext/>
        <w:spacing w:before="400" w:after="160"/>
      </w:pPr>
      <w:r>
        <w:rPr>
          <w:rFonts w:ascii="Segoe UI" w:hAnsi="Segoe UI"/>
          <w:b/>
          <w:color w:val="4F46E5"/>
          <w:sz w:val="36"/>
        </w:rPr>
        <w:t>5. Linux Kernel Integration via eBPF</w:t>
      </w:r>
    </w:p>
    <w:p>
      <w:r>
        <w:t>The ultimate production pathway involves deploying the trained PPO scheduler model directly inside a real operating system kernel (like Linux) to replace the Completely Fair Scheduler (CFS).</w:t>
      </w:r>
    </w:p>
    <w:p>
      <w:r>
        <w:rPr>
          <w:b/>
        </w:rPr>
        <w:t>Implementation Pathway:</w:t>
      </w:r>
    </w:p>
    <w:p>
      <w:r>
        <w:t>• Write sandboxed eBPF (Extended Berkeley Packet Filter) C programs that hook directly into OS tracepoints (e.g. sched_switch).</w:t>
      </w:r>
    </w:p>
    <w:p>
      <w:r>
        <w:t>• Export the trained PyTorch PPO model into highly optimized C matrix code using ONNX compilation.</w:t>
      </w:r>
    </w:p>
    <w:p>
      <w:r>
        <w:t>• Execute local model predictions inside kernel-space using eBPF maps, enabling microsecond process dispatching.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