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Computer Science &amp; Engineering</w:t>
      </w:r>
    </w:p>
    <w:p>
      <w:pPr>
        <w:pStyle w:val="Heading2"/>
      </w:pPr>
      <w:r>
        <w:t>Course Syllabus: CS101 - Data Structures and Algorithms</w:t>
      </w:r>
    </w:p>
    <w:p>
      <w:r>
        <w:t>Academic Year: 2024-2025 | Course Credits: 4 (3 Lectures + 2 Lab Hours/Week)</w:t>
      </w:r>
    </w:p>
    <w:p>
      <w:r>
        <w:t>Course Instructor: Dr. Rajesh Kumar (Email: rkumar@university.edu | Office: CS-302)</w:t>
      </w:r>
    </w:p>
    <w:p>
      <w:pPr>
        <w:pStyle w:val="Heading3"/>
      </w:pPr>
      <w:r>
        <w:t>1. Course Description &amp; Learning Objectives</w:t>
      </w:r>
    </w:p>
    <w:p>
      <w:r>
        <w:t>This course covers fundamental data structures, algorithm design principles, and computational complexity. Students will master arrays, linked lists, stacks, queues, binary search trees, AVL trees, heaps, hashing techniques, and graph algorithms including Dijkstra's algorithm and Prim's algorithm.</w:t>
      </w:r>
    </w:p>
    <w:p>
      <w:pPr>
        <w:pStyle w:val="Heading3"/>
      </w:pPr>
      <w:r>
        <w:t>2. Recommended Textbooks and References</w:t>
      </w:r>
    </w:p>
    <w:p>
      <w:r>
        <w:t>• Primary Textbook: 'Introduction to Algorithms' by Thomas H. Cormen, Charles E. Leiserson, Ronald L. Rivest, and Clifford Stein (MIT Press, 4th Edition).</w:t>
        <w:br/>
        <w:t>• Reference 1: 'Data Structures and Algorithm Analysis in C++' by Mark Allen Weiss (Pearson, 4th Edition).</w:t>
        <w:br/>
        <w:t>• Reference 2: 'Algorithms' by Robert Sedgewick and Kevin Wayne (Addison-Wesley Professional).</w:t>
      </w:r>
    </w:p>
    <w:p>
      <w:pPr>
        <w:pStyle w:val="Heading3"/>
      </w:pPr>
      <w:r>
        <w:t>3. Evaluation Weightage and Grading Policy</w:t>
      </w:r>
    </w:p>
    <w:tbl>
      <w:tblPr>
        <w:tblW w:type="auto" w:w="0"/>
        <w:tblLook w:firstColumn="1" w:firstRow="1" w:lastColumn="0" w:lastRow="0" w:noHBand="0" w:noVBand="1" w:val="04A0"/>
      </w:tblPr>
      <w:tblGrid>
        <w:gridCol w:w="2880"/>
        <w:gridCol w:w="2880"/>
        <w:gridCol w:w="2880"/>
      </w:tblGrid>
      <w:tr>
        <w:tc>
          <w:tcPr>
            <w:tcW w:type="dxa" w:w="2880"/>
          </w:tcPr>
          <w:p>
            <w:r>
              <w:t>Assessment Component</w:t>
            </w:r>
          </w:p>
        </w:tc>
        <w:tc>
          <w:tcPr>
            <w:tcW w:type="dxa" w:w="2880"/>
          </w:tcPr>
          <w:p>
            <w:r>
              <w:t>Weightage (%)</w:t>
            </w:r>
          </w:p>
        </w:tc>
        <w:tc>
          <w:tcPr>
            <w:tcW w:type="dxa" w:w="2880"/>
          </w:tcPr>
          <w:p>
            <w:r>
              <w:t>Schedule</w:t>
            </w:r>
          </w:p>
        </w:tc>
      </w:tr>
      <w:tr>
        <w:tc>
          <w:tcPr>
            <w:tcW w:type="dxa" w:w="2880"/>
          </w:tcPr>
          <w:p>
            <w:r>
              <w:t>Continuous Internal Assessments (2 Quizzes)</w:t>
            </w:r>
          </w:p>
        </w:tc>
        <w:tc>
          <w:tcPr>
            <w:tcW w:type="dxa" w:w="2880"/>
          </w:tcPr>
          <w:p>
            <w:r>
              <w:t>15%</w:t>
            </w:r>
          </w:p>
        </w:tc>
        <w:tc>
          <w:tcPr>
            <w:tcW w:type="dxa" w:w="2880"/>
          </w:tcPr>
          <w:p>
            <w:r>
              <w:t>Week 4 and Week 9</w:t>
            </w:r>
          </w:p>
        </w:tc>
      </w:tr>
      <w:tr>
        <w:tc>
          <w:tcPr>
            <w:tcW w:type="dxa" w:w="2880"/>
          </w:tcPr>
          <w:p>
            <w:r>
              <w:t>Mid-Semester Written Examination</w:t>
            </w:r>
          </w:p>
        </w:tc>
        <w:tc>
          <w:tcPr>
            <w:tcW w:type="dxa" w:w="2880"/>
          </w:tcPr>
          <w:p>
            <w:r>
              <w:t>25%</w:t>
            </w:r>
          </w:p>
        </w:tc>
        <w:tc>
          <w:tcPr>
            <w:tcW w:type="dxa" w:w="2880"/>
          </w:tcPr>
          <w:p>
            <w:r>
              <w:t>Week 8</w:t>
            </w:r>
          </w:p>
        </w:tc>
      </w:tr>
      <w:tr>
        <w:tc>
          <w:tcPr>
            <w:tcW w:type="dxa" w:w="2880"/>
          </w:tcPr>
          <w:p>
            <w:r>
              <w:t>Weekly Hands-on Programming Labs</w:t>
            </w:r>
          </w:p>
        </w:tc>
        <w:tc>
          <w:tcPr>
            <w:tcW w:type="dxa" w:w="2880"/>
          </w:tcPr>
          <w:p>
            <w:r>
              <w:t>20%</w:t>
            </w:r>
          </w:p>
        </w:tc>
        <w:tc>
          <w:tcPr>
            <w:tcW w:type="dxa" w:w="2880"/>
          </w:tcPr>
          <w:p>
            <w:r>
              <w:t>Continuous evaluation</w:t>
            </w:r>
          </w:p>
        </w:tc>
      </w:tr>
      <w:tr>
        <w:tc>
          <w:tcPr>
            <w:tcW w:type="dxa" w:w="2880"/>
          </w:tcPr>
          <w:p>
            <w:r>
              <w:t>Final Capstone Algorithm Project</w:t>
            </w:r>
          </w:p>
        </w:tc>
        <w:tc>
          <w:tcPr>
            <w:tcW w:type="dxa" w:w="2880"/>
          </w:tcPr>
          <w:p>
            <w:r>
              <w:t>10%</w:t>
            </w:r>
          </w:p>
        </w:tc>
        <w:tc>
          <w:tcPr>
            <w:tcW w:type="dxa" w:w="2880"/>
          </w:tcPr>
          <w:p>
            <w:r>
              <w:t>Submission Week 14</w:t>
            </w:r>
          </w:p>
        </w:tc>
      </w:tr>
      <w:tr>
        <w:tc>
          <w:tcPr>
            <w:tcW w:type="dxa" w:w="2880"/>
          </w:tcPr>
          <w:p>
            <w:r>
              <w:t>End-Semester Final Examination</w:t>
            </w:r>
          </w:p>
        </w:tc>
        <w:tc>
          <w:tcPr>
            <w:tcW w:type="dxa" w:w="2880"/>
          </w:tcPr>
          <w:p>
            <w:r>
              <w:t>30%</w:t>
            </w:r>
          </w:p>
        </w:tc>
        <w:tc>
          <w:tcPr>
            <w:tcW w:type="dxa" w:w="2880"/>
          </w:tcPr>
          <w:p>
            <w:r>
              <w:t>Week 16</w:t>
            </w:r>
          </w:p>
        </w:tc>
      </w:tr>
    </w:tbl>
    <w:p>
      <w:pPr>
        <w:pStyle w:val="Heading3"/>
      </w:pPr>
      <w:r>
        <w:t>4. Late Submission Policy</w:t>
      </w:r>
    </w:p>
    <w:p>
      <w:r>
        <w:t>Programming assignments submitted after the deadline will incur a 10% penalty per day up to a maximum of 3 days. No assignments will be accepted 72 hours beyond the posted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