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r>
    </w:p>
    <w:p w:rsidR="00000000" w:rsidDel="00000000" w:rsidP="00000000" w:rsidRDefault="00000000" w:rsidRPr="00000000" w14:paraId="00000002">
      <w:pPr>
        <w:pStyle w:val="Title"/>
        <w:jc w:val="center"/>
        <w:rPr/>
      </w:pPr>
      <w:r w:rsidDel="00000000" w:rsidR="00000000" w:rsidRPr="00000000">
        <w:rPr>
          <w:rtl w:val="0"/>
        </w:rPr>
        <w:t xml:space="preserve">Cortexa</w:t>
      </w:r>
    </w:p>
    <w:p w:rsidR="00000000" w:rsidDel="00000000" w:rsidP="00000000" w:rsidRDefault="00000000" w:rsidRPr="00000000" w14:paraId="00000003">
      <w:pPr>
        <w:jc w:val="center"/>
        <w:rPr/>
      </w:pPr>
      <w:r w:rsidDel="00000000" w:rsidR="00000000" w:rsidRPr="00000000">
        <w:rPr>
          <w:b w:val="1"/>
          <w:bCs w:val="1"/>
          <w:color w:val="2e75b6"/>
          <w:sz w:val="32"/>
          <w:szCs w:val="32"/>
          <w:rtl w:val="0"/>
        </w:rPr>
        <w:t xml:space="preserve">Client Integration Issues and Resolution Guide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646464"/>
          <w:sz w:val="22"/>
          <w:szCs w:val="22"/>
          <w:rtl w:val="0"/>
        </w:rPr>
        <w:t xml:space="preserve">Submission-ready reference document for client-facing integration support and issue resolution</w:t>
      </w:r>
      <w:r w:rsidDel="00000000" w:rsidR="00000000" w:rsidRPr="00000000">
        <w:rPr>
          <w:rtl w:val="0"/>
        </w:rPr>
      </w:r>
    </w:p>
    <w:tbl>
      <w:tblPr>
        <w:tblStyle w:val="Table1"/>
        <w:tblW w:w="8928.0" w:type="dxa"/>
        <w:jc w:val="center"/>
        <w:tblLayout w:type="fixed"/>
        <w:tblLook w:val="0400"/>
      </w:tblPr>
      <w:tblGrid>
        <w:gridCol w:w="2880"/>
        <w:gridCol w:w="6048"/>
        <w:tblGridChange w:id="0">
          <w:tblGrid>
            <w:gridCol w:w="2880"/>
            <w:gridCol w:w="6048"/>
          </w:tblGrid>
        </w:tblGridChange>
      </w:tblGrid>
      <w:tr>
        <w:trPr>
          <w:cantSplit w:val="0"/>
          <w:tblHeader w:val="0"/>
        </w:trPr>
        <w:tc>
          <w:tcPr>
            <w:shd w:fill="d9eaf7" w:val="clear"/>
            <w:tcMar>
              <w:top w:w="90.0" w:type="dxa"/>
              <w:bottom w:w="90.0" w:type="dxa"/>
            </w:tcMar>
            <w:vAlign w:val="center"/>
          </w:tcPr>
          <w:p w:rsidR="00000000" w:rsidDel="00000000" w:rsidP="00000000" w:rsidRDefault="00000000" w:rsidRPr="00000000" w14:paraId="00000005">
            <w:pPr>
              <w:rPr/>
            </w:pPr>
            <w:r w:rsidDel="00000000" w:rsidR="00000000" w:rsidRPr="00000000">
              <w:rPr>
                <w:b w:val="1"/>
                <w:bCs w:val="1"/>
                <w:rtl w:val="0"/>
              </w:rPr>
              <w:t xml:space="preserve">Product</w:t>
            </w:r>
            <w:r w:rsidDel="00000000" w:rsidR="00000000" w:rsidRPr="00000000">
              <w:rPr>
                <w:rtl w:val="0"/>
              </w:rPr>
            </w:r>
          </w:p>
        </w:tc>
        <w:tc>
          <w:tcPr>
            <w:shd w:fill="f8fbfe" w:val="clear"/>
            <w:tcMar>
              <w:top w:w="90.0" w:type="dxa"/>
              <w:bottom w:w="90.0" w:type="dxa"/>
            </w:tcMar>
            <w:vAlign w:val="center"/>
          </w:tcPr>
          <w:p w:rsidR="00000000" w:rsidDel="00000000" w:rsidP="00000000" w:rsidRDefault="00000000" w:rsidRPr="00000000" w14:paraId="00000006">
            <w:pPr>
              <w:rPr/>
            </w:pPr>
            <w:r w:rsidDel="00000000" w:rsidR="00000000" w:rsidRPr="00000000">
              <w:rPr>
                <w:rtl w:val="0"/>
              </w:rPr>
              <w:t xml:space="preserve">Cortexa</w:t>
            </w:r>
          </w:p>
        </w:tc>
      </w:tr>
      <w:tr>
        <w:trPr>
          <w:cantSplit w:val="0"/>
          <w:tblHeader w:val="0"/>
        </w:trPr>
        <w:tc>
          <w:tcPr>
            <w:shd w:fill="d9eaf7" w:val="clear"/>
            <w:tcMar>
              <w:top w:w="90.0" w:type="dxa"/>
              <w:bottom w:w="90.0" w:type="dxa"/>
            </w:tcMar>
            <w:vAlign w:val="center"/>
          </w:tcPr>
          <w:p w:rsidR="00000000" w:rsidDel="00000000" w:rsidP="00000000" w:rsidRDefault="00000000" w:rsidRPr="00000000" w14:paraId="00000007">
            <w:pPr>
              <w:rPr/>
            </w:pPr>
            <w:r w:rsidDel="00000000" w:rsidR="00000000" w:rsidRPr="00000000">
              <w:rPr>
                <w:b w:val="1"/>
                <w:bCs w:val="1"/>
                <w:rtl w:val="0"/>
              </w:rPr>
              <w:t xml:space="preserve">Document Purpose</w:t>
            </w:r>
            <w:r w:rsidDel="00000000" w:rsidR="00000000" w:rsidRPr="00000000">
              <w:rPr>
                <w:rtl w:val="0"/>
              </w:rPr>
            </w:r>
          </w:p>
        </w:tc>
        <w:tc>
          <w:tcPr>
            <w:shd w:fill="f8fbfe" w:val="clear"/>
            <w:tcMar>
              <w:top w:w="90.0" w:type="dxa"/>
              <w:bottom w:w="90.0" w:type="dxa"/>
            </w:tcMar>
            <w:vAlign w:val="center"/>
          </w:tcPr>
          <w:p w:rsidR="00000000" w:rsidDel="00000000" w:rsidP="00000000" w:rsidRDefault="00000000" w:rsidRPr="00000000" w14:paraId="00000008">
            <w:pPr>
              <w:rPr/>
            </w:pPr>
            <w:r w:rsidDel="00000000" w:rsidR="00000000" w:rsidRPr="00000000">
              <w:rPr>
                <w:rtl w:val="0"/>
              </w:rPr>
              <w:t xml:space="preserve">To outline common client integration issues, likely causes, and recommended resolutions in a clear and implementation-friendly format.</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sz w:val="21"/>
          <w:szCs w:val="21"/>
          <w:rtl w:val="0"/>
        </w:rPr>
        <w:t xml:space="preserve">This document provides a formal summary of common issues that may arise during client integration with </w:t>
      </w:r>
      <w:r w:rsidDel="00000000" w:rsidR="00000000" w:rsidRPr="00000000">
        <w:rPr>
          <w:rtl w:val="0"/>
        </w:rPr>
        <w:t xml:space="preserve">Cortexa</w:t>
      </w:r>
      <w:r w:rsidDel="00000000" w:rsidR="00000000" w:rsidRPr="00000000">
        <w:rPr>
          <w:sz w:val="21"/>
          <w:szCs w:val="21"/>
          <w:rtl w:val="0"/>
        </w:rPr>
        <w:t xml:space="preserve">, along with practical resolutions that can be used during onboarding, implementation, and production support. The intention is to describe issues from a platform and integration perspective rather than from internal code or engineering file references, making the document suitable for client-facing discussion and operational use.</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Executive Summary</w:t>
      </w:r>
    </w:p>
    <w:p w:rsidR="00000000" w:rsidDel="00000000" w:rsidP="00000000" w:rsidRDefault="00000000" w:rsidRPr="00000000" w14:paraId="0000000D">
      <w:pPr>
        <w:spacing w:after="120" w:lineRule="auto"/>
        <w:jc w:val="both"/>
        <w:rPr/>
      </w:pPr>
      <w:r w:rsidDel="00000000" w:rsidR="00000000" w:rsidRPr="00000000">
        <w:rPr>
          <w:rtl w:val="0"/>
        </w:rPr>
        <w:t xml:space="preserve">Cortexa supports enterprise search, retrieval, and AI-assisted response generation across structured and unstructured sources. During integration, clients may face issues related to authentication, access configuration, file submission, indexing readiness, external dependencies, and environment setup.</w:t>
      </w:r>
    </w:p>
    <w:p w:rsidR="00000000" w:rsidDel="00000000" w:rsidP="00000000" w:rsidRDefault="00000000" w:rsidRPr="00000000" w14:paraId="0000000E">
      <w:pPr>
        <w:spacing w:after="120" w:lineRule="auto"/>
        <w:jc w:val="both"/>
        <w:rPr/>
      </w:pPr>
      <w:r w:rsidDel="00000000" w:rsidR="00000000" w:rsidRPr="00000000">
        <w:rPr>
          <w:rtl w:val="0"/>
        </w:rPr>
        <w:t xml:space="preserve">Most integration issues can be reduced by establishing clear prerequisites, validating request structures early, enforcing controlled file and data standards, and maintaining reliable monitoring across storage, search, and AI services.</w:t>
      </w:r>
    </w:p>
    <w:p w:rsidR="00000000" w:rsidDel="00000000" w:rsidP="00000000" w:rsidRDefault="00000000" w:rsidRPr="00000000" w14:paraId="0000000F">
      <w:pPr>
        <w:spacing w:after="120" w:lineRule="auto"/>
        <w:jc w:val="both"/>
        <w:rPr/>
      </w:pPr>
      <w:r w:rsidDel="00000000" w:rsidR="00000000" w:rsidRPr="00000000">
        <w:rPr>
          <w:rtl w:val="0"/>
        </w:rPr>
        <w:t xml:space="preserve">The resolution guidance in this document is written to help client teams and support teams align on expected behaviors, common failure scenarios, and the operational actions required to restore or stabilize the integration.</w:t>
      </w:r>
    </w:p>
    <w:p w:rsidR="00000000" w:rsidDel="00000000" w:rsidP="00000000" w:rsidRDefault="00000000" w:rsidRPr="00000000" w14:paraId="00000010">
      <w:pPr>
        <w:pStyle w:val="Heading1"/>
        <w:rPr/>
      </w:pPr>
      <w:r w:rsidDel="00000000" w:rsidR="00000000" w:rsidRPr="00000000">
        <w:rPr>
          <w:rtl w:val="0"/>
        </w:rPr>
        <w:t xml:space="preserve">2. Resolution Principles</w:t>
      </w:r>
    </w:p>
    <w:p w:rsidR="00000000" w:rsidDel="00000000" w:rsidP="00000000" w:rsidRDefault="00000000" w:rsidRPr="00000000" w14:paraId="00000011">
      <w:pPr>
        <w:spacing w:after="120" w:lineRule="auto"/>
        <w:jc w:val="both"/>
        <w:rPr/>
      </w:pPr>
      <w:r w:rsidDel="00000000" w:rsidR="00000000" w:rsidRPr="00000000">
        <w:rPr>
          <w:rtl w:val="0"/>
        </w:rPr>
        <w:t xml:space="preserve">All integration issues should be described in terms of user impact, platform behavior, and corrective action. Internal code references, engineering file names, or source-level remarks should be avoided in client-facing material unless a formal technical review specifically requires them.</w:t>
      </w:r>
    </w:p>
    <w:p w:rsidR="00000000" w:rsidDel="00000000" w:rsidP="00000000" w:rsidRDefault="00000000" w:rsidRPr="00000000" w14:paraId="00000012">
      <w:pPr>
        <w:spacing w:after="120" w:lineRule="auto"/>
        <w:jc w:val="both"/>
        <w:rPr/>
      </w:pPr>
      <w:r w:rsidDel="00000000" w:rsidR="00000000" w:rsidRPr="00000000">
        <w:rPr>
          <w:rtl w:val="0"/>
        </w:rPr>
        <w:t xml:space="preserve">Resolution guidance should focus on what the client needs to verify, what platform dependencies must be available, and what support actions should be taken if the issue persists after standard validation steps.</w:t>
      </w:r>
    </w:p>
    <w:p w:rsidR="00000000" w:rsidDel="00000000" w:rsidP="00000000" w:rsidRDefault="00000000" w:rsidRPr="00000000" w14:paraId="00000013">
      <w:pPr>
        <w:pStyle w:val="Heading1"/>
        <w:rPr/>
      </w:pPr>
      <w:r w:rsidDel="00000000" w:rsidR="00000000" w:rsidRPr="00000000">
        <w:rPr>
          <w:rtl w:val="0"/>
        </w:rPr>
        <w:t xml:space="preserve">3. Common Integration Issues and Recommended Resolutions</w:t>
      </w:r>
    </w:p>
    <w:p w:rsidR="00000000" w:rsidDel="00000000" w:rsidP="00000000" w:rsidRDefault="00000000" w:rsidRPr="00000000" w14:paraId="00000014">
      <w:pPr>
        <w:rPr/>
      </w:pPr>
      <w:r w:rsidDel="00000000" w:rsidR="00000000" w:rsidRPr="00000000">
        <w:rPr>
          <w:rtl w:val="0"/>
        </w:rPr>
        <w:t xml:space="preserve">The following table lists the most common issue of categories that may affect client onboarding, general platform usage, or production integration with Cortexa.</w:t>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Authentication and Session Failure</w:t>
      </w:r>
    </w:p>
    <w:p w:rsidR="00000000" w:rsidDel="00000000" w:rsidP="00000000" w:rsidRDefault="00000000" w:rsidRPr="00000000" w14:paraId="00000016">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ptos" w:cs="Aptos" w:eastAsia="Aptos" w:hAnsi="Aptos"/>
          <w:sz w:val="21"/>
          <w:szCs w:val="21"/>
          <w:rtl w:val="0"/>
        </w:rPr>
        <w:t xml:space="preserve">Authentication and session failure occurs when users are unable to sign in or access protected APIs within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This issue can arise due to invalid login credentials, expired tokens, missing or incorrect authorization headers, or improper session management. In many cases, even if the user initially logs in successfully, the session may not persist due to backend misconfiguration or token storage issues. This leads to repeated login prompts or denial of access to secured endpoints. Such failures directly impact user experience and disrupt workflow continuity. In a product like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where multiple services rely on authenticated access, session handling becomes critical. Poor session management can also lead to security risks, such as unauthorized access or session hijacking. Therefore, ensuring reliable authentication mechanisms is essential for maintaining system integrity and usability.</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the login flow by testing with correct credentials and confirming successful authentication.</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whether tokens are being generated properly after logging in.</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tokens are securely stored and included in all API requests.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authorization headers are correctly passed in each request.</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token expiry settings and confirm they are not too short.</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token refresh or re-authentication mechanisms where required.</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session handling across the platform to ensure consistency.</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Enable logging to track authentication failures and debug issues quickly.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Authorization and Access Mismatch</w:t>
      </w:r>
    </w:p>
    <w:p w:rsidR="00000000" w:rsidDel="00000000" w:rsidP="00000000" w:rsidRDefault="00000000" w:rsidRPr="00000000" w14:paraId="00000023">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ptos" w:cs="Aptos" w:eastAsia="Aptos" w:hAnsi="Aptos"/>
          <w:sz w:val="21"/>
          <w:szCs w:val="21"/>
          <w:rtl w:val="0"/>
        </w:rPr>
        <w:t xml:space="preserve">Authorization and access mismatch occurs when a user is successfully authenticated but is unable to access specific features, APIs, or data within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This typically happens when the assigned roles and permissions do not align with the intended access scope. Users may encounter restricted views, missing functionalities, or denied API responses despite having valid credentials. Such inconsistencies can arise due to incorrect role assignments, misconfigured access control rules, or lack of synchronization between user roles and system permissions. In a complex product environment like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where multiple modules and client-specific configurations exist, managing authorization accurately is crucial. Failure to do so can lead to operational inefficiencies and user frustration.</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user’s assigned role and permissions in the system.</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the role matches the intended access level.</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access control configurations for APIs, categories, and features.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there are no conflicting or overlapping permission rules.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client-specific access settings if applicable.</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or correct role assignments where needed.</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access using different user roles to confirm proper authorization.</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clear documentation of roles and permissions for consistency.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Unsupported or Invalid File Uploads</w:t>
      </w:r>
    </w:p>
    <w:p w:rsidR="00000000" w:rsidDel="00000000" w:rsidP="00000000" w:rsidRDefault="00000000" w:rsidRPr="00000000" w14:paraId="00000030">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ptos" w:cs="Aptos" w:eastAsia="Aptos" w:hAnsi="Aptos"/>
          <w:sz w:val="21"/>
          <w:szCs w:val="21"/>
          <w:rtl w:val="0"/>
        </w:rPr>
        <w:t xml:space="preserve">Unsupported or invalid file uploads occur when users attempt to upload files that do not meet the platform’s requirements in terms of format, size, or structure. This can include oversized files, corrupted documents, unsupported formats, or files with incomplete or unreadable content. Such uploads can disrupt the integration workflow, reduce system performance, and affect downstream processes like data extraction and retrieval. 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where document processing plays a key role, ensuring file compatibility is essential for maintaining reliability. Invalid uploads may also lead to processing errors, failed indexing, or inaccurate results, ultimately impacting the overall user experience.</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if the file format is supported by the platform.</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the file size is within the allowed limit.</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the file is not corrupted and can be opened properly.</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that the document contains readable and structured content.</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validation checks before uploading files.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users with a list of supported formats and size limits.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Reject invalid files with clear error messages.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upload logs to identify recurring issues.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Document Indexing Delay or Failure</w:t>
      </w:r>
    </w:p>
    <w:p w:rsidR="00000000" w:rsidDel="00000000" w:rsidP="00000000" w:rsidRDefault="00000000" w:rsidRPr="00000000" w14:paraId="0000003D">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ptos" w:cs="Aptos" w:eastAsia="Aptos" w:hAnsi="Aptos"/>
          <w:sz w:val="21"/>
          <w:szCs w:val="21"/>
          <w:rtl w:val="0"/>
        </w:rPr>
        <w:t xml:space="preserve">Document indexing delay or failure occurs when uploaded files are not processed and made searchable within the expected timeframe. Although the upload may be successful, delays in extraction, chunking, embedding, or indexing can prevent users from accessing the content through search or queries. This issue can arise due to system bottlenecks, processing errors, or incomplete workflows. 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efficient indexing is critical for enabling fast and accurate information retrieval. Delays or failures in this process can significantly impact productivity and user satisfaction, especially when timely access to data is required.</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Inform users about expected indexing time after file upload.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the processing status of uploaded documents.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extraction, chunking, and embedding steps are completed.</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storage and queue systems are functioning properly.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search service health and performance.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Reprocess documents that failed during indexing.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Optimize indexing pipeline to reduce delays.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logs for each processing stage for troubleshooting.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Poor Retrieval Quality from Uploaded Content</w:t>
      </w:r>
    </w:p>
    <w:p w:rsidR="00000000" w:rsidDel="00000000" w:rsidP="00000000" w:rsidRDefault="00000000" w:rsidRPr="00000000" w14:paraId="0000004A">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ptos" w:cs="Aptos" w:eastAsia="Aptos" w:hAnsi="Aptos"/>
          <w:sz w:val="21"/>
          <w:szCs w:val="21"/>
          <w:rtl w:val="0"/>
        </w:rPr>
        <w:t xml:space="preserve">Poor retrieval quality occurs when the system returns inaccurate, incomplete, or irrelevant results in response to user queries. This can be caused by poorly structured documents, missing metadata, inadequate chunking strategies, or low-quality extracted text. 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retrieval quality is heavily dependent on how documents are processed and indexed. If the input data lacks clarity or proper structure, the system may struggle to generate meaningful responses. This issue directly affects the usability and effectiveness of the platform, as users rely on accurate information retrieval for decision-making.</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documents are properly structured before uploading.</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relevant metadata and tags to improve search accuracy.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extracted text is clear and complete.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and optimize chunking strategy used for indexing.</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high-quality and readable documents only.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search queries to evaluate retrieval performance.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Fine-tune search or AI models if required.</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 user feedback to improve result relevance.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Incorrect Category Mapping</w:t>
      </w:r>
    </w:p>
    <w:p w:rsidR="00000000" w:rsidDel="00000000" w:rsidP="00000000" w:rsidRDefault="00000000" w:rsidRPr="00000000" w14:paraId="00000057">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ptos" w:cs="Aptos" w:eastAsia="Aptos" w:hAnsi="Aptos"/>
          <w:sz w:val="21"/>
          <w:szCs w:val="21"/>
          <w:rtl w:val="0"/>
        </w:rPr>
        <w:t xml:space="preserve">Incorrect category mapping occurs when documents are assigned to the wrong categories or context groups within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This leads to irrelevant search results, difficulty in locating information, and potential confusion for users. The issue typically arises due to improper classification during upload or inconsistencies in category definitions. In a system where organized knowledge management is crucial, accurate categorization plays a vital role in ensuring efficient data retrieval and usability. Misclassification can significantly reduce the effectiveness of the platform’s search capabilities.</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a clear category structure before uploading documents.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the category selected during document upload.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documents are mapped to the correct context group.</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category definitions to avoid overlap or confusion.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validation checks for category assignments.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automated classification if available.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Periodically audited documents for accuracy.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incorrect mappings immediately.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Schema or Metadata Mismatch</w:t>
      </w:r>
    </w:p>
    <w:p w:rsidR="00000000" w:rsidDel="00000000" w:rsidP="00000000" w:rsidRDefault="00000000" w:rsidRPr="00000000" w14:paraId="00000064">
      <w:pPr>
        <w:spacing w:after="240" w:before="240" w:lineRule="auto"/>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ptos" w:cs="Aptos" w:eastAsia="Aptos" w:hAnsi="Aptos"/>
          <w:sz w:val="21"/>
          <w:szCs w:val="21"/>
          <w:rtl w:val="0"/>
        </w:rPr>
        <w:t xml:space="preserve">Schema or metadata mismatch occurs when the stored data structure does not align with the expected schema or when metadata is incomplete or outdated. This can lead to incorrect query results, incomplete data retrieval, or system errors. In the </w:t>
      </w:r>
      <w:r w:rsidDel="00000000" w:rsidR="00000000" w:rsidRPr="00000000">
        <w:rPr>
          <w:rtl w:val="0"/>
        </w:rPr>
        <w:t xml:space="preserve">Cortexa</w:t>
      </w:r>
      <w:r w:rsidDel="00000000" w:rsidR="00000000" w:rsidRPr="00000000">
        <w:rPr>
          <w:rFonts w:ascii="Aptos" w:cs="Aptos" w:eastAsia="Aptos" w:hAnsi="Aptos"/>
          <w:sz w:val="21"/>
          <w:szCs w:val="21"/>
          <w:rtl w:val="0"/>
        </w:rPr>
        <w:t xml:space="preserve"> platform, where structured data and metadata drive search and analytics, maintaining consistency is essential. Mismatches may arise due to changes in data sources, improper schema updates, or lack of synchronization between systems. This issue can significantly impact the accuracy and reliability of the platform.</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ptos" w:cs="Aptos" w:eastAsia="Aptos" w:hAnsi="Aptos"/>
          <w:b w:val="1"/>
          <w:bCs w:val="1"/>
          <w:sz w:val="21"/>
          <w:szCs w:val="21"/>
          <w:rtl w:val="0"/>
        </w:rPr>
        <w:t xml:space="preserve">Recommendation / Resolution: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current schema and metadata structure.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schema matches the latest data source design.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metadata fields regularly to maintain accuracy.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data before ingestion into the system.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Synchronize schema changes across all services.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proper documentation of schema versions.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Restrict access to authorized datasets only.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 periodic audits to detect inconsistencies.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4. Recommended Support Model</w:t>
      </w:r>
    </w:p>
    <w:p w:rsidR="00000000" w:rsidDel="00000000" w:rsidP="00000000" w:rsidRDefault="00000000" w:rsidRPr="00000000" w14:paraId="00000071">
      <w:pPr>
        <w:jc w:val="both"/>
        <w:rPr/>
      </w:pPr>
      <w:r w:rsidDel="00000000" w:rsidR="00000000" w:rsidRPr="00000000">
        <w:rPr>
          <w:rtl w:val="0"/>
        </w:rPr>
        <w:t xml:space="preserve">A practical support model for Cortexa integration should begin with client-side validation of authentication details, request structure, document readiness, and access permissions. This first-line validation helps eliminate preventable issues before deeper platform investigation begins.</w:t>
      </w:r>
    </w:p>
    <w:p w:rsidR="00000000" w:rsidDel="00000000" w:rsidP="00000000" w:rsidRDefault="00000000" w:rsidRPr="00000000" w14:paraId="00000072">
      <w:pPr>
        <w:jc w:val="both"/>
        <w:rPr/>
      </w:pPr>
      <w:r w:rsidDel="00000000" w:rsidR="00000000" w:rsidRPr="00000000">
        <w:rPr>
          <w:rtl w:val="0"/>
        </w:rPr>
        <w:t xml:space="preserve">Where issues continue after initial validation, support teams should verify platform-side dependencies such as storage, indexing, search availability, queue health, and AI service responsiveness. If the issue affects multiple users or environments, it should be treated as a broader platform health concern rather than an isolated client incident.</w:t>
      </w:r>
    </w:p>
    <w:p w:rsidR="00000000" w:rsidDel="00000000" w:rsidP="00000000" w:rsidRDefault="00000000" w:rsidRPr="00000000" w14:paraId="00000073">
      <w:pPr>
        <w:jc w:val="both"/>
        <w:rPr/>
      </w:pPr>
      <w:r w:rsidDel="00000000" w:rsidR="00000000" w:rsidRPr="00000000">
        <w:rPr>
          <w:rtl w:val="0"/>
        </w:rPr>
        <w:t xml:space="preserve">For repeated or unresolved issues, the recommended approach is to document the observed behavior, capture timestamps and request context, identify the impacted client and feature area, and move the issue into a formal escalation workflow so that technical teams can investigate with the necessary operational evidence.</w:t>
      </w:r>
    </w:p>
    <w:p w:rsidR="00000000" w:rsidDel="00000000" w:rsidP="00000000" w:rsidRDefault="00000000" w:rsidRPr="00000000" w14:paraId="00000074">
      <w:pPr>
        <w:pStyle w:val="Heading1"/>
        <w:rPr/>
      </w:pPr>
      <w:r w:rsidDel="00000000" w:rsidR="00000000" w:rsidRPr="00000000">
        <w:rPr>
          <w:rtl w:val="0"/>
        </w:rPr>
        <w:t xml:space="preserve">5. Conclusion</w:t>
      </w:r>
    </w:p>
    <w:p w:rsidR="00000000" w:rsidDel="00000000" w:rsidP="00000000" w:rsidRDefault="00000000" w:rsidRPr="00000000" w14:paraId="00000075">
      <w:pPr>
        <w:jc w:val="both"/>
        <w:rPr/>
      </w:pPr>
      <w:r w:rsidDel="00000000" w:rsidR="00000000" w:rsidRPr="00000000">
        <w:rPr>
          <w:rtl w:val="0"/>
        </w:rPr>
        <w:t xml:space="preserve">Cortexa integrations are most successful when onboarding is supported by clear access controls, validated configuration, structured document handling, strong monitoring, and a disciplined issue-resolution process. This document may be used as a client-facing reference during implementation discussions, operational readiness reviews, and production support conversations.</w:t>
      </w:r>
    </w:p>
    <w:sectPr>
      <w:footerReference r:id="rId6"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color w:val="5a5a5a"/>
        <w:sz w:val="18"/>
        <w:szCs w:val="18"/>
        <w:rtl w:val="0"/>
      </w:rPr>
      <w:t xml:space="preserve">Cortexa</w:t>
    </w:r>
    <w:r w:rsidDel="00000000" w:rsidR="00000000" w:rsidRPr="00000000">
      <w:rPr>
        <w:rFonts w:ascii="Aptos" w:cs="Aptos" w:eastAsia="Aptos" w:hAnsi="Aptos"/>
        <w:b w:val="0"/>
        <w:bCs w:val="0"/>
        <w:i w:val="0"/>
        <w:iCs w:val="0"/>
        <w:smallCaps w:val="0"/>
        <w:strike w:val="0"/>
        <w:color w:val="5a5a5a"/>
        <w:sz w:val="18"/>
        <w:szCs w:val="18"/>
        <w:u w:val="none"/>
        <w:shd w:fill="auto" w:val="clear"/>
        <w:vertAlign w:val="baseline"/>
        <w:rtl w:val="0"/>
      </w:rPr>
      <w:t xml:space="preserve"> - Client Integration Issues and Resolution Guide | 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e75b6"/>
      <w:sz w:val="23"/>
      <w:szCs w:val="23"/>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8"/>
      <w:szCs w:val="48"/>
    </w:rPr>
  </w:style>
  <w:style w:type="paragraph" w:styleId="Subtitle">
    <w:name w:val="Subtitle"/>
    <w:basedOn w:val="Normal"/>
    <w:next w:val="Normal"/>
    <w:pPr/>
    <w:rPr>
      <w:rFonts w:ascii="Aptos" w:cs="Aptos" w:eastAsia="Aptos" w:hAnsi="Aptos"/>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