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Student Attendance Management System</w:t>
      </w:r>
    </w:p>
    <w:p>
      <w:pPr>
        <w:spacing w:after="60"/>
        <w:jc w:val="center"/>
      </w:pPr>
      <w:r>
        <w:rPr>
          <w:b/>
          <w:bCs/>
          <w:sz w:val="28"/>
          <w:szCs w:val="28"/>
        </w:rPr>
        <w:t xml:space="preserve">Security Requirements Specification</w:t>
      </w:r>
    </w:p>
    <w:p>
      <w:pPr>
        <w:pBdr>
          <w:bottom w:val="single" w:color="000000" w:sz="6" w:space="8"/>
        </w:pBdr>
        <w:spacing w:after="200"/>
      </w:pPr>
    </w:p>
    <w:p>
      <w:pPr>
        <w:pStyle w:val="Heading1"/>
        <w:keepNext/>
        <w:spacing w:after="120" w:before="280"/>
      </w:pPr>
      <w:r>
        <w:rPr>
          <w:b/>
          <w:bCs/>
          <w:color w:val="000000"/>
        </w:rPr>
        <w:t xml:space="preserve">1. Introduction</w:t>
      </w:r>
    </w:p>
    <w:p>
      <w:pPr>
        <w:spacing w:after="120"/>
      </w:pPr>
      <w:r>
        <w:t xml:space="preserve">The Security Requirements Phase establishes what security capabilities the Student Attendance Management System must provide before design and implementation. Finding security needs early reduces costly redesign and vulnerabilities.</w:t>
      </w:r>
    </w:p>
    <w:p>
      <w:pPr>
        <w:spacing w:after="120"/>
      </w:pPr>
      <w:r>
        <w:t xml:space="preserve">These requirements are part of the non-functional requirements of the Software Requirements Specification (SRS) and extend NFR-02 (Security), NFR-03 (Authentication), NFR-04 (Authorization), NFR-11 (Privacy) and NFR-14 (Auditability).</w:t>
      </w:r>
    </w:p>
    <w:p>
      <w:pPr>
        <w:spacing w:after="120"/>
      </w:pPr>
      <w:r>
        <w:t xml:space="preserve">Following the Security Risk Assessment process, this document identifies assets and stakeholders, identifies threats and attackers, analyzes each risk by likelihood and impact, and defines mitigations. The results lead to security objectives and to security requirements SEC-01 to SEC-32. Each requirement is clear, testable, and traceable to specific threats and objectives.</w:t>
      </w:r>
    </w:p>
    <w:p>
      <w:pPr>
        <w:spacing w:after="200"/>
      </w:pPr>
      <w:r>
        <w:t xml:space="preserve">Risk rating rule used in this document: Likelihood High + Impact High = High; Likelihood Medium + Impact High = High; Likelihood Low + Impact High = Medium; Likelihood Medium + Impact Medium = Medium. The likelihood and impact values are proposed and should be reviewed by the project team.</w:t>
      </w:r>
    </w:p>
    <w:p>
      <w:pPr>
        <w:pStyle w:val="Heading1"/>
        <w:keepNext/>
        <w:spacing w:after="120" w:before="280"/>
      </w:pPr>
      <w:r>
        <w:rPr>
          <w:b/>
          <w:bCs/>
          <w:color w:val="000000"/>
        </w:rPr>
        <w:t xml:space="preserve">2. Security Risk Assessment</w:t>
      </w:r>
    </w:p>
    <w:p>
      <w:pPr>
        <w:pStyle w:val="Heading2"/>
        <w:keepNext/>
        <w:spacing w:after="100" w:before="200"/>
      </w:pPr>
      <w:r>
        <w:rPr>
          <w:b/>
          <w:bCs/>
          <w:color w:val="000000"/>
        </w:rPr>
        <w:t xml:space="preserve">2.1 Assets and Stakeholders</w:t>
      </w:r>
    </w:p>
    <w:p>
      <w:pPr>
        <w:spacing w:after="120"/>
      </w:pPr>
      <w:r>
        <w:t xml:space="preserve">An asset is anything that has value. A stakeholder is anyone who owns or depends on an asset. An asset can have several stakeholders, and one stakeholder can have several assets.</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3600"/>
        <w:gridCol w:w="26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Asset</w:t>
            </w:r>
          </w:p>
        </w:tc>
        <w:tc>
          <w:tcPr>
            <w:tcW w:type="dxa" w:w="3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Why it has value</w:t>
            </w:r>
          </w:p>
        </w:tc>
        <w:tc>
          <w:tcPr>
            <w:tcW w:type="dxa" w:w="2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Stakeholders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personal and academic data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Privacy of students; legal and reputational value to the institution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Attendance records and history</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Accuracy decides exam eligibility and academic decisions; legal value to the institution</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Faculty,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A-03</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User credentials and sessions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Protect identity and every role-based function of the system</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users, Admin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A-04</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Audit logs and security logs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Provide accountability for changes to attendance and accounts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Reports and exports (PDF/CSV)</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Contain bulk student and attendance data outside the system</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Backups of attendance and user data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Allow recovery after failure; contain a full copy of all data</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Admin, Institution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Application and database (availability)</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Needed for daily attendance marking; initial cost and downtime impact</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Institution, Faculty, Students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A-08</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Low-attendance notifications</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Contain personal academic standing sent to students</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Students, Faculty</w:t>
            </w:r>
          </w:p>
        </w:tc>
      </w:tr>
    </w:tbl>
    <w:p>
      <w:pPr>
        <w:spacing w:after="120"/>
      </w:pPr>
    </w:p>
    <w:p>
      <w:pPr>
        <w:pStyle w:val="Heading2"/>
        <w:keepNext/>
        <w:spacing w:after="100" w:before="200"/>
      </w:pPr>
      <w:r>
        <w:rPr>
          <w:b/>
          <w:bCs/>
          <w:color w:val="000000"/>
        </w:rPr>
        <w:t xml:space="preserve">2.2 Threats and Attackers</w:t>
      </w:r>
    </w:p>
    <w:p>
      <w:pPr>
        <w:spacing w:after="120"/>
      </w:pPr>
      <w:r>
        <w:t xml:space="preserve">A threat is any weakness that may compromise an asset. An attacker is any actor who may exploit it to gain something.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0"/>
        <w:gridCol w:w="6300"/>
      </w:tblGrid>
      <w:tr>
        <w:trPr>
          <w:tblHeader/>
        </w:trPr>
        <w:tc>
          <w:tcPr>
            <w:tcW w:type="dxa" w:w="9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Attacker</w:t>
            </w:r>
          </w:p>
        </w:tc>
        <w:tc>
          <w:tcPr>
            <w:tcW w:type="dxa" w:w="6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Description</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AT-01</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External attacker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Person outside the institution with no account, attacking the login page, network or exposed interfaces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AT-02</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(insider)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Legitimate student account holder who wants to see or change data beyond their own record</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AT-03</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Faculty member (insider)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Legitimate faculty account holder who may alter records outside their classes or hide changes</w:t>
            </w:r>
          </w:p>
        </w:tc>
      </w:tr>
      <w:tr>
        <w:trPr>
          <w:cantSplit/>
        </w:trPr>
        <w:tc>
          <w:tcPr>
            <w:tcW w:type="dxa" w:w="9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AT-04</w:t>
            </w:r>
          </w:p>
        </w:tc>
        <w:tc>
          <w:tcPr>
            <w:tcW w:type="dxa" w:w="2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Former or careless user</w:t>
            </w:r>
          </w:p>
        </w:tc>
        <w:tc>
          <w:tcPr>
            <w:tcW w:type="dxa" w:w="6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Holder of a deactivated, shared or poorly protected account</w:t>
            </w:r>
          </w:p>
        </w:tc>
      </w:tr>
    </w:tbl>
    <w:p>
      <w:pPr>
        <w:spacing w:after="120"/>
      </w:pP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2400"/>
        <w:gridCol w:w="1300"/>
        <w:gridCol w:w="1100"/>
        <w:gridCol w:w="38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w:t>
            </w:r>
          </w:p>
        </w:tc>
        <w:tc>
          <w:tcPr>
            <w:tcW w:type="dxa" w:w="1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Attacker</w:t>
            </w:r>
          </w:p>
        </w:tc>
        <w:tc>
          <w:tcPr>
            <w:tcW w:type="dxa" w:w="11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Asset</w:t>
            </w:r>
          </w:p>
        </w:tc>
        <w:tc>
          <w:tcPr>
            <w:tcW w:type="dxa" w:w="3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Attack path</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Brute-force or guessed logins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Repeated attempts on the login page (UC-01)</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Weak, stolen or leaked passwords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Easy passwords, reset abuse, theft of the password store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TH-03</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hijacking or misuse of idle sessions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Stolen session cookie, unattended logged-in device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TH-04</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Privilege escalation across roles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Calling admin or faculty functions directly as a lower role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TH-05</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Unauthorized access to other users' data</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Changing an ID in the URL; opening classes not assigned to the user</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TH-06</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Injection, XSS and CSRF attacks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A-02, A-07</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Malicious input in forms, search and filter fields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TH-07</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Interception of network traffic</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A-03</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Sniffing credentials and data on the network</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TH-08</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Unauthorized or hidden change of attendance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Editing old records, changing another class's records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TH-09</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Tampering with or deleting audit logs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A-04</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Removing evidence of attendance changes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TH-10</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Data leakage through exports, notifications, errors and logs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AT-02,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A-01, A-05, A-08</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Over-broad exports, spreadsheet formula injection, stack traces, personal data in logs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TH-11</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Theft or corruption of backups; malicious restore</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AT-03</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A-06, A-02</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Reading a backup file, restoring a tampered backup</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TH-12</w:t>
            </w:r>
          </w:p>
        </w:tc>
        <w:tc>
          <w:tcPr>
            <w:tcW w:type="dxa" w:w="2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Use of deactivated accounts, default credentials or exposed secrets</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AT-01, AT-04</w:t>
            </w:r>
          </w:p>
        </w:tc>
        <w:tc>
          <w:tcPr>
            <w:tcW w:type="dxa" w:w="1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A-03, A-07</w:t>
            </w:r>
          </w:p>
        </w:tc>
        <w:tc>
          <w:tcPr>
            <w:tcW w:type="dxa" w:w="3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Logging in with an old account, default password, hard-coded key</w:t>
            </w:r>
          </w:p>
        </w:tc>
      </w:tr>
    </w:tbl>
    <w:p>
      <w:pPr>
        <w:spacing w:after="120"/>
      </w:pPr>
    </w:p>
    <w:p>
      <w:pPr>
        <w:pStyle w:val="Heading2"/>
        <w:keepNext/>
        <w:spacing w:after="100" w:before="200"/>
      </w:pPr>
      <w:r>
        <w:rPr>
          <w:b/>
          <w:bCs/>
          <w:color w:val="000000"/>
        </w:rPr>
        <w:t xml:space="preserve">2.3 Risk Analysis and Mitigation</w:t>
      </w:r>
    </w:p>
    <w:p>
      <w:pPr>
        <w:spacing w:after="120"/>
      </w:pPr>
      <w:r>
        <w:t xml:space="preserve">Each threat is rated by likelihood and impact. The mitigation column lists the security requirements in Section 4 that address the threat.</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1300"/>
        <w:gridCol w:w="1200"/>
        <w:gridCol w:w="1400"/>
        <w:gridCol w:w="45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w:t>
            </w:r>
          </w:p>
        </w:tc>
        <w:tc>
          <w:tcPr>
            <w:tcW w:type="dxa" w:w="1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Likelihood</w:t>
            </w:r>
          </w:p>
        </w:tc>
        <w:tc>
          <w:tcPr>
            <w:tcW w:type="dxa" w:w="1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Impact</w:t>
            </w:r>
          </w:p>
        </w:tc>
        <w:tc>
          <w:tcPr>
            <w:tcW w:type="dxa" w:w="1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Risk Rating</w:t>
            </w:r>
          </w:p>
        </w:tc>
        <w:tc>
          <w:tcPr>
            <w:tcW w:type="dxa" w:w="45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Mitigation (requirements)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TH-01</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SEC-02, SEC-03, SEC-04, SEC-22, SEC-29, SEC-32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SEC-04, SEC-05, SEC-06, SEC-07, SEC-29, SEC-30, SEC-31</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TH-03</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SEC-08, SEC-09</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TH-04</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SEC-01, SEC-10, SEC-11, SEC-14, SEC-16</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TH-05</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SEC-01, SEC-12, SEC-13,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TH-06</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SEC-09, SEC-17, SEC-18</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TH-07</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SEC-19</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TH-08</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High</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SEC-13, SEC-21, SEC-23</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TH-09</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Low</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SEC-21, SEC-22</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TH-10</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SEC-20, SEC-24, SEC-25, SEC-27</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TH-11</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Low</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SEC-20, SEC-26</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TH-12</w:t>
            </w:r>
          </w:p>
        </w:tc>
        <w:tc>
          <w:tcPr>
            <w:tcW w:type="dxa" w:w="1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bCs/>
                <w:sz w:val="20"/>
                <w:szCs w:val="20"/>
              </w:rPr>
              <w:t xml:space="preserve">Medium</w:t>
            </w:r>
          </w:p>
        </w:tc>
        <w:tc>
          <w:tcPr>
            <w:tcW w:type="dxa" w:w="45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SEC-06, SEC-15, SEC-16, SEC-28</w:t>
            </w:r>
          </w:p>
        </w:tc>
      </w:tr>
    </w:tbl>
    <w:p>
      <w:pPr>
        <w:pStyle w:val="Heading1"/>
        <w:keepNext/>
        <w:spacing w:after="120" w:before="280"/>
      </w:pPr>
      <w:r>
        <w:rPr>
          <w:b/>
          <w:bCs/>
          <w:color w:val="000000"/>
        </w:rPr>
        <w:t xml:space="preserve">3. Security Objectives</w:t>
      </w:r>
    </w:p>
    <w:p>
      <w:pPr>
        <w:spacing w:after="120"/>
      </w:pPr>
      <w:r>
        <w:t xml:space="preserve">Each critical area is protected by a measurable goal. Every requirement in Section 4 supports at least one of these objectives.</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300"/>
        <w:gridCol w:w="61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3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Objective</w:t>
            </w:r>
          </w:p>
        </w:tc>
        <w:tc>
          <w:tcPr>
            <w:tcW w:type="dxa" w:w="61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Measurable goal</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OBJ-01</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Confidentiality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authorized users can read student, attendance and report data. Target: zero successful unauthorized reads in testing (cross-role and cross-student attempts all denied).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OBJ-02</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Integrity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Attendance records are changed only by authorized users, through validated input, within the allowed correction window. Target: every change is accepted or rejected according to the rules, with no silent changes.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OBJ-03</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Authentication and session assurance</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verified users hold a session, and credentials are protected. Target: lockout after 5 failed logins, session expiry after 15 minutes idle, no plain-text passwords stored, and every login requires a second factor (OTP).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OBJ-04</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Accountability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attendance change, account change and security event is traceable to a user and time. Target: 100% of defined events produce a log entry that users cannot edit.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OBJ-05</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Availability and recoverability</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Data can be backed up and restored securely after a failure. Target: a valid backup can be restored by the Admin, and a failed backup never destroys the last valid one.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OBJ-06</w:t>
            </w:r>
          </w:p>
        </w:tc>
        <w:tc>
          <w:tcPr>
            <w:tcW w:type="dxa" w:w="23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Privacy and secure configuration</w:t>
            </w:r>
          </w:p>
        </w:tc>
        <w:tc>
          <w:tcPr>
            <w:tcW w:type="dxa" w:w="61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No sensitive data leaks through notifications, errors or logs, and no insecure defaults remain in production. Target: zero default accounts, zero hard-coded secrets, zero stack traces shown.</w:t>
            </w:r>
          </w:p>
        </w:tc>
      </w:tr>
    </w:tbl>
    <w:p>
      <w:pPr>
        <w:pStyle w:val="Heading1"/>
        <w:keepNext/>
        <w:spacing w:after="120" w:before="280"/>
      </w:pPr>
      <w:r>
        <w:rPr>
          <w:b/>
          <w:bCs/>
          <w:color w:val="000000"/>
        </w:rPr>
        <w:t xml:space="preserve">4. Security Requirements</w:t>
      </w:r>
    </w:p>
    <w:p>
      <w:pPr>
        <w:spacing w:after="120"/>
      </w:pPr>
      <w:r>
        <w:t xml:space="preserve">The requirements below are system requirements: they define what the system shall do. They are written to be testable, and Section 5 shows how each one is traced and verified.</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2600"/>
        <w:gridCol w:w="5800"/>
      </w:tblGrid>
      <w:tr>
        <w:trPr>
          <w:tblHeader/>
        </w:trPr>
        <w:tc>
          <w:tcPr>
            <w:tcW w:type="dxa" w:w="10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2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Requirement</w:t>
            </w:r>
          </w:p>
        </w:tc>
        <w:tc>
          <w:tcPr>
            <w:tcW w:type="dxa" w:w="5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Description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Mandatory Authentication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protected function requires an authenticated session. Unauthenticated requests are redirected to the login page.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Generic Login Errors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Failed logins show one generic message ("Invalid username or password") that does not reveal whether the username exists.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 Lockout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After 5 consecutive failed logins the account is locked for 15 minutes. All failed attempts are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Policy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Passwords must be at least 8 characters and contain upper case, lower case, a digit and a special character.</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Storage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Passwords are stored only as salted hashes (bcrypt, Argon2 or PBKDF2). They are never stored or logged in plain text.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Temporary Passwords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Accounts created by the Admin use a one-time temporary password, and the user must change it at first login. For student/faculty creation and password resets, deliver credentials only to the account owner; use the BL-34 one-time fallback and rotating resend rules.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Password Reset &amp; Change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Users can change their password and reset a forgotten one using a single-use token that expires after 30 minutes.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Timeout &amp; Termination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Sessions expire after 15 minutes of inactivity. Logout invalidates the session on the server side.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Session Token Protection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Session identifiers are random and unpredictable and are regenerated at login. Session cookies are set HttpOnly, Secure and SameSite.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Server-Side Role Enforcement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Role-based access control (Admin, Faculty, Student) is enforced on the server for every request. Hiding UI elements alone is not sufficient.</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Least Privilege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Each role receives only the permissions its use cases require and nothing more.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Student Data Isolation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 student can view only their own attendance and profile. Attempts to access another student's data (for example, by changing an ID in the URL) are denied and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Faculty Scope Restriction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can mark, update, view and report attendance only for the classes and subjects assigned to them.</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Admin-Only Functions</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the Admin can manage student records, faculty, classes/sections, user roles, attendance thresholds, and backup/restore.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Deactivated Account Handling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Deactivated accounts cannot log in, and their active sessions are terminated immediately.</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Account Activity Logging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Account creation, deactivation, reactivation, permanent deletion (with the reason), role changes and password resets are logged with the acting user and timestamp.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Input Validation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user input is validated on the server for type, length, format and range before processing.</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Injection &amp; XSS Prevention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The system uses parameterized queries or an ORM, encodes output before rendering, and protects against SQL injection, cross-site scripting (XSS) and cross-site request forgery (CSRF).</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Transport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All client-server communication uses HTTPS (TLS 1.2 or higher). Plain HTTP requests are redirected or rejected.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Data Encryption at Rest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Personal data and backup files are stored in access-restricted storage, and backup files are encrypted.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Attendance Change Audit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Every create, update or delete of an attendance record is logged with user ID, timestamp, old value and new value. Faculty and students cannot edit or delete these logs.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Security Event Logging</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Login successes and failures, lockouts, access denials, report exports, backups and restores are logged. Logs never contain passwords or tokens.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SEC-23</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Correction Window Enforcement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Faculty attendance corrections are allowed only within the configured correction window (set by the Admin; default 2 calendar days after the session date). Edits outside it can be made only by the Admin with a mandatory reason and are logged.</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SEC-24</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Report Export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PDF/CSV exports contain only data the requesting user is authorized to see and are logged. CSV cells beginning with =, +, - or @ are sanitized to prevent formula injection.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SEC-25</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Notification Privacy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Low-attendance notifications go only to the affected student; faculty receive only their own shortage list. Login-details emails contain only username, temporary password, login link and instructions, and go only to that account owner with no copies.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SEC-26</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Backup &amp; Restore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Only the Admin can restore a backup, and must re-authenticate first. Backup integrity is verified (checksum) before restore, and a failed backup never overwrites the last valid backup.</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SEC-27</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Error &amp; Data Exposure</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Student personal and academic data does not appear in URLs, error messages or logs. Error messages never expose stack traces or internal details.</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SEC-28</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Secure Configuration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No default accounts or credentials exist in production, and secrets (database credentials, keys) are not stored in source code.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SEC-29</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Two-Factor Login (OTP)</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After the password, every user (Admin, Faculty and Student) enters a one-time 6-digit code. The main method is an authenticator app (time-based codes that change every 30 seconds); a code sent by email is the backup method. There is no "remember this device" option.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SEC-30</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OTP Setup &amp; Secret Protection</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Each user sets up the authenticator app at first login by scanning a QR code and confirming one code. The setup secret is shown only during setup, is never logged or emailed, and is kept in access-restricted storage.</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SEC-31</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Backup Codes &amp; OTP Reset</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At setup each user receives 10 single-use backup codes, shown once and stored only as hashes. An Admin can reset another user's OTP after re-entering their own password; the reset is logged and the user sets up OTP again at next login.</w:t>
            </w:r>
          </w:p>
        </w:tc>
      </w:tr>
      <w:tr>
        <w:trPr>
          <w:cantSplit/>
        </w:trPr>
        <w:tc>
          <w:tcPr>
            <w:tcW w:type="dxa" w:w="10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SEC-32</w:t>
            </w:r>
          </w:p>
        </w:tc>
        <w:tc>
          <w:tcPr>
            <w:tcW w:type="dxa" w:w="2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OTP Attempt Limits &amp; Code Expiry</w:t>
            </w:r>
          </w:p>
        </w:tc>
        <w:tc>
          <w:tcPr>
            <w:tcW w:type="dxa" w:w="5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5 consecutive wrong codes lock the account for 15 minutes. Emailed codes are valid for 10 minutes and work once; at most 3 emailed codes can be requested in 15 minutes. Every OTP setup, success, failure, lockout and reset is logged.</w:t>
            </w:r>
          </w:p>
        </w:tc>
      </w:tr>
    </w:tbl>
    <w:p>
      <w:pPr>
        <w:pStyle w:val="Heading1"/>
        <w:keepNext/>
        <w:pageBreakBefore/>
        <w:spacing w:after="120" w:before="280"/>
      </w:pPr>
      <w:r>
        <w:rPr>
          <w:b/>
          <w:bCs/>
          <w:color w:val="000000"/>
        </w:rPr>
        <w:t xml:space="preserve">5. Traceability and Verification</w:t>
      </w:r>
    </w:p>
    <w:p>
      <w:pPr>
        <w:spacing w:after="120"/>
      </w:pPr>
      <w:r>
        <w:t xml:space="preserve">Priority follows the highest risk rating among the threats a requirement addresses. High priority requirements should be designed and tested first.</w:t>
      </w:r>
    </w:p>
    <w:tbl>
      <w:tblPr>
        <w:tblW w:type="dxa" w:w="9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50"/>
        <w:gridCol w:w="1200"/>
        <w:gridCol w:w="1050"/>
        <w:gridCol w:w="1400"/>
        <w:gridCol w:w="3600"/>
      </w:tblGrid>
      <w:tr>
        <w:trPr>
          <w:tblHeader/>
        </w:trPr>
        <w:tc>
          <w:tcPr>
            <w:tcW w:type="dxa" w:w="8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ID</w:t>
            </w:r>
          </w:p>
        </w:tc>
        <w:tc>
          <w:tcPr>
            <w:tcW w:type="dxa" w:w="135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Threat(s)</w:t>
            </w:r>
          </w:p>
        </w:tc>
        <w:tc>
          <w:tcPr>
            <w:tcW w:type="dxa" w:w="12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Objective</w:t>
            </w:r>
          </w:p>
        </w:tc>
        <w:tc>
          <w:tcPr>
            <w:tcW w:type="dxa" w:w="105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Priority</w:t>
            </w:r>
          </w:p>
        </w:tc>
        <w:tc>
          <w:tcPr>
            <w:tcW w:type="dxa" w:w="14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SRS Reference</w:t>
            </w:r>
          </w:p>
        </w:tc>
        <w:tc>
          <w:tcPr>
            <w:tcW w:type="dxa" w:w="3600"/>
            <w:tcBorders>
              <w:top w:val="single" w:color="000000" w:sz="4"/>
              <w:left w:val="single" w:color="000000" w:sz="4"/>
              <w:bottom w:val="single" w:color="000000" w:sz="4"/>
              <w:right w:val="single" w:color="000000" w:sz="4"/>
            </w:tcBorders>
            <w:shd w:fill="262626" w:color="auto" w:val="clear"/>
            <w:tcMar>
              <w:top w:type="dxa" w:w="70"/>
              <w:left w:type="dxa" w:w="100"/>
              <w:bottom w:type="dxa" w:w="70"/>
              <w:right w:type="dxa" w:w="100"/>
            </w:tcMar>
            <w:vAlign w:val="center"/>
          </w:tcPr>
          <w:p>
            <w:pPr>
              <w:jc w:val="left"/>
            </w:pPr>
            <w:r>
              <w:rPr>
                <w:b/>
                <w:bCs/>
                <w:color w:val="FFFFFF"/>
                <w:sz w:val="20"/>
                <w:szCs w:val="20"/>
              </w:rPr>
              <w:t xml:space="preserve">Verification (how it is tested)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 TH-05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 NFR-03</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open a protected page without logging in; the system redirects to the login page.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log in with a wrong username, then a wrong password; the messages are identical.</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enter 5 wrong passwords; the 6th attempt with the correct password is rejected for 15 minutes and every failure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passwords that break any rule are rejected; a compliant password is accepted.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the user table holds only hashes; searching logs and the database finds no plain-text password.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UC-02, UC-03</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log in with a temporary password; the system forces a password change before any other action.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reset link works once and fails on reuse and after 30 minutes.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FR-20, UC-12 (4a)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stay idle for 15 minutes and the next request goes to login; after logout the old session token is rejected.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SEC-09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TH-03, 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cookie flags are present; the session ID before and after login differs.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FR-02, NFR-04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call a restricted function directly as a lower role; the server returns an access-denied response.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review the permission matrix of each role against the use cases.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TH-05</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FR-09, UC-08 (3b)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as Student A, request Student B's record by changing the ID; access is denied and the attempt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TH-05, TH-08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FR-07, FR-08, UC-06 (1a)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faculty member opens a class not assigned to them; access is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FR-03, FR-04, FR-06, FR-19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Faculty and Student attempts to use each admin function, including student management, are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UC-01 (3b)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deactivate a logged-in user; the next request is rejected and a new login is blocked.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TH-04,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FR-18, 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perform each account action and check that a log entry with user and time exists; a deletion also records the reason.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 NFR-10</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send malformed, oversized and out-of-range values; each is rejected with a validation message.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TH-06</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submit ' OR 1=1-- and &lt;script&gt;alert(1)&lt;/script&gt;; neither runs. Inspection: queries are parameterized and forms carry anti-CSRF tokens.</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SEC-19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TH-07</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http:// request is redirected to https://; a connection using TLS lower than 1.2 is refused.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 TH-11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NFR-11, FR-19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storage permissions are restricted and a backup file cannot be read without the key.</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TH-08, TH-09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FR-18, 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edit a record and check the log shows user, time, old and new value; a faculty attempt to change the log is denied.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TH-05, TH-09</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trigger each event and confirm a log entry; search the logs for passwords and tokens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SEC-23</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TH-08</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OBJ-02</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UC-07 (3a, 3c), NFR-10</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session on 6 Oct: a faculty edit on 8 Oct 23:59 succeeds, one on 9 Oct 00:00 is blocked; an Admin edit with a reason succeeds; all are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SEC-24</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OBJ-01</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FR-16, UC-09</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an export holds only the user's permitted data; a cell starting with "=" is neutralized; the export is logged.</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SEC-25</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FR-14, NFR-11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trigger a notification; only the affected student receives it, faculty see only their own students, and neither holds extra personal data.</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SEC-26</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OBJ-05</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FR-19, UC-13 (3a, 5a)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non-Admin restore is denied; a corrupted backup is rejected; a failed backup leaves the last valid backup intact.</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SEC-27</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TH-10</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NFR-11</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force errors and check the messages; inspect URLs and logs for personal data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SEC-28</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OBJ-06</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Medium</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NFR-02</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Inspection: scan the production setup and source code for default accounts and hard-coded secrets and find none.</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SEC-29</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 TH-02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FR-21, UC-01 (4)</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correct password without a code, or with a wrong code, never reaches a dashboard; a correct authenticator code, emailed code or backup code completes the login.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SEC-30</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 TH-03</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FR-21, UC-01 (3c)</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at first login the user must scan the QR code and confirm a code before any other page opens. Inspection: logs and emails never contain the setup secret.</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SEC-31</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TH-02, TH-12</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OBJ-04</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FR-21, UC-01 (4b)</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a backup code works once and fails on reuse; an Admin reset without re-entering the password is refused; a reset is logged and forces setup at next login.</w:t>
            </w:r>
          </w:p>
        </w:tc>
      </w:tr>
      <w:tr>
        <w:trPr>
          <w:cantSplit/>
        </w:trPr>
        <w:tc>
          <w:tcPr>
            <w:tcW w:type="dxa" w:w="8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bCs/>
                <w:sz w:val="20"/>
                <w:szCs w:val="20"/>
              </w:rPr>
              <w:t xml:space="preserve">SEC-32</w:t>
            </w:r>
          </w:p>
        </w:tc>
        <w:tc>
          <w:tcPr>
            <w:tcW w:type="dxa" w:w="13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TH-01</w:t>
            </w:r>
          </w:p>
        </w:tc>
        <w:tc>
          <w:tcPr>
            <w:tcW w:type="dxa" w:w="12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OBJ-03</w:t>
            </w:r>
          </w:p>
        </w:tc>
        <w:tc>
          <w:tcPr>
            <w:tcW w:type="dxa" w:w="105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center"/>
            </w:pPr>
            <w:r>
              <w:rPr>
                <w:b w:val="false"/>
                <w:bCs w:val="false"/>
                <w:sz w:val="20"/>
                <w:szCs w:val="20"/>
              </w:rPr>
              <w:t xml:space="preserve">High</w:t>
            </w:r>
          </w:p>
        </w:tc>
        <w:tc>
          <w:tcPr>
            <w:tcW w:type="dxa" w:w="14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FR-21, UC-01 (4a)</w:t>
            </w:r>
          </w:p>
        </w:tc>
        <w:tc>
          <w:tcPr>
            <w:tcW w:type="dxa" w:w="3600"/>
            <w:tcBorders>
              <w:top w:val="single" w:color="000000" w:sz="4"/>
              <w:left w:val="single" w:color="000000" w:sz="4"/>
              <w:bottom w:val="single" w:color="000000" w:sz="4"/>
              <w:right w:val="single" w:color="000000" w:sz="4"/>
            </w:tcBorders>
            <w:tcMar>
              <w:top w:type="dxa" w:w="70"/>
              <w:left w:type="dxa" w:w="100"/>
              <w:bottom w:type="dxa" w:w="70"/>
              <w:right w:type="dxa" w:w="100"/>
            </w:tcMar>
            <w:vAlign w:val="center"/>
          </w:tcPr>
          <w:p>
            <w:pPr>
              <w:jc w:val="left"/>
            </w:pPr>
            <w:r>
              <w:rPr>
                <w:b w:val="false"/>
                <w:bCs w:val="false"/>
                <w:sz w:val="20"/>
                <w:szCs w:val="20"/>
              </w:rPr>
              <w:t xml:space="preserve">Test: 5 wrong codes lock the account for 15 minutes; an emailed code fails after 10 minutes and on reuse; a 4th email request within 15 minutes is refused; every attempt is logged.</w:t>
            </w:r>
          </w:p>
        </w:tc>
      </w:tr>
    </w:tbl>
    <w:p>
      <w:pPr>
        <w:keepNext/>
        <w:pageBreakBefore/>
        <w:spacing w:before="0" w:after="140" w:line="260" w:lineRule="auto"/>
      </w:pPr>
      <w:r>
        <w:rPr>
          <w:rFonts w:ascii="Calibri" w:hAnsi="Calibri"/>
          <w:b/>
          <w:sz w:val="28"/>
        </w:rPr>
        <w:t>BL-34 Addendum: Email login details</w:t>
      </w:r>
    </w:p>
    <w:p>
      <w:pPr>
        <w:keepNext/>
        <w:spacing w:before="0" w:after="140" w:line="260" w:lineRule="auto"/>
      </w:pPr>
      <w:r>
        <w:rPr>
          <w:rFonts w:ascii="Calibri" w:hAnsi="Calibri"/>
          <w:b/>
          <w:sz w:val="28"/>
        </w:rPr>
        <w:t>Controls affected</w:t>
      </w:r>
    </w:p>
    <w:p>
      <w:pPr>
        <w:spacing w:before="0" w:after="140" w:line="260" w:lineRule="auto"/>
      </w:pPr>
      <w:r>
        <w:rPr>
          <w:rFonts w:ascii="Calibri" w:hAnsi="Calibri"/>
          <w:sz w:val="21"/>
        </w:rPr>
        <w:t>BL-34 (#42), 29 October 2026. Applies SEC-05, SEC-06, SEC-16, SEC-25, SEC-27 and SEC-28 to credential emails. Only active Admins may issue or resend credentials; CSRF-protected POST is required for reset/resend.</w:t>
      </w:r>
    </w:p>
    <w:p>
      <w:pPr>
        <w:keepNext/>
        <w:spacing w:before="0" w:after="140" w:line="260" w:lineRule="auto"/>
      </w:pPr>
      <w:r>
        <w:rPr>
          <w:rFonts w:ascii="Calibri" w:hAnsi="Calibri"/>
          <w:b/>
          <w:sz w:val="28"/>
        </w:rPr>
        <w:t>Scope and delivery</w:t>
      </w:r>
    </w:p>
    <w:p>
      <w:pPr>
        <w:spacing w:before="0" w:after="140" w:line="260" w:lineRule="auto"/>
      </w:pPr>
      <w:r>
        <w:rPr>
          <w:rFonts w:ascii="Calibri" w:hAnsi="Calibri"/>
          <w:sz w:val="21"/>
        </w:rPr>
        <w:t>After the Admin saves a new student or faculty profile, or resets a password, send only the account owner their username, new temporary password and trusted SITE_URL login link. Include the first-login password-change instruction. No CC/BCC, other personal data or academic data is included.</w:t>
      </w:r>
    </w:p>
    <w:p>
      <w:pPr>
        <w:keepNext/>
        <w:spacing w:before="0" w:after="140" w:line="260" w:lineRule="auto"/>
      </w:pPr>
      <w:r>
        <w:rPr>
          <w:rFonts w:ascii="Calibri" w:hAnsi="Calibri"/>
          <w:b/>
          <w:sz w:val="28"/>
        </w:rPr>
        <w:t>Failure and recovery</w:t>
      </w:r>
    </w:p>
    <w:p>
      <w:pPr>
        <w:spacing w:before="0" w:after="140" w:line="260" w:lineRule="auto"/>
      </w:pPr>
      <w:r>
        <w:rPr>
          <w:rFonts w:ascii="Calibri" w:hAnsi="Calibri"/>
          <w:sz w:val="21"/>
        </w:rPr>
        <w:t>Report delivery to a masked address. If sending fails, keep the saved account and show its temporary password once on the non-cacheable Admin response. Resend is an Admin-only POST for active temporary-password accounts: generate a fresh password, invalidate the old one and audit the resend. A user who already changed the password requires an explicit reset.</w:t>
      </w:r>
    </w:p>
    <w:p>
      <w:pPr>
        <w:keepNext/>
        <w:spacing w:before="0" w:after="140" w:line="260" w:lineRule="auto"/>
      </w:pPr>
      <w:r>
        <w:rPr>
          <w:rFonts w:ascii="Calibri" w:hAnsi="Calibri"/>
          <w:b/>
          <w:sz w:val="28"/>
        </w:rPr>
        <w:t>Security and configuration</w:t>
      </w:r>
    </w:p>
    <w:p>
      <w:pPr>
        <w:spacing w:before="0" w:after="140" w:line="260" w:lineRule="auto"/>
      </w:pPr>
      <w:r>
        <w:rPr>
          <w:rFonts w:ascii="Calibri" w:hAnsi="Calibri"/>
          <w:sz w:val="21"/>
        </w:rPr>
        <w:t>Persist only the password hash. Never put the password, email body or provider exception text in sessions, audit records or production logs. Audit attempts and outcomes with purpose and a masked address. Read SMTP settings and SITE_URL from .env; production links use HTTPS and never the request Host header. Development console previews use fictional accounts only and are explicitly labelled as not delivered.</w:t>
      </w:r>
    </w:p>
    <w:p>
      <w:pPr>
        <w:keepNext/>
        <w:spacing w:before="0" w:after="140" w:line="260" w:lineRule="auto"/>
      </w:pPr>
      <w:r>
        <w:rPr>
          <w:rFonts w:ascii="Calibri" w:hAnsi="Calibri"/>
          <w:b/>
          <w:sz w:val="28"/>
        </w:rPr>
        <w:t>Additional safeguards</w:t>
      </w:r>
    </w:p>
    <w:p>
      <w:pPr>
        <w:spacing w:before="0" w:after="140" w:line="260" w:lineRule="auto"/>
      </w:pPr>
      <w:r>
        <w:rPr>
          <w:rFonts w:ascii="Calibri" w:hAnsi="Calibri"/>
          <w:sz w:val="21"/>
        </w:rPr>
        <w:t>Reject zero-message transport results, unsafe login URLs and stale temporary passwords. Recheck the current account under a row lock before sending. Refuse production console and file-based/dummy delivery backends. Failed attempts remain auditable without recording provider exceptions. Console previews are the explicit development-only exception to production log restrictions; never persist them.</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Security Requirements Specification  |  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00000"/>
      <w:sz w:val="32"/>
      <w:szCs w:val="32"/>
    </w:rPr>
  </w:style>
  <w:style w:type="paragraph" w:styleId="Heading2">
    <w:name w:val="heading 2"/>
    <w:basedOn w:val="Normal"/>
    <w:next w:val="Normal"/>
    <w:qFormat/>
    <w:pPr>
      <w:outlineLvl w:val="1"/>
    </w:pPr>
    <w:rPr>
      <w:rFonts w:ascii="Calibri" w:cs="Calibri" w:eastAsia="Calibri" w:hAnsi="Calibri"/>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2026-10-15T06:01:59.840Z</dcterms:created>
  <dcterms:modified xsi:type="dcterms:W3CDTF">2026-10-15T06:01:59.850Z</dcterms:modified>
</cp:coreProperties>
</file>

<file path=docProps/custom.xml><?xml version="1.0" encoding="utf-8"?>
<Properties xmlns="http://schemas.openxmlformats.org/officeDocument/2006/custom-properties" xmlns:vt="http://schemas.openxmlformats.org/officeDocument/2006/docPropsVTypes"/>
</file>