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Times New Roman" w:hAnsi="Times New Roman"/>
          <w:b/>
          <w:color w:val="1A365D"/>
          <w:sz w:val="40"/>
        </w:rPr>
        <w:t>PRESIDENCY UNIVERSITY</w:t>
        <w:br/>
      </w:r>
      <w:r>
        <w:rPr>
          <w:rFonts w:ascii="Times New Roman" w:hAnsi="Times New Roman"/>
          <w:b/>
          <w:color w:val="4A5568"/>
          <w:sz w:val="26"/>
        </w:rPr>
        <w:t>Department of Computer Science and Engineering</w:t>
        <w:br/>
        <w:t>Bengaluru, India</w:t>
      </w:r>
    </w:p>
    <w:p>
      <w:pPr>
        <w:spacing w:before="720" w:after="160"/>
        <w:jc w:val="center"/>
      </w:pPr>
      <w:r>
        <w:rPr>
          <w:rFonts w:ascii="Times New Roman" w:hAnsi="Times New Roman"/>
          <w:b/>
          <w:color w:val="2B6CB0"/>
          <w:sz w:val="32"/>
        </w:rPr>
        <w:t>PHASE 1 PROJECT REPORT</w:t>
        <w:br/>
      </w:r>
      <w:r>
        <w:rPr>
          <w:rFonts w:ascii="Times New Roman" w:hAnsi="Times New Roman"/>
          <w:b/>
          <w:sz w:val="24"/>
        </w:rPr>
        <w:t>ON</w:t>
        <w:br/>
      </w:r>
    </w:p>
    <w:p>
      <w:pPr>
        <w:spacing w:before="240" w:after="480"/>
        <w:jc w:val="center"/>
      </w:pPr>
      <w:r>
        <w:rPr>
          <w:rFonts w:ascii="Times New Roman" w:hAnsi="Times New Roman"/>
          <w:b/>
          <w:color w:val="1A202C"/>
          <w:sz w:val="36"/>
        </w:rPr>
        <w:t>“Mental Health and Well-being Surveillance, Assessment and Tracking Solution Among Children”</w:t>
      </w:r>
    </w:p>
    <w:p>
      <w:pPr>
        <w:spacing w:before="360" w:after="720"/>
        <w:jc w:val="center"/>
      </w:pPr>
      <w:r>
        <w:rPr>
          <w:rFonts w:ascii="Times New Roman" w:hAnsi="Times New Roman"/>
          <w:i/>
          <w:sz w:val="22"/>
        </w:rPr>
        <w:t>Submitted in partial fulfillment of the requirements for the degree of</w:t>
        <w:br/>
      </w:r>
      <w:r>
        <w:rPr>
          <w:rFonts w:ascii="Times New Roman" w:hAnsi="Times New Roman"/>
          <w:b/>
          <w:color w:val="1A365D"/>
          <w:sz w:val="26"/>
        </w:rPr>
        <w:t>BACHELOR OF TECHNOLOGY</w:t>
        <w:br/>
        <w:t>IN</w:t>
        <w:br/>
        <w:t>COMPUTER SCIENCE AND ENGINEERING</w:t>
      </w:r>
    </w:p>
    <w:tbl>
      <w:tblPr>
        <w:tblW w:type="auto" w:w="0"/>
        <w:jc w:val="center"/>
        <w:tblLayout w:type="fixed"/>
        <w:tblLook w:firstColumn="1" w:firstRow="1" w:lastColumn="0" w:lastRow="0" w:noHBand="0" w:noVBand="1" w:val="04A0"/>
      </w:tblPr>
      <w:tblGrid>
        <w:gridCol w:w="4464"/>
        <w:gridCol w:w="4464"/>
      </w:tblGrid>
      <w:tr>
        <w:tc>
          <w:tcPr>
            <w:tcW w:type="dxa" w:w="4513"/>
          </w:tcPr>
          <w:p>
            <w:pPr>
              <w:spacing w:line="300" w:lineRule="auto"/>
            </w:pPr>
            <w:r>
              <w:rPr>
                <w:b/>
                <w:sz w:val="22"/>
              </w:rPr>
              <w:t>Submitted by:</w:t>
              <w:br/>
            </w:r>
            <w:r>
              <w:rPr>
                <w:b/>
                <w:color w:val="1A365D"/>
                <w:sz w:val="24"/>
              </w:rPr>
              <w:t>Harsha R</w:t>
              <w:br/>
            </w:r>
            <w:r>
              <w:rPr>
                <w:sz w:val="22"/>
              </w:rPr>
              <w:t>USN: 20231CSE0261</w:t>
            </w:r>
          </w:p>
        </w:tc>
        <w:tc>
          <w:tcPr>
            <w:tcW w:type="dxa" w:w="4513"/>
          </w:tcPr>
          <w:p>
            <w:pPr>
              <w:spacing w:line="300" w:lineRule="auto"/>
            </w:pPr>
            <w:r>
              <w:rPr>
                <w:b/>
                <w:sz w:val="22"/>
              </w:rPr>
              <w:t>Under the Guidance of:</w:t>
              <w:br/>
            </w:r>
            <w:r>
              <w:rPr>
                <w:b/>
                <w:color w:val="1A365D"/>
                <w:sz w:val="24"/>
              </w:rPr>
              <w:t>Mr. Jetti Satya Sai Kumar</w:t>
              <w:br/>
            </w:r>
            <w:r>
              <w:rPr>
                <w:sz w:val="21"/>
              </w:rPr>
              <w:t>Assistant Professor</w:t>
              <w:br/>
              <w:t>Dept. of Computer Science &amp; Engg.</w:t>
            </w:r>
          </w:p>
        </w:tc>
      </w:tr>
      <w:tr>
        <w:tc>
          <w:tcPr>
            <w:tcW w:type="dxa" w:w="9026"/>
            <w:gridSpan w:val="2"/>
          </w:tcPr>
          <w:p>
            <w:pPr>
              <w:spacing w:before="720"/>
              <w:jc w:val="center"/>
            </w:pPr>
            <w:r>
              <w:rPr>
                <w:b/>
                <w:color w:val="2B6CB0"/>
                <w:sz w:val="22"/>
              </w:rPr>
              <w:t>Academic Schedule: August 10, 2026 – November 28, 2026 | Academic Year: 2026–2027</w:t>
            </w:r>
          </w:p>
        </w:tc>
      </w:tr>
    </w:tbl>
    <w:p>
      <w:r>
        <w:br w:type="page"/>
      </w:r>
    </w:p>
    <w:p>
      <w:pPr>
        <w:keepNext/>
        <w:spacing w:before="320" w:after="120"/>
      </w:pPr>
      <w:r>
        <w:rPr>
          <w:rFonts w:ascii="Times New Roman" w:hAnsi="Times New Roman"/>
          <w:b/>
          <w:color w:val="1A365D"/>
          <w:sz w:val="32"/>
        </w:rPr>
        <w:t>Executive Summary / Abstract</w:t>
      </w:r>
    </w:p>
    <w:p>
      <w:pPr>
        <w:spacing w:line="360" w:lineRule="auto" w:after="120"/>
        <w:jc w:val="both"/>
      </w:pPr>
      <w:r>
        <w:rPr>
          <w:rFonts w:ascii="Times New Roman" w:hAnsi="Times New Roman"/>
          <w:i w:val="0"/>
          <w:color w:val="2D3748"/>
          <w:sz w:val="24"/>
        </w:rPr>
        <w:t>Childhood and adolescent psychological distress often develops gradually, with early manifestations reflected in observable lifestyle and behavioral changes such as irregular sleep patterns, excessive screen time, academic strain, and social withdrawal. However, conventional pediatric mental health screening approaches are largely episodic, adult-centric, and dependent on structured clinical consultations that may not capture gradual behavioral shifts in everyday environments.</w:t>
      </w:r>
    </w:p>
    <w:p>
      <w:pPr>
        <w:spacing w:line="360" w:lineRule="auto" w:after="120"/>
        <w:jc w:val="both"/>
      </w:pPr>
      <w:r>
        <w:rPr>
          <w:rFonts w:ascii="Times New Roman" w:hAnsi="Times New Roman"/>
          <w:i w:val="0"/>
          <w:color w:val="2D3748"/>
          <w:sz w:val="24"/>
        </w:rPr>
        <w:t>This academic project, titled “Mental Health and Well-being Surveillance, Assessment and Tracking Solution Among Children”, proposes the design of an interactive, non-clinical software platform for early well-being surveillance, multi-factor behavioral assessment, longitudinal tracking, and verified support referral. The proposed platform incorporates a child-friendly interface featuring emoji-based mood check-ins and an optional reflective text journal. The conceptual architecture includes: (1) a proposed supervised machine learning classification workflow designed to stratify non-diagnostic well-being indicators into risk tiers (Low / Healthy, Moderate / Monitoring, and Elevated / Action Advised), and (2) a natural language processing (NLP) sentiment module intended to evaluate emotional valence and affective tone from self-reported text entries. Furthermore, the platform integrates non-clinical psychoeducational exercises (such as visual 4-7-8 breathing pacing and grounding activities) for children, alongside a proposed caregiver/educator dashboard displaying longitudinal trend trajectories and verified crisis contact directories (e.g., Childline 1098, Tele-MANAS 14416).</w:t>
      </w:r>
    </w:p>
    <w:p>
      <w:pPr>
        <w:spacing w:line="360" w:lineRule="auto" w:after="120"/>
        <w:jc w:val="both"/>
      </w:pPr>
      <w:r>
        <w:rPr>
          <w:rFonts w:ascii="Times New Roman" w:hAnsi="Times New Roman"/>
          <w:i w:val="0"/>
          <w:color w:val="2D3748"/>
          <w:sz w:val="24"/>
        </w:rPr>
        <w:t>Medical and Ethical Disclaimer: This platform is designed strictly as an academic research prototype for surveillance, well-being tracking, and non-clinical decision support. It does not provide medical diagnoses, psychiatric evaluations, or clinical therapies. Clinical evaluation by qualified healthcare professionals is required for all medical and psychiatric decisions.</w:t>
      </w:r>
    </w:p>
    <w:p>
      <w:pPr>
        <w:spacing w:line="360" w:lineRule="auto" w:after="120"/>
        <w:jc w:val="both"/>
      </w:pPr>
      <w:r>
        <w:rPr>
          <w:rFonts w:ascii="Times New Roman" w:hAnsi="Times New Roman"/>
          <w:b/>
          <w:color w:val="1A202C"/>
          <w:sz w:val="24"/>
        </w:rPr>
        <w:t xml:space="preserve">Keywords: </w:t>
      </w:r>
      <w:r>
        <w:rPr>
          <w:rFonts w:ascii="Times New Roman" w:hAnsi="Times New Roman"/>
          <w:i/>
          <w:color w:val="2D3748"/>
          <w:sz w:val="24"/>
        </w:rPr>
        <w:t>Pediatric Well-being, Mental Health Surveillance, Digital Health Tracking, Machine Learning, Natural Language Processing, Child-Computer Interaction, Crisis Referral.</w:t>
      </w:r>
    </w:p>
    <w:p>
      <w:pPr>
        <w:keepNext/>
        <w:spacing w:before="320" w:after="120"/>
      </w:pPr>
      <w:r>
        <w:rPr>
          <w:rFonts w:ascii="Times New Roman" w:hAnsi="Times New Roman"/>
          <w:b/>
          <w:color w:val="1A365D"/>
          <w:sz w:val="32"/>
        </w:rPr>
        <w:t>Table of Contents</w:t>
      </w:r>
    </w:p>
    <w:tbl>
      <w:tblPr>
        <w:tblW w:type="auto" w:w="0"/>
        <w:jc w:val="center"/>
        <w:tblLayout w:type="fixed"/>
        <w:tblLook w:firstColumn="1" w:firstRow="1" w:lastColumn="0" w:lastRow="0" w:noHBand="0" w:noVBand="1" w:val="04A0"/>
      </w:tblPr>
      <w:tblGrid>
        <w:gridCol w:w="7920"/>
        <w:gridCol w:w="1109"/>
      </w:tblGrid>
      <w:tr>
        <w:tc>
          <w:tcPr>
            <w:tcW w:type="dxa" w:w="4513"/>
          </w:tcPr>
          <w:p>
            <w:pPr>
              <w:spacing w:line="276" w:lineRule="auto" w:after="40"/>
            </w:pPr>
            <w:r>
              <w:rPr>
                <w:rFonts w:ascii="Times New Roman" w:hAnsi="Times New Roman"/>
                <w:b/>
                <w:color w:val="1A365D"/>
                <w:sz w:val="22"/>
              </w:rPr>
              <w:t>1. Section 1: Literature Review &amp; Research Gap</w:t>
            </w:r>
          </w:p>
        </w:tc>
        <w:tc>
          <w:tcPr>
            <w:tcW w:type="dxa" w:w="4513"/>
          </w:tcPr>
          <w:p>
            <w:pPr>
              <w:spacing w:line="276" w:lineRule="auto" w:after="40"/>
              <w:jc w:val="right"/>
            </w:pPr>
            <w:r>
              <w:rPr>
                <w:rFonts w:ascii="Times New Roman" w:hAnsi="Times New Roman"/>
                <w:b/>
                <w:sz w:val="22"/>
              </w:rPr>
              <w:t>3</w:t>
            </w:r>
          </w:p>
        </w:tc>
      </w:tr>
      <w:tr>
        <w:tc>
          <w:tcPr>
            <w:tcW w:type="dxa" w:w="4513"/>
          </w:tcPr>
          <w:p>
            <w:pPr>
              <w:spacing w:line="276" w:lineRule="auto" w:after="40"/>
            </w:pPr>
            <w:r>
              <w:rPr>
                <w:rFonts w:ascii="Times New Roman" w:hAnsi="Times New Roman"/>
                <w:sz w:val="22"/>
              </w:rPr>
              <w:t xml:space="preserve">    1.1 Thematic Survey of Existing Literature</w:t>
            </w:r>
          </w:p>
        </w:tc>
        <w:tc>
          <w:tcPr>
            <w:tcW w:type="dxa" w:w="4513"/>
          </w:tcPr>
          <w:p>
            <w:pPr>
              <w:spacing w:line="276" w:lineRule="auto" w:after="40"/>
              <w:jc w:val="right"/>
            </w:pPr>
            <w:r>
              <w:rPr>
                <w:rFonts w:ascii="Times New Roman" w:hAnsi="Times New Roman"/>
                <w:sz w:val="22"/>
              </w:rPr>
              <w:t>3</w:t>
            </w:r>
          </w:p>
        </w:tc>
      </w:tr>
      <w:tr>
        <w:tc>
          <w:tcPr>
            <w:tcW w:type="dxa" w:w="4513"/>
          </w:tcPr>
          <w:p>
            <w:pPr>
              <w:spacing w:line="276" w:lineRule="auto" w:after="40"/>
            </w:pPr>
            <w:r>
              <w:rPr>
                <w:rFonts w:ascii="Times New Roman" w:hAnsi="Times New Roman"/>
                <w:sz w:val="22"/>
              </w:rPr>
              <w:t xml:space="preserve">    1.2 In-Depth Analysis of Key Research Papers</w:t>
            </w:r>
          </w:p>
        </w:tc>
        <w:tc>
          <w:tcPr>
            <w:tcW w:type="dxa" w:w="4513"/>
          </w:tcPr>
          <w:p>
            <w:pPr>
              <w:spacing w:line="276" w:lineRule="auto" w:after="40"/>
              <w:jc w:val="right"/>
            </w:pPr>
            <w:r>
              <w:rPr>
                <w:rFonts w:ascii="Times New Roman" w:hAnsi="Times New Roman"/>
                <w:sz w:val="22"/>
              </w:rPr>
              <w:t>3</w:t>
            </w:r>
          </w:p>
        </w:tc>
      </w:tr>
      <w:tr>
        <w:tc>
          <w:tcPr>
            <w:tcW w:type="dxa" w:w="4513"/>
          </w:tcPr>
          <w:p>
            <w:pPr>
              <w:spacing w:line="276" w:lineRule="auto" w:after="40"/>
            </w:pPr>
            <w:r>
              <w:rPr>
                <w:rFonts w:ascii="Times New Roman" w:hAnsi="Times New Roman"/>
                <w:sz w:val="22"/>
              </w:rPr>
              <w:t xml:space="preserve">    1.3 Comparative Analysis Matrix</w:t>
            </w:r>
          </w:p>
        </w:tc>
        <w:tc>
          <w:tcPr>
            <w:tcW w:type="dxa" w:w="4513"/>
          </w:tcPr>
          <w:p>
            <w:pPr>
              <w:spacing w:line="276" w:lineRule="auto" w:after="40"/>
              <w:jc w:val="right"/>
            </w:pPr>
            <w:r>
              <w:rPr>
                <w:rFonts w:ascii="Times New Roman" w:hAnsi="Times New Roman"/>
                <w:sz w:val="22"/>
              </w:rPr>
              <w:t>5</w:t>
            </w:r>
          </w:p>
        </w:tc>
      </w:tr>
      <w:tr>
        <w:tc>
          <w:tcPr>
            <w:tcW w:type="dxa" w:w="4513"/>
          </w:tcPr>
          <w:p>
            <w:pPr>
              <w:spacing w:line="276" w:lineRule="auto" w:after="40"/>
            </w:pPr>
            <w:r>
              <w:rPr>
                <w:rFonts w:ascii="Times New Roman" w:hAnsi="Times New Roman"/>
                <w:sz w:val="22"/>
              </w:rPr>
              <w:t xml:space="preserve">    1.4 Identified Research Gaps &amp; Problem Statement</w:t>
            </w:r>
          </w:p>
        </w:tc>
        <w:tc>
          <w:tcPr>
            <w:tcW w:type="dxa" w:w="4513"/>
          </w:tcPr>
          <w:p>
            <w:pPr>
              <w:spacing w:line="276" w:lineRule="auto" w:after="40"/>
              <w:jc w:val="right"/>
            </w:pPr>
            <w:r>
              <w:rPr>
                <w:rFonts w:ascii="Times New Roman" w:hAnsi="Times New Roman"/>
                <w:sz w:val="22"/>
              </w:rPr>
              <w:t>5</w:t>
            </w:r>
          </w:p>
        </w:tc>
      </w:tr>
      <w:tr>
        <w:tc>
          <w:tcPr>
            <w:tcW w:type="dxa" w:w="4513"/>
          </w:tcPr>
          <w:p>
            <w:pPr>
              <w:spacing w:line="276" w:lineRule="auto" w:after="40"/>
            </w:pPr>
            <w:r>
              <w:rPr>
                <w:rFonts w:ascii="Times New Roman" w:hAnsi="Times New Roman"/>
                <w:b/>
                <w:color w:val="1A365D"/>
                <w:sz w:val="22"/>
              </w:rPr>
              <w:t>2. Section 2: System Architecture Design</w:t>
            </w:r>
          </w:p>
        </w:tc>
        <w:tc>
          <w:tcPr>
            <w:tcW w:type="dxa" w:w="4513"/>
          </w:tcPr>
          <w:p>
            <w:pPr>
              <w:spacing w:line="276" w:lineRule="auto" w:after="40"/>
              <w:jc w:val="right"/>
            </w:pPr>
            <w:r>
              <w:rPr>
                <w:rFonts w:ascii="Times New Roman" w:hAnsi="Times New Roman"/>
                <w:b/>
                <w:sz w:val="22"/>
              </w:rPr>
              <w:t>7</w:t>
            </w:r>
          </w:p>
        </w:tc>
      </w:tr>
      <w:tr>
        <w:tc>
          <w:tcPr>
            <w:tcW w:type="dxa" w:w="4513"/>
          </w:tcPr>
          <w:p>
            <w:pPr>
              <w:spacing w:line="276" w:lineRule="auto" w:after="40"/>
            </w:pPr>
            <w:r>
              <w:rPr>
                <w:rFonts w:ascii="Times New Roman" w:hAnsi="Times New Roman"/>
                <w:sz w:val="22"/>
              </w:rPr>
              <w:t xml:space="preserve">    2.1 Design Philosophy &amp; Multi-Tier Architecture</w:t>
            </w:r>
          </w:p>
        </w:tc>
        <w:tc>
          <w:tcPr>
            <w:tcW w:type="dxa" w:w="4513"/>
          </w:tcPr>
          <w:p>
            <w:pPr>
              <w:spacing w:line="276" w:lineRule="auto" w:after="40"/>
              <w:jc w:val="right"/>
            </w:pPr>
            <w:r>
              <w:rPr>
                <w:rFonts w:ascii="Times New Roman" w:hAnsi="Times New Roman"/>
                <w:sz w:val="22"/>
              </w:rPr>
              <w:t>7</w:t>
            </w:r>
          </w:p>
        </w:tc>
      </w:tr>
      <w:tr>
        <w:tc>
          <w:tcPr>
            <w:tcW w:type="dxa" w:w="4513"/>
          </w:tcPr>
          <w:p>
            <w:pPr>
              <w:spacing w:line="276" w:lineRule="auto" w:after="40"/>
            </w:pPr>
            <w:r>
              <w:rPr>
                <w:rFonts w:ascii="Times New Roman" w:hAnsi="Times New Roman"/>
                <w:sz w:val="22"/>
              </w:rPr>
              <w:t xml:space="preserve">    2.2 System Architecture Diagram</w:t>
            </w:r>
          </w:p>
        </w:tc>
        <w:tc>
          <w:tcPr>
            <w:tcW w:type="dxa" w:w="4513"/>
          </w:tcPr>
          <w:p>
            <w:pPr>
              <w:spacing w:line="276" w:lineRule="auto" w:after="40"/>
              <w:jc w:val="right"/>
            </w:pPr>
            <w:r>
              <w:rPr>
                <w:rFonts w:ascii="Times New Roman" w:hAnsi="Times New Roman"/>
                <w:sz w:val="22"/>
              </w:rPr>
              <w:t>8</w:t>
            </w:r>
          </w:p>
        </w:tc>
      </w:tr>
      <w:tr>
        <w:tc>
          <w:tcPr>
            <w:tcW w:type="dxa" w:w="4513"/>
          </w:tcPr>
          <w:p>
            <w:pPr>
              <w:spacing w:line="276" w:lineRule="auto" w:after="40"/>
            </w:pPr>
            <w:r>
              <w:rPr>
                <w:rFonts w:ascii="Times New Roman" w:hAnsi="Times New Roman"/>
                <w:sz w:val="22"/>
              </w:rPr>
              <w:t xml:space="preserve">    2.3 Component Input / Output Specifications</w:t>
            </w:r>
          </w:p>
        </w:tc>
        <w:tc>
          <w:tcPr>
            <w:tcW w:type="dxa" w:w="4513"/>
          </w:tcPr>
          <w:p>
            <w:pPr>
              <w:spacing w:line="276" w:lineRule="auto" w:after="40"/>
              <w:jc w:val="right"/>
            </w:pPr>
            <w:r>
              <w:rPr>
                <w:rFonts w:ascii="Times New Roman" w:hAnsi="Times New Roman"/>
                <w:sz w:val="22"/>
              </w:rPr>
              <w:t>9</w:t>
            </w:r>
          </w:p>
        </w:tc>
      </w:tr>
      <w:tr>
        <w:tc>
          <w:tcPr>
            <w:tcW w:type="dxa" w:w="4513"/>
          </w:tcPr>
          <w:p>
            <w:pPr>
              <w:spacing w:line="276" w:lineRule="auto" w:after="40"/>
            </w:pPr>
            <w:r>
              <w:rPr>
                <w:rFonts w:ascii="Times New Roman" w:hAnsi="Times New Roman"/>
                <w:sz w:val="22"/>
              </w:rPr>
              <w:t xml:space="preserve">    2.4 Data Flow Modeling</w:t>
            </w:r>
          </w:p>
        </w:tc>
        <w:tc>
          <w:tcPr>
            <w:tcW w:type="dxa" w:w="4513"/>
          </w:tcPr>
          <w:p>
            <w:pPr>
              <w:spacing w:line="276" w:lineRule="auto" w:after="40"/>
              <w:jc w:val="right"/>
            </w:pPr>
            <w:r>
              <w:rPr>
                <w:rFonts w:ascii="Times New Roman" w:hAnsi="Times New Roman"/>
                <w:sz w:val="22"/>
              </w:rPr>
              <w:t>10</w:t>
            </w:r>
          </w:p>
        </w:tc>
      </w:tr>
      <w:tr>
        <w:tc>
          <w:tcPr>
            <w:tcW w:type="dxa" w:w="4513"/>
          </w:tcPr>
          <w:p>
            <w:pPr>
              <w:spacing w:line="276" w:lineRule="auto" w:after="40"/>
            </w:pPr>
            <w:r>
              <w:rPr>
                <w:rFonts w:ascii="Times New Roman" w:hAnsi="Times New Roman"/>
                <w:sz w:val="22"/>
              </w:rPr>
              <w:t xml:space="preserve">    2.5 Privacy, Security, Consent, and Child Safety Protocols</w:t>
            </w:r>
          </w:p>
        </w:tc>
        <w:tc>
          <w:tcPr>
            <w:tcW w:type="dxa" w:w="4513"/>
          </w:tcPr>
          <w:p>
            <w:pPr>
              <w:spacing w:line="276" w:lineRule="auto" w:after="40"/>
              <w:jc w:val="right"/>
            </w:pPr>
            <w:r>
              <w:rPr>
                <w:rFonts w:ascii="Times New Roman" w:hAnsi="Times New Roman"/>
                <w:sz w:val="22"/>
              </w:rPr>
              <w:t>11</w:t>
            </w:r>
          </w:p>
        </w:tc>
      </w:tr>
      <w:tr>
        <w:tc>
          <w:tcPr>
            <w:tcW w:type="dxa" w:w="4513"/>
          </w:tcPr>
          <w:p>
            <w:pPr>
              <w:spacing w:line="276" w:lineRule="auto" w:after="40"/>
            </w:pPr>
            <w:r>
              <w:rPr>
                <w:rFonts w:ascii="Times New Roman" w:hAnsi="Times New Roman"/>
                <w:b/>
                <w:color w:val="1A365D"/>
                <w:sz w:val="22"/>
              </w:rPr>
              <w:t>3. Section 3: Expected System Outputs</w:t>
            </w:r>
          </w:p>
        </w:tc>
        <w:tc>
          <w:tcPr>
            <w:tcW w:type="dxa" w:w="4513"/>
          </w:tcPr>
          <w:p>
            <w:pPr>
              <w:spacing w:line="276" w:lineRule="auto" w:after="40"/>
              <w:jc w:val="right"/>
            </w:pPr>
            <w:r>
              <w:rPr>
                <w:rFonts w:ascii="Times New Roman" w:hAnsi="Times New Roman"/>
                <w:b/>
                <w:sz w:val="22"/>
              </w:rPr>
              <w:t>12</w:t>
            </w:r>
          </w:p>
        </w:tc>
      </w:tr>
      <w:tr>
        <w:tc>
          <w:tcPr>
            <w:tcW w:type="dxa" w:w="4513"/>
          </w:tcPr>
          <w:p>
            <w:pPr>
              <w:spacing w:line="276" w:lineRule="auto" w:after="40"/>
            </w:pPr>
            <w:r>
              <w:rPr>
                <w:rFonts w:ascii="Times New Roman" w:hAnsi="Times New Roman"/>
                <w:sz w:val="22"/>
              </w:rPr>
              <w:t xml:space="preserve">    3.1 Functional Output Deliverables</w:t>
            </w:r>
          </w:p>
        </w:tc>
        <w:tc>
          <w:tcPr>
            <w:tcW w:type="dxa" w:w="4513"/>
          </w:tcPr>
          <w:p>
            <w:pPr>
              <w:spacing w:line="276" w:lineRule="auto" w:after="40"/>
              <w:jc w:val="right"/>
            </w:pPr>
            <w:r>
              <w:rPr>
                <w:rFonts w:ascii="Times New Roman" w:hAnsi="Times New Roman"/>
                <w:sz w:val="22"/>
              </w:rPr>
              <w:t>12</w:t>
            </w:r>
          </w:p>
        </w:tc>
      </w:tr>
      <w:tr>
        <w:tc>
          <w:tcPr>
            <w:tcW w:type="dxa" w:w="4513"/>
          </w:tcPr>
          <w:p>
            <w:pPr>
              <w:spacing w:line="276" w:lineRule="auto" w:after="40"/>
            </w:pPr>
            <w:r>
              <w:rPr>
                <w:rFonts w:ascii="Times New Roman" w:hAnsi="Times New Roman"/>
                <w:sz w:val="22"/>
              </w:rPr>
              <w:t xml:space="preserve">    3.2 Non-Diagnostic Clinical Disclaimer</w:t>
            </w:r>
          </w:p>
        </w:tc>
        <w:tc>
          <w:tcPr>
            <w:tcW w:type="dxa" w:w="4513"/>
          </w:tcPr>
          <w:p>
            <w:pPr>
              <w:spacing w:line="276" w:lineRule="auto" w:after="40"/>
              <w:jc w:val="right"/>
            </w:pPr>
            <w:r>
              <w:rPr>
                <w:rFonts w:ascii="Times New Roman" w:hAnsi="Times New Roman"/>
                <w:sz w:val="22"/>
              </w:rPr>
              <w:t>14</w:t>
            </w:r>
          </w:p>
        </w:tc>
      </w:tr>
      <w:tr>
        <w:tc>
          <w:tcPr>
            <w:tcW w:type="dxa" w:w="4513"/>
          </w:tcPr>
          <w:p>
            <w:pPr>
              <w:spacing w:line="276" w:lineRule="auto" w:after="40"/>
            </w:pPr>
            <w:r>
              <w:rPr>
                <w:rFonts w:ascii="Times New Roman" w:hAnsi="Times New Roman"/>
                <w:b/>
                <w:color w:val="1A365D"/>
                <w:sz w:val="22"/>
              </w:rPr>
              <w:t>4. Section 4: Project Timeline &amp; Gantt Chart</w:t>
            </w:r>
          </w:p>
        </w:tc>
        <w:tc>
          <w:tcPr>
            <w:tcW w:type="dxa" w:w="4513"/>
          </w:tcPr>
          <w:p>
            <w:pPr>
              <w:spacing w:line="276" w:lineRule="auto" w:after="40"/>
              <w:jc w:val="right"/>
            </w:pPr>
            <w:r>
              <w:rPr>
                <w:rFonts w:ascii="Times New Roman" w:hAnsi="Times New Roman"/>
                <w:b/>
                <w:sz w:val="22"/>
              </w:rPr>
              <w:t>15</w:t>
            </w:r>
          </w:p>
        </w:tc>
      </w:tr>
      <w:tr>
        <w:tc>
          <w:tcPr>
            <w:tcW w:type="dxa" w:w="4513"/>
          </w:tcPr>
          <w:p>
            <w:pPr>
              <w:spacing w:line="276" w:lineRule="auto" w:after="40"/>
            </w:pPr>
            <w:r>
              <w:rPr>
                <w:rFonts w:ascii="Times New Roman" w:hAnsi="Times New Roman"/>
                <w:sz w:val="22"/>
              </w:rPr>
              <w:t xml:space="preserve">    4.1 Work Breakdown Structure (WBS: Aug 10 – Nov 28, 2026)</w:t>
            </w:r>
          </w:p>
        </w:tc>
        <w:tc>
          <w:tcPr>
            <w:tcW w:type="dxa" w:w="4513"/>
          </w:tcPr>
          <w:p>
            <w:pPr>
              <w:spacing w:line="276" w:lineRule="auto" w:after="40"/>
              <w:jc w:val="right"/>
            </w:pPr>
            <w:r>
              <w:rPr>
                <w:rFonts w:ascii="Times New Roman" w:hAnsi="Times New Roman"/>
                <w:sz w:val="22"/>
              </w:rPr>
              <w:t>15</w:t>
            </w:r>
          </w:p>
        </w:tc>
      </w:tr>
      <w:tr>
        <w:tc>
          <w:tcPr>
            <w:tcW w:type="dxa" w:w="4513"/>
          </w:tcPr>
          <w:p>
            <w:pPr>
              <w:spacing w:line="276" w:lineRule="auto" w:after="40"/>
            </w:pPr>
            <w:r>
              <w:rPr>
                <w:rFonts w:ascii="Times New Roman" w:hAnsi="Times New Roman"/>
                <w:sz w:val="22"/>
              </w:rPr>
              <w:t xml:space="preserve">    4.2 Phase 1 Monthly Schedule &amp; Milestones</w:t>
            </w:r>
          </w:p>
        </w:tc>
        <w:tc>
          <w:tcPr>
            <w:tcW w:type="dxa" w:w="4513"/>
          </w:tcPr>
          <w:p>
            <w:pPr>
              <w:spacing w:line="276" w:lineRule="auto" w:after="40"/>
              <w:jc w:val="right"/>
            </w:pPr>
            <w:r>
              <w:rPr>
                <w:rFonts w:ascii="Times New Roman" w:hAnsi="Times New Roman"/>
                <w:sz w:val="22"/>
              </w:rPr>
              <w:t>16</w:t>
            </w:r>
          </w:p>
        </w:tc>
      </w:tr>
      <w:tr>
        <w:tc>
          <w:tcPr>
            <w:tcW w:type="dxa" w:w="4513"/>
          </w:tcPr>
          <w:p>
            <w:pPr>
              <w:spacing w:line="276" w:lineRule="auto" w:after="40"/>
            </w:pPr>
            <w:r>
              <w:rPr>
                <w:rFonts w:ascii="Times New Roman" w:hAnsi="Times New Roman"/>
                <w:sz w:val="22"/>
              </w:rPr>
              <w:t xml:space="preserve">    4.3 Visual Project Gantt Chart</w:t>
            </w:r>
          </w:p>
        </w:tc>
        <w:tc>
          <w:tcPr>
            <w:tcW w:type="dxa" w:w="4513"/>
          </w:tcPr>
          <w:p>
            <w:pPr>
              <w:spacing w:line="276" w:lineRule="auto" w:after="40"/>
              <w:jc w:val="right"/>
            </w:pPr>
            <w:r>
              <w:rPr>
                <w:rFonts w:ascii="Times New Roman" w:hAnsi="Times New Roman"/>
                <w:sz w:val="22"/>
              </w:rPr>
              <w:t>17</w:t>
            </w:r>
          </w:p>
        </w:tc>
      </w:tr>
      <w:tr>
        <w:tc>
          <w:tcPr>
            <w:tcW w:type="dxa" w:w="4513"/>
          </w:tcPr>
          <w:p>
            <w:pPr>
              <w:spacing w:line="276" w:lineRule="auto" w:after="40"/>
            </w:pPr>
            <w:r>
              <w:rPr>
                <w:rFonts w:ascii="Times New Roman" w:hAnsi="Times New Roman"/>
                <w:b/>
                <w:color w:val="1A365D"/>
                <w:sz w:val="22"/>
              </w:rPr>
              <w:t>5. References</w:t>
            </w:r>
          </w:p>
        </w:tc>
        <w:tc>
          <w:tcPr>
            <w:tcW w:type="dxa" w:w="4513"/>
          </w:tcPr>
          <w:p>
            <w:pPr>
              <w:spacing w:line="276" w:lineRule="auto" w:after="40"/>
              <w:jc w:val="right"/>
            </w:pPr>
            <w:r>
              <w:rPr>
                <w:rFonts w:ascii="Times New Roman" w:hAnsi="Times New Roman"/>
                <w:b/>
                <w:sz w:val="22"/>
              </w:rPr>
              <w:t>18</w:t>
            </w:r>
          </w:p>
        </w:tc>
      </w:tr>
    </w:tbl>
    <w:p>
      <w:r>
        <w:br w:type="page"/>
      </w:r>
    </w:p>
    <w:p>
      <w:pPr>
        <w:keepNext/>
        <w:spacing w:before="320" w:after="120"/>
      </w:pPr>
      <w:r>
        <w:rPr>
          <w:rFonts w:ascii="Times New Roman" w:hAnsi="Times New Roman"/>
          <w:b/>
          <w:color w:val="1A365D"/>
          <w:sz w:val="32"/>
        </w:rPr>
        <w:t>1. Section 1: Literature Review &amp; Research Gap</w:t>
      </w:r>
    </w:p>
    <w:p>
      <w:pPr>
        <w:keepNext/>
        <w:spacing w:before="240" w:after="80"/>
      </w:pPr>
      <w:r>
        <w:rPr>
          <w:rFonts w:ascii="Times New Roman" w:hAnsi="Times New Roman"/>
          <w:b/>
          <w:color w:val="2B6CB0"/>
          <w:sz w:val="28"/>
        </w:rPr>
        <w:t>1.1 Thematic Survey of Existing Literature</w:t>
      </w:r>
    </w:p>
    <w:p>
      <w:pPr>
        <w:spacing w:line="360" w:lineRule="auto" w:after="120"/>
        <w:jc w:val="both"/>
      </w:pPr>
      <w:r>
        <w:rPr>
          <w:rFonts w:ascii="Times New Roman" w:hAnsi="Times New Roman"/>
          <w:i w:val="0"/>
          <w:color w:val="2D3748"/>
          <w:sz w:val="24"/>
        </w:rPr>
        <w:t>The literature addressing youth mental health surveillance and digital tracking intersects multiple disciplines, spanning epidemiology, human-computer interaction (HCI), machine learning (ML), and clinical psychology. A synthesis of peer-reviewed research reveals several core themes:</w:t>
      </w:r>
    </w:p>
    <w:p>
      <w:pPr>
        <w:pStyle w:val="ListBullet"/>
        <w:spacing w:line="300" w:lineRule="auto" w:after="80"/>
        <w:jc w:val="both"/>
      </w:pPr>
      <w:r>
        <w:rPr>
          <w:rFonts w:ascii="Times New Roman" w:hAnsi="Times New Roman"/>
          <w:b/>
          <w:color w:val="1A202C"/>
          <w:sz w:val="23"/>
        </w:rPr>
        <w:t xml:space="preserve">Pediatric Mental Health Landscape: </w:t>
      </w:r>
      <w:r>
        <w:rPr>
          <w:rFonts w:ascii="Times New Roman" w:hAnsi="Times New Roman"/>
          <w:color w:val="2D3748"/>
          <w:sz w:val="23"/>
        </w:rPr>
        <w:t>Epidemiological surveillance frameworks (WHO, 2022; Bitsko et al., 2022) establish that anxiety, behavioral disorders, and mood dysregulation in children and adolescents often correlate with disruptions in core lifestyle routines, particularly sleep sufficiency and physical activity.</w:t>
      </w:r>
    </w:p>
    <w:p>
      <w:pPr>
        <w:pStyle w:val="ListBullet"/>
        <w:spacing w:line="300" w:lineRule="auto" w:after="80"/>
        <w:jc w:val="both"/>
      </w:pPr>
      <w:r>
        <w:rPr>
          <w:rFonts w:ascii="Times New Roman" w:hAnsi="Times New Roman"/>
          <w:b/>
          <w:color w:val="1A202C"/>
          <w:sz w:val="23"/>
        </w:rPr>
        <w:t xml:space="preserve">Digital Health Interventions for Youth: </w:t>
      </w:r>
      <w:r>
        <w:rPr>
          <w:rFonts w:ascii="Times New Roman" w:hAnsi="Times New Roman"/>
          <w:color w:val="2D3748"/>
          <w:sz w:val="23"/>
        </w:rPr>
        <w:t>Systematic reviews (Hollis et al., 2017; Grist et al., 2017) indicate that digital tracking and computerized cognitive behavioral support can positively influence youth engagement, but user retention depends strongly on age-appropriate visual interfaces and immediate interactive feedback.</w:t>
      </w:r>
    </w:p>
    <w:p>
      <w:pPr>
        <w:pStyle w:val="ListBullet"/>
        <w:spacing w:line="300" w:lineRule="auto" w:after="80"/>
        <w:jc w:val="both"/>
      </w:pPr>
      <w:r>
        <w:rPr>
          <w:rFonts w:ascii="Times New Roman" w:hAnsi="Times New Roman"/>
          <w:b/>
          <w:color w:val="1A202C"/>
          <w:sz w:val="23"/>
        </w:rPr>
        <w:t xml:space="preserve">Machine Learning for Risk Estimation: </w:t>
      </w:r>
      <w:r>
        <w:rPr>
          <w:rFonts w:ascii="Times New Roman" w:hAnsi="Times New Roman"/>
          <w:color w:val="2D3748"/>
          <w:sz w:val="23"/>
        </w:rPr>
        <w:t>Healthcare informatics literature (Shatte et al., 2019; Burke et al., 2019) highlights the utility of supervised learning models (such as decision trees, random forests, and logistic regression) in modeling non-linear interactions across multidimensional survey data, while emphasizing the critical necessity of avoiding methodological overfitting.</w:t>
      </w:r>
    </w:p>
    <w:p>
      <w:pPr>
        <w:pStyle w:val="ListBullet"/>
        <w:spacing w:line="300" w:lineRule="auto" w:after="80"/>
        <w:jc w:val="both"/>
      </w:pPr>
      <w:r>
        <w:rPr>
          <w:rFonts w:ascii="Times New Roman" w:hAnsi="Times New Roman"/>
          <w:b/>
          <w:color w:val="1A202C"/>
          <w:sz w:val="23"/>
        </w:rPr>
        <w:t xml:space="preserve">NLP and Affective Sentiment Mining: </w:t>
      </w:r>
      <w:r>
        <w:rPr>
          <w:rFonts w:ascii="Times New Roman" w:hAnsi="Times New Roman"/>
          <w:color w:val="2D3748"/>
          <w:sz w:val="23"/>
        </w:rPr>
        <w:t>Natural language processing studies (Hutto &amp; Gilbert, 2014; Le Glaz et al., 2021) demonstrate that lexicon-based sentiment analysis effectively captures valence and emotional polarity in informal text, providing useful supplementary signals when combined with structured behavioral data.</w:t>
      </w:r>
    </w:p>
    <w:p>
      <w:pPr>
        <w:pStyle w:val="ListBullet"/>
        <w:spacing w:line="300" w:lineRule="auto" w:after="80"/>
        <w:jc w:val="both"/>
      </w:pPr>
      <w:r>
        <w:rPr>
          <w:rFonts w:ascii="Times New Roman" w:hAnsi="Times New Roman"/>
          <w:b/>
          <w:color w:val="1A202C"/>
          <w:sz w:val="23"/>
        </w:rPr>
        <w:t xml:space="preserve">Ethics, Privacy, and Child Safety: </w:t>
      </w:r>
      <w:r>
        <w:rPr>
          <w:rFonts w:ascii="Times New Roman" w:hAnsi="Times New Roman"/>
          <w:color w:val="2D3748"/>
          <w:sz w:val="23"/>
        </w:rPr>
        <w:t>Data protection research (Schueller et al., 2019) and legal frameworks (such as the Digital Personal Data Protection Act, 2023 in India) mandate strict data minimization, verifiable parental consent, and non-diagnostic disclaimers when processing data related to minors.</w:t>
      </w:r>
    </w:p>
    <w:p>
      <w:pPr>
        <w:keepNext/>
        <w:spacing w:before="240" w:after="80"/>
      </w:pPr>
      <w:r>
        <w:rPr>
          <w:rFonts w:ascii="Times New Roman" w:hAnsi="Times New Roman"/>
          <w:b/>
          <w:color w:val="2B6CB0"/>
          <w:sz w:val="28"/>
        </w:rPr>
        <w:t>1.2 In-Depth Analysis of Key Research Papers</w:t>
      </w:r>
    </w:p>
    <w:p>
      <w:pPr>
        <w:spacing w:line="360" w:lineRule="auto" w:after="120"/>
        <w:jc w:val="both"/>
      </w:pPr>
      <w:r>
        <w:rPr>
          <w:rFonts w:ascii="Times New Roman" w:hAnsi="Times New Roman"/>
          <w:i w:val="0"/>
          <w:color w:val="2D3748"/>
          <w:sz w:val="24"/>
        </w:rPr>
        <w:t>To establish an evidence-based foundation, ten key research papers and authoritative public health reports were critically examined:</w:t>
      </w:r>
    </w:p>
    <w:p>
      <w:pPr>
        <w:keepNext/>
        <w:spacing w:before="160" w:after="40"/>
      </w:pPr>
      <w:r>
        <w:rPr>
          <w:rFonts w:ascii="Times New Roman" w:hAnsi="Times New Roman"/>
          <w:b/>
          <w:color w:val="2D3748"/>
          <w:sz w:val="24"/>
        </w:rPr>
        <w:t>1. Global Pediatric Mental Health Burden (WHO, 2022)</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World Health Organization, World Mental Health Report: Transforming mental health for all, Geneva: WHO, 2022.</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Meta-synthesis of epidemiological registries, population surveys, and global health data across WHO Member States.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Globally, an estimated 1 in 7 (14%) 10–19 year-olds experience mental health conditions, with suicide representing the fourth leading cause of death among older adolescents (15–19 years). Early-stage emotional distress is frequently unaddressed in community settings.</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Macro-level global policy focus; does not specify software implementations or algorithmic designs.</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Confirms the epidemiological need for accessible, early surveillance and supportive monitoring tools.</w:t>
      </w:r>
    </w:p>
    <w:p>
      <w:pPr>
        <w:keepNext/>
        <w:spacing w:before="160" w:after="40"/>
      </w:pPr>
      <w:r>
        <w:rPr>
          <w:rFonts w:ascii="Times New Roman" w:hAnsi="Times New Roman"/>
          <w:b/>
          <w:color w:val="2D3748"/>
          <w:sz w:val="24"/>
        </w:rPr>
        <w:t>2. Pediatric Mental Health Surveillance in the United States (Bitsko et al., 2022)</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R. H. Bitsko et al., 'Mental Health Surveillance Among Children — United States, 2013–2019,' MMWR Supplements, vol. 71, no. 2, pp. 1–42, 2022.</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Analysis of multiple federal surveillance datasets, including the National Survey of Children's Health (NSCH), NHIS, and YRBSS.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ADHD and anxiety were the most commonly diagnosed conditions among children aged 3–17 years. Surveillance data confirmed that lifestyle behaviors and environmental stressors are key correlates of emotional well-being.</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Data relied on periodic, retrospective caregiver and self-report surveys; does not provide real-time tracking.</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Supports the inclusion of multi-variable behavioral parameters (sleep, physical play, screen time) in lifestyle feature vectors.</w:t>
      </w:r>
    </w:p>
    <w:p>
      <w:pPr>
        <w:keepNext/>
        <w:spacing w:before="160" w:after="40"/>
      </w:pPr>
      <w:r>
        <w:rPr>
          <w:rFonts w:ascii="Times New Roman" w:hAnsi="Times New Roman"/>
          <w:b/>
          <w:color w:val="2D3748"/>
          <w:sz w:val="24"/>
        </w:rPr>
        <w:t>3. Digital Health Interventions for Children and Young People (Hollis et al., 2017)</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C. Hollis et al., 'Digital health interventions for children and young people with mental health problems – a systematic and meta-review,' J. Child Psychol. Psychiatry, vol. 58, no. 4, pp. 474–503, 2017.</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Systematic review and meta-review synthesizing systematic reviews and randomized controlled trials (RCTs) of computerized CBT, apps, and digital platforms.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Digital interventions demonstrate clinical promise, particularly computerized CBT for anxiety and depression in youth. The authors emphasized that engagement and adherence require interactive design, human support, and consideration of younger demographics.</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Identified a scarcity of digital interventions specifically tailored for younger children compared to older adolescents.</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Directs the user-interface design toward interactive, visual, and low-cognitive-load workflows.</w:t>
      </w:r>
    </w:p>
    <w:p>
      <w:pPr>
        <w:keepNext/>
        <w:spacing w:before="160" w:after="40"/>
      </w:pPr>
      <w:r>
        <w:rPr>
          <w:rFonts w:ascii="Times New Roman" w:hAnsi="Times New Roman"/>
          <w:b/>
          <w:color w:val="2D3748"/>
          <w:sz w:val="24"/>
        </w:rPr>
        <w:t>4. Systematic Review of Mobile Mental Health Apps for Youth (Grist et al., 2017)</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R. Grist, J. Porter, and P. Stallard, 'Mental Health Mobile Apps for Preadolescents and Adolescents: A Systematic Review,' J. Med. Internet Res., vol. 19, no. 5, p. e176, 2017.</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Systematic review across scientific databases and commercial app stores evaluating app features, target populations, and evidence bases.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Most available mental health applications targeted adults or older adolescents; very few were specifically developed for preadolescents. Additionally, many apps lacked clear clinical safety mechanisms or verified emergency referrals.</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Rapid turnover of commercial app store offerings limited long-term follow-up.</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Highlights the specific preadolescent gap and emphasizes the requirement for integrated, verified crisis referral pathways.</w:t>
      </w:r>
    </w:p>
    <w:p>
      <w:pPr>
        <w:keepNext/>
        <w:spacing w:before="160" w:after="40"/>
      </w:pPr>
      <w:r>
        <w:rPr>
          <w:rFonts w:ascii="Times New Roman" w:hAnsi="Times New Roman"/>
          <w:b/>
          <w:color w:val="2D3748"/>
          <w:sz w:val="24"/>
        </w:rPr>
        <w:t>5. Scoping Review of Machine Learning in Mental Health (Shatte et al., 2019)</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A. B. Shatte, D. M. Hutchinson, and S. J. Teague, 'Machine learning in mental health: a scoping review of methods and applications,' Comput. Methods Programs Biomed., vol. 175, pp. 219–224, 2019.</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Scoping review of 300 peer-reviewed articles evaluating algorithm types, data modalities, and validation standards.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Supervised classification algorithms (such as Random Forests, Support Vector Machines, and Logistic Regression) are frequently used across mental health datasets. The study underscored the critical need for rigorous cross-validation to mitigate overfitting risks.</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Noted a predominance of adult cohorts and tabular survey samples.</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Informs the selection of supervised classification models for risk estimation while reinforcing the necessity of strict validation protocols in Phase 2.</w:t>
      </w:r>
    </w:p>
    <w:p>
      <w:pPr>
        <w:keepNext/>
        <w:spacing w:before="160" w:after="40"/>
      </w:pPr>
      <w:r>
        <w:rPr>
          <w:rFonts w:ascii="Times New Roman" w:hAnsi="Times New Roman"/>
          <w:b/>
          <w:color w:val="2D3748"/>
          <w:sz w:val="24"/>
        </w:rPr>
        <w:t>6. Predictor Identification Using Machine Learning in Youth (Burke et al., 2019)</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T. A. Burke et al., 'Identifying the Most Important Predictors of Non-Suicidal Self-Injury in Adolescents: Using Machine Learning,' J. Consult. Clin. Psychol., vol. 87, no. 11, pp. 978–992, 2019.</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Machine learning modeling (including Random Forests and Elastic Net Regularization) on multidimensional behavioral inventories in a cohort of 496 adolescents.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Multi-variable modeling identified interactions between sleep disruptions, negative affect, and interpersonal stress, demonstrating the value of multi-factorial feature sets.</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Focused on a high-risk clinical adolescent sample rather than general school-level surveillance.</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Supports the methodological choice of combining sleep, mood, and social variables into unified feature vectors.</w:t>
      </w:r>
    </w:p>
    <w:p>
      <w:pPr>
        <w:keepNext/>
        <w:spacing w:before="160" w:after="40"/>
      </w:pPr>
      <w:r>
        <w:rPr>
          <w:rFonts w:ascii="Times New Roman" w:hAnsi="Times New Roman"/>
          <w:b/>
          <w:color w:val="2D3748"/>
          <w:sz w:val="24"/>
        </w:rPr>
        <w:t>7. Systematic Review of NLP and ML in Mental Health (Le Glaz et al., 2021)</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A. Le Glaz et al., 'Machine Learning and Natural Language Processing in Mental Health: Systematic Review,' J. Med. Internet Res., vol. 23, no. 5, p. e15708, 2021.</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Systematic review of 199 studies indexed across PubMed, IEEE Xplore, and ACM Digital Library.</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NLP methods reliably extract affective sentiment, valence, and psychological markers from unstructured text. The authors noted that NLP provides subjective context but is most effective when integrated with structured behavioral data.</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High complexity of deep-learning NLP models can hinder interpretability in health applications.</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Justifies the use of interpretable, lightweight sentiment analysis for optional journal reflections alongside structured inputs.</w:t>
      </w:r>
    </w:p>
    <w:p>
      <w:pPr>
        <w:keepNext/>
        <w:spacing w:before="160" w:after="40"/>
      </w:pPr>
      <w:r>
        <w:rPr>
          <w:rFonts w:ascii="Times New Roman" w:hAnsi="Times New Roman"/>
          <w:b/>
          <w:color w:val="2D3748"/>
          <w:sz w:val="24"/>
        </w:rPr>
        <w:t>8. Lexicon and Rule-Based Sentiment Analysis (Hutto &amp; Gilbert, 2014)</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C. J. Hutto and E. Gilbert, 'VADER: A Parsimonious Rule-based Model for Sentiment Analysis of Social Media Text,' Proc. 8th Int. AAAI Conf. Weblogs Soc. Media, pp. 216–225, 2014.</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Developed a gold-standard sentiment lexicon combining human ratings with grammatical and syntactical heuristics (negations, intensifiers, punctuation).</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The rule-based approach achieved strong classification performance on informal short texts while operating with low computational overhead and full interpretability.</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Evaluates linguistic sentiment polarity, not psychiatric distress or clinical affect.</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Provides a lightweight, privacy-preserving method for computing emotional valence scores on-device without remote data transmission.</w:t>
      </w:r>
    </w:p>
    <w:p>
      <w:pPr>
        <w:keepNext/>
        <w:spacing w:before="160" w:after="40"/>
      </w:pPr>
      <w:r>
        <w:rPr>
          <w:rFonts w:ascii="Times New Roman" w:hAnsi="Times New Roman"/>
          <w:b/>
          <w:color w:val="2D3748"/>
          <w:sz w:val="24"/>
        </w:rPr>
        <w:t>9. Pediatric Symptom Checklist - PSC-17 (Gardner et al., 1999)</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W. Gardner et al., 'The PSC-17: a brief pediatric symptom checklist with psychosocial subscales,' Ambul. Child Health, vol. 5, no. 3, pp. 225–236, 1999.</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Psychometric evaluation and factor analysis across 21,065 pediatric cases aged 4–15 years in primary care settings.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Validated a three-factor subscale structure (internalizing, externalizing, attention) that effectively identifies psychosocial impairment.</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Designed as a parent/clinician completed paper screener rather than an interactive child self-report tool.</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Informs the selection of behavioral domains (internalizing emotions, attention, lifestyle) used to structure non-clinical assessment questions.</w:t>
      </w:r>
    </w:p>
    <w:p>
      <w:pPr>
        <w:keepNext/>
        <w:spacing w:before="160" w:after="40"/>
      </w:pPr>
      <w:r>
        <w:rPr>
          <w:rFonts w:ascii="Times New Roman" w:hAnsi="Times New Roman"/>
          <w:b/>
          <w:color w:val="2D3748"/>
          <w:sz w:val="24"/>
        </w:rPr>
        <w:t>10. Privacy and Security in Digital Mental Health (Schueller et al., 2019)</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S. M. Schueller, C. M. Armstrong, and M. Neary, 'Privacy and Security in Digital Mental Health,' in Digital Mental Health, Springer, 2019, pp. 77–94.</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Critical review of regulatory standards, consent workflows, and privacy implementations across digital health applications.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Emphasized the critical importance of transparent consent, data minimization, secure local handling of sensitive reflections, and clear non-diagnostic boundaries when developing health tools.</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Provides policy and design recommendations rather than software implementation source code.</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Directly guides the ethical, security, and consent architecture of the proposed platform.</w:t>
      </w:r>
    </w:p>
    <w:p>
      <w:pPr>
        <w:keepNext/>
        <w:spacing w:before="240" w:after="80"/>
      </w:pPr>
      <w:r>
        <w:rPr>
          <w:rFonts w:ascii="Times New Roman" w:hAnsi="Times New Roman"/>
          <w:b/>
          <w:color w:val="2B6CB0"/>
          <w:sz w:val="28"/>
        </w:rPr>
        <w:t>1.3 Comparative Analysis Matrix</w:t>
      </w:r>
    </w:p>
    <w:p>
      <w:pPr>
        <w:spacing w:line="360" w:lineRule="auto" w:after="120"/>
        <w:jc w:val="both"/>
      </w:pPr>
      <w:r>
        <w:rPr>
          <w:rFonts w:ascii="Times New Roman" w:hAnsi="Times New Roman"/>
          <w:i w:val="0"/>
          <w:color w:val="2D3748"/>
          <w:sz w:val="24"/>
        </w:rPr>
        <w:t>Table 1 synthesizes the reviewed literature, highlighting target cohorts, primary technologies, and identified limitations across existing studies.</w:t>
      </w:r>
    </w:p>
    <w:tbl>
      <w:tblPr>
        <w:tblW w:type="auto" w:w="0"/>
        <w:jc w:val="center"/>
        <w:tblLayout w:type="fixed"/>
        <w:tblLook w:firstColumn="1" w:firstRow="1" w:lastColumn="0" w:lastRow="0" w:noHBand="0" w:noVBand="1" w:val="04A0"/>
        <w:tblBorders>
          <w:top w:val="single" w:sz="4" w:space="0" w:color="D2D6DC"/>
          <w:bottom w:val="single" w:sz="4" w:space="0" w:color="D2D6DC"/>
          <w:insideH w:val="single" w:sz="4" w:space="0" w:color="D2D6DC"/>
          <w:insideV w:val="single" w:sz="4" w:space="0" w:color="D2D6DC"/>
          <w:left w:val="none"/>
          <w:right w:val="none"/>
        </w:tblBorders>
      </w:tblPr>
      <w:tblGrid>
        <w:gridCol w:w="1805"/>
        <w:gridCol w:w="1805"/>
        <w:gridCol w:w="1805"/>
        <w:gridCol w:w="1805"/>
        <w:gridCol w:w="1805"/>
      </w:tblGrid>
      <w:tr>
        <w:tc>
          <w:tcPr>
            <w:tcW w:type="dxa" w:w="1728"/>
            <w:shd w:fill="1A365D"/>
            <w:tcMar>
              <w:top w:w="80" w:type="dxa"/>
              <w:bottom w:w="80" w:type="dxa"/>
              <w:left w:w="100" w:type="dxa"/>
              <w:right w:w="100" w:type="dxa"/>
            </w:tcMar>
          </w:tcPr>
          <w:p>
            <w:pPr>
              <w:jc w:val="center"/>
            </w:pPr>
            <w:r>
              <w:rPr>
                <w:rFonts w:ascii="Times New Roman" w:hAnsi="Times New Roman"/>
                <w:b/>
                <w:color w:val="FFFFFF"/>
                <w:sz w:val="19"/>
              </w:rPr>
              <w:t>Literature Source</w:t>
            </w:r>
          </w:p>
        </w:tc>
        <w:tc>
          <w:tcPr>
            <w:tcW w:type="dxa" w:w="1728"/>
            <w:shd w:fill="1A365D"/>
            <w:tcMar>
              <w:top w:w="80" w:type="dxa"/>
              <w:bottom w:w="80" w:type="dxa"/>
              <w:left w:w="100" w:type="dxa"/>
              <w:right w:w="100" w:type="dxa"/>
            </w:tcMar>
          </w:tcPr>
          <w:p>
            <w:pPr>
              <w:jc w:val="center"/>
            </w:pPr>
            <w:r>
              <w:rPr>
                <w:rFonts w:ascii="Times New Roman" w:hAnsi="Times New Roman"/>
                <w:b/>
                <w:color w:val="FFFFFF"/>
                <w:sz w:val="19"/>
              </w:rPr>
              <w:t>Focus Domain</w:t>
            </w:r>
          </w:p>
        </w:tc>
        <w:tc>
          <w:tcPr>
            <w:tcW w:type="dxa" w:w="1584"/>
            <w:shd w:fill="1A365D"/>
            <w:tcMar>
              <w:top w:w="80" w:type="dxa"/>
              <w:bottom w:w="80" w:type="dxa"/>
              <w:left w:w="100" w:type="dxa"/>
              <w:right w:w="100" w:type="dxa"/>
            </w:tcMar>
          </w:tcPr>
          <w:p>
            <w:pPr>
              <w:jc w:val="center"/>
            </w:pPr>
            <w:r>
              <w:rPr>
                <w:rFonts w:ascii="Times New Roman" w:hAnsi="Times New Roman"/>
                <w:b/>
                <w:color w:val="FFFFFF"/>
                <w:sz w:val="19"/>
              </w:rPr>
              <w:t>Target Cohort</w:t>
            </w:r>
          </w:p>
        </w:tc>
        <w:tc>
          <w:tcPr>
            <w:tcW w:type="dxa" w:w="1872"/>
            <w:shd w:fill="1A365D"/>
            <w:tcMar>
              <w:top w:w="80" w:type="dxa"/>
              <w:bottom w:w="80" w:type="dxa"/>
              <w:left w:w="100" w:type="dxa"/>
              <w:right w:w="100" w:type="dxa"/>
            </w:tcMar>
          </w:tcPr>
          <w:p>
            <w:pPr>
              <w:jc w:val="center"/>
            </w:pPr>
            <w:r>
              <w:rPr>
                <w:rFonts w:ascii="Times New Roman" w:hAnsi="Times New Roman"/>
                <w:b/>
                <w:color w:val="FFFFFF"/>
                <w:sz w:val="19"/>
              </w:rPr>
              <w:t>Primary Technology</w:t>
            </w:r>
          </w:p>
        </w:tc>
        <w:tc>
          <w:tcPr>
            <w:tcW w:type="dxa" w:w="2117"/>
            <w:shd w:fill="1A365D"/>
            <w:tcMar>
              <w:top w:w="80" w:type="dxa"/>
              <w:bottom w:w="80" w:type="dxa"/>
              <w:left w:w="100" w:type="dxa"/>
              <w:right w:w="100" w:type="dxa"/>
            </w:tcMar>
          </w:tcPr>
          <w:p>
            <w:pPr>
              <w:jc w:val="center"/>
            </w:pPr>
            <w:r>
              <w:rPr>
                <w:rFonts w:ascii="Times New Roman" w:hAnsi="Times New Roman"/>
                <w:b/>
                <w:color w:val="FFFFFF"/>
                <w:sz w:val="19"/>
              </w:rPr>
              <w:t>Identified Limitation</w:t>
            </w:r>
          </w:p>
        </w:tc>
      </w:tr>
      <w:tr>
        <w:tc>
          <w:tcPr>
            <w:tcW w:type="dxa" w:w="1728"/>
            <w:tcMar>
              <w:top w:w="60" w:type="dxa"/>
              <w:bottom w:w="60" w:type="dxa"/>
              <w:left w:w="80" w:type="dxa"/>
              <w:right w:w="80" w:type="dxa"/>
            </w:tcMar>
          </w:tcPr>
          <w:p>
            <w:pPr>
              <w:spacing w:line="276" w:lineRule="auto"/>
            </w:pPr>
            <w:r>
              <w:rPr>
                <w:rFonts w:ascii="Times New Roman" w:hAnsi="Times New Roman"/>
                <w:b/>
                <w:sz w:val="18"/>
              </w:rPr>
              <w:t>WHO (2022)</w:t>
            </w:r>
          </w:p>
        </w:tc>
        <w:tc>
          <w:tcPr>
            <w:tcW w:type="dxa" w:w="1728"/>
            <w:tcMar>
              <w:top w:w="60" w:type="dxa"/>
              <w:bottom w:w="60" w:type="dxa"/>
              <w:left w:w="80" w:type="dxa"/>
              <w:right w:w="80" w:type="dxa"/>
            </w:tcMar>
          </w:tcPr>
          <w:p>
            <w:pPr>
              <w:spacing w:line="276" w:lineRule="auto"/>
            </w:pPr>
            <w:r>
              <w:rPr>
                <w:rFonts w:ascii="Times New Roman" w:hAnsi="Times New Roman"/>
                <w:sz w:val="18"/>
              </w:rPr>
              <w:t>Global Epidemiology</w:t>
            </w:r>
          </w:p>
        </w:tc>
        <w:tc>
          <w:tcPr>
            <w:tcW w:type="dxa" w:w="1584"/>
            <w:tcMar>
              <w:top w:w="60" w:type="dxa"/>
              <w:bottom w:w="60" w:type="dxa"/>
              <w:left w:w="80" w:type="dxa"/>
              <w:right w:w="80" w:type="dxa"/>
            </w:tcMar>
          </w:tcPr>
          <w:p>
            <w:pPr>
              <w:spacing w:line="276" w:lineRule="auto"/>
            </w:pPr>
            <w:r>
              <w:rPr>
                <w:rFonts w:ascii="Times New Roman" w:hAnsi="Times New Roman"/>
                <w:sz w:val="18"/>
              </w:rPr>
              <w:t>Global Youth</w:t>
            </w:r>
          </w:p>
        </w:tc>
        <w:tc>
          <w:tcPr>
            <w:tcW w:type="dxa" w:w="1872"/>
            <w:tcMar>
              <w:top w:w="60" w:type="dxa"/>
              <w:bottom w:w="60" w:type="dxa"/>
              <w:left w:w="80" w:type="dxa"/>
              <w:right w:w="80" w:type="dxa"/>
            </w:tcMar>
          </w:tcPr>
          <w:p>
            <w:pPr>
              <w:spacing w:line="276" w:lineRule="auto"/>
            </w:pPr>
            <w:r>
              <w:rPr>
                <w:rFonts w:ascii="Times New Roman" w:hAnsi="Times New Roman"/>
                <w:sz w:val="18"/>
              </w:rPr>
              <w:t>Meta-Synthesis</w:t>
            </w:r>
          </w:p>
        </w:tc>
        <w:tc>
          <w:tcPr>
            <w:tcW w:type="dxa" w:w="2117"/>
            <w:tcMar>
              <w:top w:w="60" w:type="dxa"/>
              <w:bottom w:w="60" w:type="dxa"/>
              <w:left w:w="80" w:type="dxa"/>
              <w:right w:w="80" w:type="dxa"/>
            </w:tcMar>
          </w:tcPr>
          <w:p>
            <w:pPr>
              <w:spacing w:line="276" w:lineRule="auto"/>
            </w:pPr>
            <w:r>
              <w:rPr>
                <w:rFonts w:ascii="Times New Roman" w:hAnsi="Times New Roman"/>
                <w:sz w:val="18"/>
              </w:rPr>
              <w:t>High-level policy; lacks software architecture</w:t>
            </w:r>
          </w:p>
        </w:tc>
      </w:tr>
      <w:tr>
        <w:tc>
          <w:tcPr>
            <w:tcW w:type="dxa" w:w="1728"/>
            <w:shd w:fill="F7FAFC"/>
            <w:tcMar>
              <w:top w:w="60" w:type="dxa"/>
              <w:bottom w:w="60" w:type="dxa"/>
              <w:left w:w="80" w:type="dxa"/>
              <w:right w:w="80" w:type="dxa"/>
            </w:tcMar>
          </w:tcPr>
          <w:p>
            <w:pPr>
              <w:spacing w:line="276" w:lineRule="auto"/>
            </w:pPr>
            <w:r>
              <w:rPr>
                <w:rFonts w:ascii="Times New Roman" w:hAnsi="Times New Roman"/>
                <w:b/>
                <w:sz w:val="18"/>
              </w:rPr>
              <w:t>Bitsko et al. (2022)</w:t>
            </w:r>
          </w:p>
        </w:tc>
        <w:tc>
          <w:tcPr>
            <w:tcW w:type="dxa" w:w="1728"/>
            <w:shd w:fill="F7FAFC"/>
            <w:tcMar>
              <w:top w:w="60" w:type="dxa"/>
              <w:bottom w:w="60" w:type="dxa"/>
              <w:left w:w="80" w:type="dxa"/>
              <w:right w:w="80" w:type="dxa"/>
            </w:tcMar>
          </w:tcPr>
          <w:p>
            <w:pPr>
              <w:spacing w:line="276" w:lineRule="auto"/>
            </w:pPr>
            <w:r>
              <w:rPr>
                <w:rFonts w:ascii="Times New Roman" w:hAnsi="Times New Roman"/>
                <w:sz w:val="18"/>
              </w:rPr>
              <w:t>Public Surveillance</w:t>
            </w:r>
          </w:p>
        </w:tc>
        <w:tc>
          <w:tcPr>
            <w:tcW w:type="dxa" w:w="1584"/>
            <w:shd w:fill="F7FAFC"/>
            <w:tcMar>
              <w:top w:w="60" w:type="dxa"/>
              <w:bottom w:w="60" w:type="dxa"/>
              <w:left w:w="80" w:type="dxa"/>
              <w:right w:w="80" w:type="dxa"/>
            </w:tcMar>
          </w:tcPr>
          <w:p>
            <w:pPr>
              <w:spacing w:line="276" w:lineRule="auto"/>
            </w:pPr>
            <w:r>
              <w:rPr>
                <w:rFonts w:ascii="Times New Roman" w:hAnsi="Times New Roman"/>
                <w:sz w:val="18"/>
              </w:rPr>
              <w:t>Children (3–17 yrs)</w:t>
            </w:r>
          </w:p>
        </w:tc>
        <w:tc>
          <w:tcPr>
            <w:tcW w:type="dxa" w:w="1872"/>
            <w:shd w:fill="F7FAFC"/>
            <w:tcMar>
              <w:top w:w="60" w:type="dxa"/>
              <w:bottom w:w="60" w:type="dxa"/>
              <w:left w:w="80" w:type="dxa"/>
              <w:right w:w="80" w:type="dxa"/>
            </w:tcMar>
          </w:tcPr>
          <w:p>
            <w:pPr>
              <w:spacing w:line="276" w:lineRule="auto"/>
            </w:pPr>
            <w:r>
              <w:rPr>
                <w:rFonts w:ascii="Times New Roman" w:hAnsi="Times New Roman"/>
                <w:sz w:val="18"/>
              </w:rPr>
              <w:t>Federal Survey Data</w:t>
            </w:r>
          </w:p>
        </w:tc>
        <w:tc>
          <w:tcPr>
            <w:tcW w:type="dxa" w:w="2117"/>
            <w:shd w:fill="F7FAFC"/>
            <w:tcMar>
              <w:top w:w="60" w:type="dxa"/>
              <w:bottom w:w="60" w:type="dxa"/>
              <w:left w:w="80" w:type="dxa"/>
              <w:right w:w="80" w:type="dxa"/>
            </w:tcMar>
          </w:tcPr>
          <w:p>
            <w:pPr>
              <w:spacing w:line="276" w:lineRule="auto"/>
            </w:pPr>
            <w:r>
              <w:rPr>
                <w:rFonts w:ascii="Times New Roman" w:hAnsi="Times New Roman"/>
                <w:sz w:val="18"/>
              </w:rPr>
              <w:t>Retrospective annual data; no real-time tracking</w:t>
            </w:r>
          </w:p>
        </w:tc>
      </w:tr>
      <w:tr>
        <w:tc>
          <w:tcPr>
            <w:tcW w:type="dxa" w:w="1728"/>
            <w:tcMar>
              <w:top w:w="60" w:type="dxa"/>
              <w:bottom w:w="60" w:type="dxa"/>
              <w:left w:w="80" w:type="dxa"/>
              <w:right w:w="80" w:type="dxa"/>
            </w:tcMar>
          </w:tcPr>
          <w:p>
            <w:pPr>
              <w:spacing w:line="276" w:lineRule="auto"/>
            </w:pPr>
            <w:r>
              <w:rPr>
                <w:rFonts w:ascii="Times New Roman" w:hAnsi="Times New Roman"/>
                <w:b/>
                <w:sz w:val="18"/>
              </w:rPr>
              <w:t>Hollis et al. (2017)</w:t>
            </w:r>
          </w:p>
        </w:tc>
        <w:tc>
          <w:tcPr>
            <w:tcW w:type="dxa" w:w="1728"/>
            <w:tcMar>
              <w:top w:w="60" w:type="dxa"/>
              <w:bottom w:w="60" w:type="dxa"/>
              <w:left w:w="80" w:type="dxa"/>
              <w:right w:w="80" w:type="dxa"/>
            </w:tcMar>
          </w:tcPr>
          <w:p>
            <w:pPr>
              <w:spacing w:line="276" w:lineRule="auto"/>
            </w:pPr>
            <w:r>
              <w:rPr>
                <w:rFonts w:ascii="Times New Roman" w:hAnsi="Times New Roman"/>
                <w:sz w:val="18"/>
              </w:rPr>
              <w:t>Digital Health Reviews</w:t>
            </w:r>
          </w:p>
        </w:tc>
        <w:tc>
          <w:tcPr>
            <w:tcW w:type="dxa" w:w="1584"/>
            <w:tcMar>
              <w:top w:w="60" w:type="dxa"/>
              <w:bottom w:w="60" w:type="dxa"/>
              <w:left w:w="80" w:type="dxa"/>
              <w:right w:w="80" w:type="dxa"/>
            </w:tcMar>
          </w:tcPr>
          <w:p>
            <w:pPr>
              <w:spacing w:line="276" w:lineRule="auto"/>
            </w:pPr>
            <w:r>
              <w:rPr>
                <w:rFonts w:ascii="Times New Roman" w:hAnsi="Times New Roman"/>
                <w:sz w:val="18"/>
              </w:rPr>
              <w:t>Children &amp; Youth</w:t>
            </w:r>
          </w:p>
        </w:tc>
        <w:tc>
          <w:tcPr>
            <w:tcW w:type="dxa" w:w="1872"/>
            <w:tcMar>
              <w:top w:w="60" w:type="dxa"/>
              <w:bottom w:w="60" w:type="dxa"/>
              <w:left w:w="80" w:type="dxa"/>
              <w:right w:w="80" w:type="dxa"/>
            </w:tcMar>
          </w:tcPr>
          <w:p>
            <w:pPr>
              <w:spacing w:line="276" w:lineRule="auto"/>
            </w:pPr>
            <w:r>
              <w:rPr>
                <w:rFonts w:ascii="Times New Roman" w:hAnsi="Times New Roman"/>
                <w:sz w:val="18"/>
              </w:rPr>
              <w:t>Meta-Review of RCTs</w:t>
            </w:r>
          </w:p>
        </w:tc>
        <w:tc>
          <w:tcPr>
            <w:tcW w:type="dxa" w:w="2117"/>
            <w:tcMar>
              <w:top w:w="60" w:type="dxa"/>
              <w:bottom w:w="60" w:type="dxa"/>
              <w:left w:w="80" w:type="dxa"/>
              <w:right w:w="80" w:type="dxa"/>
            </w:tcMar>
          </w:tcPr>
          <w:p>
            <w:pPr>
              <w:spacing w:line="276" w:lineRule="auto"/>
            </w:pPr>
            <w:r>
              <w:rPr>
                <w:rFonts w:ascii="Times New Roman" w:hAnsi="Times New Roman"/>
                <w:sz w:val="18"/>
              </w:rPr>
              <w:t>High attrition if interfaces lack engagement</w:t>
            </w:r>
          </w:p>
        </w:tc>
      </w:tr>
      <w:tr>
        <w:tc>
          <w:tcPr>
            <w:tcW w:type="dxa" w:w="1728"/>
            <w:shd w:fill="F7FAFC"/>
            <w:tcMar>
              <w:top w:w="60" w:type="dxa"/>
              <w:bottom w:w="60" w:type="dxa"/>
              <w:left w:w="80" w:type="dxa"/>
              <w:right w:w="80" w:type="dxa"/>
            </w:tcMar>
          </w:tcPr>
          <w:p>
            <w:pPr>
              <w:spacing w:line="276" w:lineRule="auto"/>
            </w:pPr>
            <w:r>
              <w:rPr>
                <w:rFonts w:ascii="Times New Roman" w:hAnsi="Times New Roman"/>
                <w:b/>
                <w:sz w:val="18"/>
              </w:rPr>
              <w:t>Grist et al. (2017)</w:t>
            </w:r>
          </w:p>
        </w:tc>
        <w:tc>
          <w:tcPr>
            <w:tcW w:type="dxa" w:w="1728"/>
            <w:shd w:fill="F7FAFC"/>
            <w:tcMar>
              <w:top w:w="60" w:type="dxa"/>
              <w:bottom w:w="60" w:type="dxa"/>
              <w:left w:w="80" w:type="dxa"/>
              <w:right w:w="80" w:type="dxa"/>
            </w:tcMar>
          </w:tcPr>
          <w:p>
            <w:pPr>
              <w:spacing w:line="276" w:lineRule="auto"/>
            </w:pPr>
            <w:r>
              <w:rPr>
                <w:rFonts w:ascii="Times New Roman" w:hAnsi="Times New Roman"/>
                <w:sz w:val="18"/>
              </w:rPr>
              <w:t>Mobile Apps Review</w:t>
            </w:r>
          </w:p>
        </w:tc>
        <w:tc>
          <w:tcPr>
            <w:tcW w:type="dxa" w:w="1584"/>
            <w:shd w:fill="F7FAFC"/>
            <w:tcMar>
              <w:top w:w="60" w:type="dxa"/>
              <w:bottom w:w="60" w:type="dxa"/>
              <w:left w:w="80" w:type="dxa"/>
              <w:right w:w="80" w:type="dxa"/>
            </w:tcMar>
          </w:tcPr>
          <w:p>
            <w:pPr>
              <w:spacing w:line="276" w:lineRule="auto"/>
            </w:pPr>
            <w:r>
              <w:rPr>
                <w:rFonts w:ascii="Times New Roman" w:hAnsi="Times New Roman"/>
                <w:sz w:val="18"/>
              </w:rPr>
              <w:t>Preadolescents &amp; Youth</w:t>
            </w:r>
          </w:p>
        </w:tc>
        <w:tc>
          <w:tcPr>
            <w:tcW w:type="dxa" w:w="1872"/>
            <w:shd w:fill="F7FAFC"/>
            <w:tcMar>
              <w:top w:w="60" w:type="dxa"/>
              <w:bottom w:w="60" w:type="dxa"/>
              <w:left w:w="80" w:type="dxa"/>
              <w:right w:w="80" w:type="dxa"/>
            </w:tcMar>
          </w:tcPr>
          <w:p>
            <w:pPr>
              <w:spacing w:line="276" w:lineRule="auto"/>
            </w:pPr>
            <w:r>
              <w:rPr>
                <w:rFonts w:ascii="Times New Roman" w:hAnsi="Times New Roman"/>
                <w:sz w:val="18"/>
              </w:rPr>
              <w:t>App Store Review</w:t>
            </w:r>
          </w:p>
        </w:tc>
        <w:tc>
          <w:tcPr>
            <w:tcW w:type="dxa" w:w="2117"/>
            <w:shd w:fill="F7FAFC"/>
            <w:tcMar>
              <w:top w:w="60" w:type="dxa"/>
              <w:bottom w:w="60" w:type="dxa"/>
              <w:left w:w="80" w:type="dxa"/>
              <w:right w:w="80" w:type="dxa"/>
            </w:tcMar>
          </w:tcPr>
          <w:p>
            <w:pPr>
              <w:spacing w:line="276" w:lineRule="auto"/>
            </w:pPr>
            <w:r>
              <w:rPr>
                <w:rFonts w:ascii="Times New Roman" w:hAnsi="Times New Roman"/>
                <w:sz w:val="18"/>
              </w:rPr>
              <w:t>Few apps for preadolescents; limited crisis handling</w:t>
            </w:r>
          </w:p>
        </w:tc>
      </w:tr>
      <w:tr>
        <w:tc>
          <w:tcPr>
            <w:tcW w:type="dxa" w:w="1728"/>
            <w:tcMar>
              <w:top w:w="60" w:type="dxa"/>
              <w:bottom w:w="60" w:type="dxa"/>
              <w:left w:w="80" w:type="dxa"/>
              <w:right w:w="80" w:type="dxa"/>
            </w:tcMar>
          </w:tcPr>
          <w:p>
            <w:pPr>
              <w:spacing w:line="276" w:lineRule="auto"/>
            </w:pPr>
            <w:r>
              <w:rPr>
                <w:rFonts w:ascii="Times New Roman" w:hAnsi="Times New Roman"/>
                <w:b/>
                <w:sz w:val="18"/>
              </w:rPr>
              <w:t>Shatte et al. (2019)</w:t>
            </w:r>
          </w:p>
        </w:tc>
        <w:tc>
          <w:tcPr>
            <w:tcW w:type="dxa" w:w="1728"/>
            <w:tcMar>
              <w:top w:w="60" w:type="dxa"/>
              <w:bottom w:w="60" w:type="dxa"/>
              <w:left w:w="80" w:type="dxa"/>
              <w:right w:w="80" w:type="dxa"/>
            </w:tcMar>
          </w:tcPr>
          <w:p>
            <w:pPr>
              <w:spacing w:line="276" w:lineRule="auto"/>
            </w:pPr>
            <w:r>
              <w:rPr>
                <w:rFonts w:ascii="Times New Roman" w:hAnsi="Times New Roman"/>
                <w:sz w:val="18"/>
              </w:rPr>
              <w:t>ML Scoping Review</w:t>
            </w:r>
          </w:p>
        </w:tc>
        <w:tc>
          <w:tcPr>
            <w:tcW w:type="dxa" w:w="1584"/>
            <w:tcMar>
              <w:top w:w="60" w:type="dxa"/>
              <w:bottom w:w="60" w:type="dxa"/>
              <w:left w:w="80" w:type="dxa"/>
              <w:right w:w="80" w:type="dxa"/>
            </w:tcMar>
          </w:tcPr>
          <w:p>
            <w:pPr>
              <w:spacing w:line="276" w:lineRule="auto"/>
            </w:pPr>
            <w:r>
              <w:rPr>
                <w:rFonts w:ascii="Times New Roman" w:hAnsi="Times New Roman"/>
                <w:sz w:val="18"/>
              </w:rPr>
              <w:t>General Population</w:t>
            </w:r>
          </w:p>
        </w:tc>
        <w:tc>
          <w:tcPr>
            <w:tcW w:type="dxa" w:w="1872"/>
            <w:tcMar>
              <w:top w:w="60" w:type="dxa"/>
              <w:bottom w:w="60" w:type="dxa"/>
              <w:left w:w="80" w:type="dxa"/>
              <w:right w:w="80" w:type="dxa"/>
            </w:tcMar>
          </w:tcPr>
          <w:p>
            <w:pPr>
              <w:spacing w:line="276" w:lineRule="auto"/>
            </w:pPr>
            <w:r>
              <w:rPr>
                <w:rFonts w:ascii="Times New Roman" w:hAnsi="Times New Roman"/>
                <w:sz w:val="18"/>
              </w:rPr>
              <w:t>Scoping Review (RF, SVM)</w:t>
            </w:r>
          </w:p>
        </w:tc>
        <w:tc>
          <w:tcPr>
            <w:tcW w:type="dxa" w:w="2117"/>
            <w:tcMar>
              <w:top w:w="60" w:type="dxa"/>
              <w:bottom w:w="60" w:type="dxa"/>
              <w:left w:w="80" w:type="dxa"/>
              <w:right w:w="80" w:type="dxa"/>
            </w:tcMar>
          </w:tcPr>
          <w:p>
            <w:pPr>
              <w:spacing w:line="276" w:lineRule="auto"/>
            </w:pPr>
            <w:r>
              <w:rPr>
                <w:rFonts w:ascii="Times New Roman" w:hAnsi="Times New Roman"/>
                <w:sz w:val="18"/>
              </w:rPr>
              <w:t>Overfitting risks; predominantly adult datasets</w:t>
            </w:r>
          </w:p>
        </w:tc>
      </w:tr>
      <w:tr>
        <w:tc>
          <w:tcPr>
            <w:tcW w:type="dxa" w:w="1728"/>
            <w:shd w:fill="F7FAFC"/>
            <w:tcMar>
              <w:top w:w="60" w:type="dxa"/>
              <w:bottom w:w="60" w:type="dxa"/>
              <w:left w:w="80" w:type="dxa"/>
              <w:right w:w="80" w:type="dxa"/>
            </w:tcMar>
          </w:tcPr>
          <w:p>
            <w:pPr>
              <w:spacing w:line="276" w:lineRule="auto"/>
            </w:pPr>
            <w:r>
              <w:rPr>
                <w:rFonts w:ascii="Times New Roman" w:hAnsi="Times New Roman"/>
                <w:b/>
                <w:sz w:val="18"/>
              </w:rPr>
              <w:t>Burke et al. (2019)</w:t>
            </w:r>
          </w:p>
        </w:tc>
        <w:tc>
          <w:tcPr>
            <w:tcW w:type="dxa" w:w="1728"/>
            <w:shd w:fill="F7FAFC"/>
            <w:tcMar>
              <w:top w:w="60" w:type="dxa"/>
              <w:bottom w:w="60" w:type="dxa"/>
              <w:left w:w="80" w:type="dxa"/>
              <w:right w:w="80" w:type="dxa"/>
            </w:tcMar>
          </w:tcPr>
          <w:p>
            <w:pPr>
              <w:spacing w:line="276" w:lineRule="auto"/>
            </w:pPr>
            <w:r>
              <w:rPr>
                <w:rFonts w:ascii="Times New Roman" w:hAnsi="Times New Roman"/>
                <w:sz w:val="18"/>
              </w:rPr>
              <w:t>Risk Predictor Modeling</w:t>
            </w:r>
          </w:p>
        </w:tc>
        <w:tc>
          <w:tcPr>
            <w:tcW w:type="dxa" w:w="1584"/>
            <w:shd w:fill="F7FAFC"/>
            <w:tcMar>
              <w:top w:w="60" w:type="dxa"/>
              <w:bottom w:w="60" w:type="dxa"/>
              <w:left w:w="80" w:type="dxa"/>
              <w:right w:w="80" w:type="dxa"/>
            </w:tcMar>
          </w:tcPr>
          <w:p>
            <w:pPr>
              <w:spacing w:line="276" w:lineRule="auto"/>
            </w:pPr>
            <w:r>
              <w:rPr>
                <w:rFonts w:ascii="Times New Roman" w:hAnsi="Times New Roman"/>
                <w:sz w:val="18"/>
              </w:rPr>
              <w:t>Adolescents</w:t>
            </w:r>
          </w:p>
        </w:tc>
        <w:tc>
          <w:tcPr>
            <w:tcW w:type="dxa" w:w="1872"/>
            <w:shd w:fill="F7FAFC"/>
            <w:tcMar>
              <w:top w:w="60" w:type="dxa"/>
              <w:bottom w:w="60" w:type="dxa"/>
              <w:left w:w="80" w:type="dxa"/>
              <w:right w:w="80" w:type="dxa"/>
            </w:tcMar>
          </w:tcPr>
          <w:p>
            <w:pPr>
              <w:spacing w:line="276" w:lineRule="auto"/>
            </w:pPr>
            <w:r>
              <w:rPr>
                <w:rFonts w:ascii="Times New Roman" w:hAnsi="Times New Roman"/>
                <w:sz w:val="18"/>
              </w:rPr>
              <w:t>Decision Trees, RF</w:t>
            </w:r>
          </w:p>
        </w:tc>
        <w:tc>
          <w:tcPr>
            <w:tcW w:type="dxa" w:w="2117"/>
            <w:shd w:fill="F7FAFC"/>
            <w:tcMar>
              <w:top w:w="60" w:type="dxa"/>
              <w:bottom w:w="60" w:type="dxa"/>
              <w:left w:w="80" w:type="dxa"/>
              <w:right w:w="80" w:type="dxa"/>
            </w:tcMar>
          </w:tcPr>
          <w:p>
            <w:pPr>
              <w:spacing w:line="276" w:lineRule="auto"/>
            </w:pPr>
            <w:r>
              <w:rPr>
                <w:rFonts w:ascii="Times New Roman" w:hAnsi="Times New Roman"/>
                <w:sz w:val="18"/>
              </w:rPr>
              <w:t>Confined to high-risk clinical adolescent cohorts</w:t>
            </w:r>
          </w:p>
        </w:tc>
      </w:tr>
      <w:tr>
        <w:tc>
          <w:tcPr>
            <w:tcW w:type="dxa" w:w="1728"/>
            <w:tcMar>
              <w:top w:w="60" w:type="dxa"/>
              <w:bottom w:w="60" w:type="dxa"/>
              <w:left w:w="80" w:type="dxa"/>
              <w:right w:w="80" w:type="dxa"/>
            </w:tcMar>
          </w:tcPr>
          <w:p>
            <w:pPr>
              <w:spacing w:line="276" w:lineRule="auto"/>
            </w:pPr>
            <w:r>
              <w:rPr>
                <w:rFonts w:ascii="Times New Roman" w:hAnsi="Times New Roman"/>
                <w:b/>
                <w:sz w:val="18"/>
              </w:rPr>
              <w:t>Le Glaz et al. (2021)</w:t>
            </w:r>
          </w:p>
        </w:tc>
        <w:tc>
          <w:tcPr>
            <w:tcW w:type="dxa" w:w="1728"/>
            <w:tcMar>
              <w:top w:w="60" w:type="dxa"/>
              <w:bottom w:w="60" w:type="dxa"/>
              <w:left w:w="80" w:type="dxa"/>
              <w:right w:w="80" w:type="dxa"/>
            </w:tcMar>
          </w:tcPr>
          <w:p>
            <w:pPr>
              <w:spacing w:line="276" w:lineRule="auto"/>
            </w:pPr>
            <w:r>
              <w:rPr>
                <w:rFonts w:ascii="Times New Roman" w:hAnsi="Times New Roman"/>
                <w:sz w:val="18"/>
              </w:rPr>
              <w:t>NLP in Mental Health</w:t>
            </w:r>
          </w:p>
        </w:tc>
        <w:tc>
          <w:tcPr>
            <w:tcW w:type="dxa" w:w="1584"/>
            <w:tcMar>
              <w:top w:w="60" w:type="dxa"/>
              <w:bottom w:w="60" w:type="dxa"/>
              <w:left w:w="80" w:type="dxa"/>
              <w:right w:w="80" w:type="dxa"/>
            </w:tcMar>
          </w:tcPr>
          <w:p>
            <w:pPr>
              <w:spacing w:line="276" w:lineRule="auto"/>
            </w:pPr>
            <w:r>
              <w:rPr>
                <w:rFonts w:ascii="Times New Roman" w:hAnsi="Times New Roman"/>
                <w:sz w:val="18"/>
              </w:rPr>
              <w:t>Mixed Cohorts</w:t>
            </w:r>
          </w:p>
        </w:tc>
        <w:tc>
          <w:tcPr>
            <w:tcW w:type="dxa" w:w="1872"/>
            <w:tcMar>
              <w:top w:w="60" w:type="dxa"/>
              <w:bottom w:w="60" w:type="dxa"/>
              <w:left w:w="80" w:type="dxa"/>
              <w:right w:w="80" w:type="dxa"/>
            </w:tcMar>
          </w:tcPr>
          <w:p>
            <w:pPr>
              <w:spacing w:line="276" w:lineRule="auto"/>
            </w:pPr>
            <w:r>
              <w:rPr>
                <w:rFonts w:ascii="Times New Roman" w:hAnsi="Times New Roman"/>
                <w:sz w:val="18"/>
              </w:rPr>
              <w:t>Systematic Review</w:t>
            </w:r>
          </w:p>
        </w:tc>
        <w:tc>
          <w:tcPr>
            <w:tcW w:type="dxa" w:w="2117"/>
            <w:tcMar>
              <w:top w:w="60" w:type="dxa"/>
              <w:bottom w:w="60" w:type="dxa"/>
              <w:left w:w="80" w:type="dxa"/>
              <w:right w:w="80" w:type="dxa"/>
            </w:tcMar>
          </w:tcPr>
          <w:p>
            <w:pPr>
              <w:spacing w:line="276" w:lineRule="auto"/>
            </w:pPr>
            <w:r>
              <w:rPr>
                <w:rFonts w:ascii="Times New Roman" w:hAnsi="Times New Roman"/>
                <w:sz w:val="18"/>
              </w:rPr>
              <w:t>Deep NLP lacks explainability; text-only bias</w:t>
            </w:r>
          </w:p>
        </w:tc>
      </w:tr>
      <w:tr>
        <w:tc>
          <w:tcPr>
            <w:tcW w:type="dxa" w:w="1728"/>
            <w:shd w:fill="F7FAFC"/>
            <w:tcMar>
              <w:top w:w="60" w:type="dxa"/>
              <w:bottom w:w="60" w:type="dxa"/>
              <w:left w:w="80" w:type="dxa"/>
              <w:right w:w="80" w:type="dxa"/>
            </w:tcMar>
          </w:tcPr>
          <w:p>
            <w:pPr>
              <w:spacing w:line="276" w:lineRule="auto"/>
            </w:pPr>
            <w:r>
              <w:rPr>
                <w:rFonts w:ascii="Times New Roman" w:hAnsi="Times New Roman"/>
                <w:b/>
                <w:sz w:val="18"/>
              </w:rPr>
              <w:t>Hutto &amp; Gilbert (2014)</w:t>
            </w:r>
          </w:p>
        </w:tc>
        <w:tc>
          <w:tcPr>
            <w:tcW w:type="dxa" w:w="1728"/>
            <w:shd w:fill="F7FAFC"/>
            <w:tcMar>
              <w:top w:w="60" w:type="dxa"/>
              <w:bottom w:w="60" w:type="dxa"/>
              <w:left w:w="80" w:type="dxa"/>
              <w:right w:w="80" w:type="dxa"/>
            </w:tcMar>
          </w:tcPr>
          <w:p>
            <w:pPr>
              <w:spacing w:line="276" w:lineRule="auto"/>
            </w:pPr>
            <w:r>
              <w:rPr>
                <w:rFonts w:ascii="Times New Roman" w:hAnsi="Times New Roman"/>
                <w:sz w:val="18"/>
              </w:rPr>
              <w:t>Sentiment Analysis</w:t>
            </w:r>
          </w:p>
        </w:tc>
        <w:tc>
          <w:tcPr>
            <w:tcW w:type="dxa" w:w="1584"/>
            <w:shd w:fill="F7FAFC"/>
            <w:tcMar>
              <w:top w:w="60" w:type="dxa"/>
              <w:bottom w:w="60" w:type="dxa"/>
              <w:left w:w="80" w:type="dxa"/>
              <w:right w:w="80" w:type="dxa"/>
            </w:tcMar>
          </w:tcPr>
          <w:p>
            <w:pPr>
              <w:spacing w:line="276" w:lineRule="auto"/>
            </w:pPr>
            <w:r>
              <w:rPr>
                <w:rFonts w:ascii="Times New Roman" w:hAnsi="Times New Roman"/>
                <w:sz w:val="18"/>
              </w:rPr>
              <w:t>Short Digital Text</w:t>
            </w:r>
          </w:p>
        </w:tc>
        <w:tc>
          <w:tcPr>
            <w:tcW w:type="dxa" w:w="1872"/>
            <w:shd w:fill="F7FAFC"/>
            <w:tcMar>
              <w:top w:w="60" w:type="dxa"/>
              <w:bottom w:w="60" w:type="dxa"/>
              <w:left w:w="80" w:type="dxa"/>
              <w:right w:w="80" w:type="dxa"/>
            </w:tcMar>
          </w:tcPr>
          <w:p>
            <w:pPr>
              <w:spacing w:line="276" w:lineRule="auto"/>
            </w:pPr>
            <w:r>
              <w:rPr>
                <w:rFonts w:ascii="Times New Roman" w:hAnsi="Times New Roman"/>
                <w:sz w:val="18"/>
              </w:rPr>
              <w:t>Rule-Based Lexicon (VADER)</w:t>
            </w:r>
          </w:p>
        </w:tc>
        <w:tc>
          <w:tcPr>
            <w:tcW w:type="dxa" w:w="2117"/>
            <w:shd w:fill="F7FAFC"/>
            <w:tcMar>
              <w:top w:w="60" w:type="dxa"/>
              <w:bottom w:w="60" w:type="dxa"/>
              <w:left w:w="80" w:type="dxa"/>
              <w:right w:w="80" w:type="dxa"/>
            </w:tcMar>
          </w:tcPr>
          <w:p>
            <w:pPr>
              <w:spacing w:line="276" w:lineRule="auto"/>
            </w:pPr>
            <w:r>
              <w:rPr>
                <w:rFonts w:ascii="Times New Roman" w:hAnsi="Times New Roman"/>
                <w:sz w:val="18"/>
              </w:rPr>
              <w:t>Measures linguistic valence, not clinical affect</w:t>
            </w:r>
          </w:p>
        </w:tc>
      </w:tr>
      <w:tr>
        <w:tc>
          <w:tcPr>
            <w:tcW w:type="dxa" w:w="1728"/>
            <w:tcMar>
              <w:top w:w="60" w:type="dxa"/>
              <w:bottom w:w="60" w:type="dxa"/>
              <w:left w:w="80" w:type="dxa"/>
              <w:right w:w="80" w:type="dxa"/>
            </w:tcMar>
          </w:tcPr>
          <w:p>
            <w:pPr>
              <w:spacing w:line="276" w:lineRule="auto"/>
            </w:pPr>
            <w:r>
              <w:rPr>
                <w:rFonts w:ascii="Times New Roman" w:hAnsi="Times New Roman"/>
                <w:b/>
                <w:sz w:val="18"/>
              </w:rPr>
              <w:t>Gardner et al. (1999)</w:t>
            </w:r>
          </w:p>
        </w:tc>
        <w:tc>
          <w:tcPr>
            <w:tcW w:type="dxa" w:w="1728"/>
            <w:tcMar>
              <w:top w:w="60" w:type="dxa"/>
              <w:bottom w:w="60" w:type="dxa"/>
              <w:left w:w="80" w:type="dxa"/>
              <w:right w:w="80" w:type="dxa"/>
            </w:tcMar>
          </w:tcPr>
          <w:p>
            <w:pPr>
              <w:spacing w:line="276" w:lineRule="auto"/>
            </w:pPr>
            <w:r>
              <w:rPr>
                <w:rFonts w:ascii="Times New Roman" w:hAnsi="Times New Roman"/>
                <w:sz w:val="18"/>
              </w:rPr>
              <w:t>Pediatric Screener</w:t>
            </w:r>
          </w:p>
        </w:tc>
        <w:tc>
          <w:tcPr>
            <w:tcW w:type="dxa" w:w="1584"/>
            <w:tcMar>
              <w:top w:w="60" w:type="dxa"/>
              <w:bottom w:w="60" w:type="dxa"/>
              <w:left w:w="80" w:type="dxa"/>
              <w:right w:w="80" w:type="dxa"/>
            </w:tcMar>
          </w:tcPr>
          <w:p>
            <w:pPr>
              <w:spacing w:line="276" w:lineRule="auto"/>
            </w:pPr>
            <w:r>
              <w:rPr>
                <w:rFonts w:ascii="Times New Roman" w:hAnsi="Times New Roman"/>
                <w:sz w:val="18"/>
              </w:rPr>
              <w:t>Children (4–15 yrs)</w:t>
            </w:r>
          </w:p>
        </w:tc>
        <w:tc>
          <w:tcPr>
            <w:tcW w:type="dxa" w:w="1872"/>
            <w:tcMar>
              <w:top w:w="60" w:type="dxa"/>
              <w:bottom w:w="60" w:type="dxa"/>
              <w:left w:w="80" w:type="dxa"/>
              <w:right w:w="80" w:type="dxa"/>
            </w:tcMar>
          </w:tcPr>
          <w:p>
            <w:pPr>
              <w:spacing w:line="276" w:lineRule="auto"/>
            </w:pPr>
            <w:r>
              <w:rPr>
                <w:rFonts w:ascii="Times New Roman" w:hAnsi="Times New Roman"/>
                <w:sz w:val="18"/>
              </w:rPr>
              <w:t>Psychometric Factor Analysis</w:t>
            </w:r>
          </w:p>
        </w:tc>
        <w:tc>
          <w:tcPr>
            <w:tcW w:type="dxa" w:w="2117"/>
            <w:tcMar>
              <w:top w:w="60" w:type="dxa"/>
              <w:bottom w:w="60" w:type="dxa"/>
              <w:left w:w="80" w:type="dxa"/>
              <w:right w:w="80" w:type="dxa"/>
            </w:tcMar>
          </w:tcPr>
          <w:p>
            <w:pPr>
              <w:spacing w:line="276" w:lineRule="auto"/>
            </w:pPr>
            <w:r>
              <w:rPr>
                <w:rFonts w:ascii="Times New Roman" w:hAnsi="Times New Roman"/>
                <w:sz w:val="18"/>
              </w:rPr>
              <w:t>Paper-based, clinician/parent completed tool</w:t>
            </w:r>
          </w:p>
        </w:tc>
      </w:tr>
      <w:tr>
        <w:tc>
          <w:tcPr>
            <w:tcW w:type="dxa" w:w="1728"/>
            <w:shd w:fill="F7FAFC"/>
            <w:tcMar>
              <w:top w:w="60" w:type="dxa"/>
              <w:bottom w:w="60" w:type="dxa"/>
              <w:left w:w="80" w:type="dxa"/>
              <w:right w:w="80" w:type="dxa"/>
            </w:tcMar>
          </w:tcPr>
          <w:p>
            <w:pPr>
              <w:spacing w:line="276" w:lineRule="auto"/>
            </w:pPr>
            <w:r>
              <w:rPr>
                <w:rFonts w:ascii="Times New Roman" w:hAnsi="Times New Roman"/>
                <w:b/>
                <w:sz w:val="18"/>
              </w:rPr>
              <w:t>Schueller et al. (2019)</w:t>
            </w:r>
          </w:p>
        </w:tc>
        <w:tc>
          <w:tcPr>
            <w:tcW w:type="dxa" w:w="1728"/>
            <w:shd w:fill="F7FAFC"/>
            <w:tcMar>
              <w:top w:w="60" w:type="dxa"/>
              <w:bottom w:w="60" w:type="dxa"/>
              <w:left w:w="80" w:type="dxa"/>
              <w:right w:w="80" w:type="dxa"/>
            </w:tcMar>
          </w:tcPr>
          <w:p>
            <w:pPr>
              <w:spacing w:line="276" w:lineRule="auto"/>
            </w:pPr>
            <w:r>
              <w:rPr>
                <w:rFonts w:ascii="Times New Roman" w:hAnsi="Times New Roman"/>
                <w:sz w:val="18"/>
              </w:rPr>
              <w:t>Privacy &amp; Safety</w:t>
            </w:r>
          </w:p>
        </w:tc>
        <w:tc>
          <w:tcPr>
            <w:tcW w:type="dxa" w:w="1584"/>
            <w:shd w:fill="F7FAFC"/>
            <w:tcMar>
              <w:top w:w="60" w:type="dxa"/>
              <w:bottom w:w="60" w:type="dxa"/>
              <w:left w:w="80" w:type="dxa"/>
              <w:right w:w="80" w:type="dxa"/>
            </w:tcMar>
          </w:tcPr>
          <w:p>
            <w:pPr>
              <w:spacing w:line="276" w:lineRule="auto"/>
            </w:pPr>
            <w:r>
              <w:rPr>
                <w:rFonts w:ascii="Times New Roman" w:hAnsi="Times New Roman"/>
                <w:sz w:val="18"/>
              </w:rPr>
              <w:t>Digital Health Users</w:t>
            </w:r>
          </w:p>
        </w:tc>
        <w:tc>
          <w:tcPr>
            <w:tcW w:type="dxa" w:w="1872"/>
            <w:shd w:fill="F7FAFC"/>
            <w:tcMar>
              <w:top w:w="60" w:type="dxa"/>
              <w:bottom w:w="60" w:type="dxa"/>
              <w:left w:w="80" w:type="dxa"/>
              <w:right w:w="80" w:type="dxa"/>
            </w:tcMar>
          </w:tcPr>
          <w:p>
            <w:pPr>
              <w:spacing w:line="276" w:lineRule="auto"/>
            </w:pPr>
            <w:r>
              <w:rPr>
                <w:rFonts w:ascii="Times New Roman" w:hAnsi="Times New Roman"/>
                <w:sz w:val="18"/>
              </w:rPr>
              <w:t>Security &amp; Compliance Audit</w:t>
            </w:r>
          </w:p>
        </w:tc>
        <w:tc>
          <w:tcPr>
            <w:tcW w:type="dxa" w:w="2117"/>
            <w:shd w:fill="F7FAFC"/>
            <w:tcMar>
              <w:top w:w="60" w:type="dxa"/>
              <w:bottom w:w="60" w:type="dxa"/>
              <w:left w:w="80" w:type="dxa"/>
              <w:right w:w="80" w:type="dxa"/>
            </w:tcMar>
          </w:tcPr>
          <w:p>
            <w:pPr>
              <w:spacing w:line="276" w:lineRule="auto"/>
            </w:pPr>
            <w:r>
              <w:rPr>
                <w:rFonts w:ascii="Times New Roman" w:hAnsi="Times New Roman"/>
                <w:sz w:val="18"/>
              </w:rPr>
              <w:t>Policy-oriented; lacks software implementation</w:t>
            </w:r>
          </w:p>
        </w:tc>
      </w:tr>
    </w:tbl>
    <w:p>
      <w:pPr>
        <w:spacing w:before="80" w:after="200"/>
        <w:jc w:val="center"/>
      </w:pPr>
      <w:r>
        <w:rPr>
          <w:rFonts w:ascii="Times New Roman" w:hAnsi="Times New Roman"/>
          <w:i/>
          <w:sz w:val="20"/>
        </w:rPr>
        <w:t>Table 1: Literature Comparison Matrix Across Surveyed Studies</w:t>
      </w:r>
    </w:p>
    <w:p>
      <w:pPr>
        <w:keepNext/>
        <w:spacing w:before="240" w:after="80"/>
      </w:pPr>
      <w:r>
        <w:rPr>
          <w:rFonts w:ascii="Times New Roman" w:hAnsi="Times New Roman"/>
          <w:b/>
          <w:color w:val="2B6CB0"/>
          <w:sz w:val="28"/>
        </w:rPr>
        <w:t>1.4 Identified Research Gaps &amp; Problem Statement</w:t>
      </w:r>
    </w:p>
    <w:p>
      <w:pPr>
        <w:spacing w:line="360" w:lineRule="auto" w:after="120"/>
        <w:jc w:val="both"/>
      </w:pPr>
      <w:r>
        <w:rPr>
          <w:rFonts w:ascii="Times New Roman" w:hAnsi="Times New Roman"/>
          <w:i w:val="0"/>
          <w:color w:val="2D3748"/>
          <w:sz w:val="24"/>
        </w:rPr>
        <w:t>Based on the comprehensive literature review, four distinct opportunities and research gaps were identified:</w:t>
      </w:r>
    </w:p>
    <w:p>
      <w:pPr>
        <w:pStyle w:val="ListBullet"/>
        <w:spacing w:line="300" w:lineRule="auto" w:after="80"/>
        <w:jc w:val="both"/>
      </w:pPr>
      <w:r>
        <w:rPr>
          <w:rFonts w:ascii="Times New Roman" w:hAnsi="Times New Roman"/>
          <w:b/>
          <w:color w:val="1A202C"/>
          <w:sz w:val="23"/>
        </w:rPr>
        <w:t xml:space="preserve">Opportunity for Age-Appropriate Interaction: </w:t>
      </w:r>
      <w:r>
        <w:rPr>
          <w:rFonts w:ascii="Times New Roman" w:hAnsi="Times New Roman"/>
          <w:color w:val="2D3748"/>
          <w:sz w:val="23"/>
        </w:rPr>
        <w:t>While digital interventions exist for older adolescents and adults, there remains a distinct scarcity of digital well-being platforms designed specifically for preadolescents using intuitive, visual, and low-cognitive-load interactions.</w:t>
      </w:r>
    </w:p>
    <w:p>
      <w:pPr>
        <w:pStyle w:val="ListBullet"/>
        <w:spacing w:line="300" w:lineRule="auto" w:after="80"/>
        <w:jc w:val="both"/>
      </w:pPr>
      <w:r>
        <w:rPr>
          <w:rFonts w:ascii="Times New Roman" w:hAnsi="Times New Roman"/>
          <w:b/>
          <w:color w:val="1A202C"/>
          <w:sz w:val="23"/>
        </w:rPr>
        <w:t xml:space="preserve">Opportunity for Multi-Modal Data Synthesis: </w:t>
      </w:r>
      <w:r>
        <w:rPr>
          <w:rFonts w:ascii="Times New Roman" w:hAnsi="Times New Roman"/>
          <w:color w:val="2D3748"/>
          <w:sz w:val="23"/>
        </w:rPr>
        <w:t>Existing applications predominantly analyze either structured lifestyle survey questions or unstructured text in isolation. An opportunity exists to synthesize daily emoji mood logs, structured behavioral metrics (sleep, screen time, physical play, academic stress), and optional text sentiment into an integrated assessment pipeline.</w:t>
      </w:r>
    </w:p>
    <w:p>
      <w:pPr>
        <w:pStyle w:val="ListBullet"/>
        <w:spacing w:line="300" w:lineRule="auto" w:after="80"/>
        <w:jc w:val="both"/>
      </w:pPr>
      <w:r>
        <w:rPr>
          <w:rFonts w:ascii="Times New Roman" w:hAnsi="Times New Roman"/>
          <w:b/>
          <w:color w:val="1A202C"/>
          <w:sz w:val="23"/>
        </w:rPr>
        <w:t xml:space="preserve">Opportunity for Continuous Longitudinal Surveillance: </w:t>
      </w:r>
      <w:r>
        <w:rPr>
          <w:rFonts w:ascii="Times New Roman" w:hAnsi="Times New Roman"/>
          <w:color w:val="2D3748"/>
          <w:sz w:val="23"/>
        </w:rPr>
        <w:t>Most pediatric screening tools operate episodically during annual clinic visits or parent surveys. There is a need for lightweight, everyday tracking systems that capture longitudinal behavioral trends and moving averages over time.</w:t>
      </w:r>
    </w:p>
    <w:p>
      <w:pPr>
        <w:pStyle w:val="ListBullet"/>
        <w:spacing w:line="300" w:lineRule="auto" w:after="80"/>
        <w:jc w:val="both"/>
      </w:pPr>
      <w:r>
        <w:rPr>
          <w:rFonts w:ascii="Times New Roman" w:hAnsi="Times New Roman"/>
          <w:b/>
          <w:color w:val="1A202C"/>
          <w:sz w:val="23"/>
        </w:rPr>
        <w:t xml:space="preserve">Opportunity to Bridge Surveillance with Immediate Coping and Referral: </w:t>
      </w:r>
      <w:r>
        <w:rPr>
          <w:rFonts w:ascii="Times New Roman" w:hAnsi="Times New Roman"/>
          <w:color w:val="2D3748"/>
          <w:sz w:val="23"/>
        </w:rPr>
        <w:t>Existing mood tracking applications often record negative emotional states without offering immediate, non-clinical calming tools (e.g., guided breathing pacing) or connecting caregivers to verified, region-specific crisis helplines.</w:t>
      </w:r>
    </w:p>
    <w:p>
      <w:pPr>
        <w:spacing w:line="360" w:lineRule="auto" w:after="240"/>
        <w:jc w:val="both"/>
      </w:pPr>
      <w:r>
        <w:rPr>
          <w:rFonts w:ascii="Times New Roman" w:hAnsi="Times New Roman"/>
          <w:b/>
          <w:color w:val="1A202C"/>
          <w:sz w:val="24"/>
        </w:rPr>
        <w:t xml:space="preserve">Formulation of Problem Statement: </w:t>
      </w:r>
      <w:r>
        <w:rPr>
          <w:rFonts w:ascii="Times New Roman" w:hAnsi="Times New Roman"/>
          <w:i w:val="0"/>
          <w:color w:val="2D3748"/>
          <w:sz w:val="24"/>
        </w:rPr>
        <w:t>Problem Statement: To design, specify, and evaluate an interactive, child-centered software architecture that combines daily mood check-ins, structured lifestyle indicators (sleep, screen time, physical play, academic stress), and natural language sentiment analysis into an integrated surveillance platform—providing non-clinical risk stratification, longitudinal trend visualization, immediate coping support, and verified crisis referral pathways.</w:t>
      </w:r>
    </w:p>
    <w:p>
      <w:r>
        <w:br w:type="page"/>
      </w:r>
    </w:p>
    <w:p>
      <w:pPr>
        <w:keepNext/>
        <w:spacing w:before="320" w:after="120"/>
      </w:pPr>
      <w:r>
        <w:rPr>
          <w:rFonts w:ascii="Times New Roman" w:hAnsi="Times New Roman"/>
          <w:b/>
          <w:color w:val="1A365D"/>
          <w:sz w:val="32"/>
        </w:rPr>
        <w:t>2. Section 2: System Architecture Design</w:t>
      </w:r>
    </w:p>
    <w:p>
      <w:pPr>
        <w:keepNext/>
        <w:spacing w:before="240" w:after="80"/>
      </w:pPr>
      <w:r>
        <w:rPr>
          <w:rFonts w:ascii="Times New Roman" w:hAnsi="Times New Roman"/>
          <w:b/>
          <w:color w:val="2B6CB0"/>
          <w:sz w:val="28"/>
        </w:rPr>
        <w:t>2.1 Design Philosophy &amp; Multi-Tier Architecture</w:t>
      </w:r>
    </w:p>
    <w:p>
      <w:pPr>
        <w:spacing w:line="360" w:lineRule="auto" w:after="120"/>
        <w:jc w:val="both"/>
      </w:pPr>
      <w:r>
        <w:rPr>
          <w:rFonts w:ascii="Times New Roman" w:hAnsi="Times New Roman"/>
          <w:i w:val="0"/>
          <w:color w:val="2D3748"/>
          <w:sz w:val="24"/>
        </w:rPr>
        <w:t>The proposed platform is organized into five decoupled, cohesive architectural layers designed to deliver responsive, privacy-preserving, and non-clinical well-being decision support for children and their caregivers:</w:t>
      </w:r>
    </w:p>
    <w:p>
      <w:pPr>
        <w:pStyle w:val="ListBullet"/>
        <w:spacing w:line="300" w:lineRule="auto" w:after="80"/>
        <w:jc w:val="both"/>
      </w:pPr>
      <w:r>
        <w:rPr>
          <w:rFonts w:ascii="Times New Roman" w:hAnsi="Times New Roman"/>
          <w:b/>
          <w:color w:val="1A202C"/>
          <w:sz w:val="23"/>
        </w:rPr>
        <w:t xml:space="preserve">1. Presentation Layer: </w:t>
      </w:r>
      <w:r>
        <w:rPr>
          <w:rFonts w:ascii="Times New Roman" w:hAnsi="Times New Roman"/>
          <w:color w:val="2D3748"/>
          <w:sz w:val="23"/>
        </w:rPr>
        <w:t>Dual-role responsive interface built with Streamlit, containing the Child Interactive Portal (emoji mood picker, lifestyle sliders, journal, breathing pacer) and Guardian / Educator Dashboard (longitudinal trajectories, heatmaps, alerts).</w:t>
      </w:r>
    </w:p>
    <w:p>
      <w:pPr>
        <w:pStyle w:val="ListBullet"/>
        <w:spacing w:line="300" w:lineRule="auto" w:after="80"/>
        <w:jc w:val="both"/>
      </w:pPr>
      <w:r>
        <w:rPr>
          <w:rFonts w:ascii="Times New Roman" w:hAnsi="Times New Roman"/>
          <w:b/>
          <w:color w:val="1A202C"/>
          <w:sz w:val="23"/>
        </w:rPr>
        <w:t xml:space="preserve">2. Application &amp; Logic Layer: </w:t>
      </w:r>
      <w:r>
        <w:rPr>
          <w:rFonts w:ascii="Times New Roman" w:hAnsi="Times New Roman"/>
          <w:color w:val="2D3748"/>
          <w:sz w:val="23"/>
        </w:rPr>
        <w:t>Orchestrates application logic, input range validation, rule mapping, sentiment scoring invocation, relaxation tool control, and safety referral routing.</w:t>
      </w:r>
    </w:p>
    <w:p>
      <w:pPr>
        <w:pStyle w:val="ListBullet"/>
        <w:spacing w:line="300" w:lineRule="auto" w:after="80"/>
        <w:jc w:val="both"/>
      </w:pPr>
      <w:r>
        <w:rPr>
          <w:rFonts w:ascii="Times New Roman" w:hAnsi="Times New Roman"/>
          <w:b/>
          <w:color w:val="1A202C"/>
          <w:sz w:val="23"/>
        </w:rPr>
        <w:t xml:space="preserve">3. ML &amp; NLP Intelligence Layer (Proposed): </w:t>
      </w:r>
      <w:r>
        <w:rPr>
          <w:rFonts w:ascii="Times New Roman" w:hAnsi="Times New Roman"/>
          <w:color w:val="2D3748"/>
          <w:sz w:val="23"/>
        </w:rPr>
        <w:t>Executes feature scaling (StandardScaler), proposed supervised multi-class risk classification (Random Forest / Gradient Boosting), feature attribution explainability, and lexicon-based sentiment analysis.</w:t>
      </w:r>
    </w:p>
    <w:p>
      <w:pPr>
        <w:pStyle w:val="ListBullet"/>
        <w:spacing w:line="300" w:lineRule="auto" w:after="80"/>
        <w:jc w:val="both"/>
      </w:pPr>
      <w:r>
        <w:rPr>
          <w:rFonts w:ascii="Times New Roman" w:hAnsi="Times New Roman"/>
          <w:b/>
          <w:color w:val="1A202C"/>
          <w:sz w:val="23"/>
        </w:rPr>
        <w:t xml:space="preserve">4. Data &amp; Persistence Layer (Proposed): </w:t>
      </w:r>
      <w:r>
        <w:rPr>
          <w:rFonts w:ascii="Times New Roman" w:hAnsi="Times New Roman"/>
          <w:color w:val="2D3748"/>
          <w:sz w:val="23"/>
        </w:rPr>
        <w:t>Manages tabular training datasets, serialized model artifacts, verified crisis contact catalogs, and ephemeral session history.</w:t>
      </w:r>
    </w:p>
    <w:p>
      <w:pPr>
        <w:pStyle w:val="ListBullet"/>
        <w:spacing w:line="300" w:lineRule="auto" w:after="80"/>
        <w:jc w:val="both"/>
      </w:pPr>
      <w:r>
        <w:rPr>
          <w:rFonts w:ascii="Times New Roman" w:hAnsi="Times New Roman"/>
          <w:b/>
          <w:color w:val="1A202C"/>
          <w:sz w:val="23"/>
        </w:rPr>
        <w:t xml:space="preserve">5. External Support &amp; Referral Layer: </w:t>
      </w:r>
      <w:r>
        <w:rPr>
          <w:rFonts w:ascii="Times New Roman" w:hAnsi="Times New Roman"/>
          <w:color w:val="2D3748"/>
          <w:sz w:val="23"/>
        </w:rPr>
        <w:t>Connects users with verified Indian national crisis helplines (Childline 1098, Tele-MANAS 14416) and guidance on seeking professional clinical consultations.</w:t>
      </w:r>
    </w:p>
    <w:p>
      <w:pPr>
        <w:keepNext/>
        <w:spacing w:before="240" w:after="80"/>
      </w:pPr>
      <w:r>
        <w:rPr>
          <w:rFonts w:ascii="Times New Roman" w:hAnsi="Times New Roman"/>
          <w:b/>
          <w:color w:val="2B6CB0"/>
          <w:sz w:val="28"/>
        </w:rPr>
        <w:t>2.2 System Architecture Diagram</w:t>
      </w:r>
    </w:p>
    <w:p>
      <w:pPr>
        <w:spacing w:line="360" w:lineRule="auto" w:after="120"/>
        <w:jc w:val="both"/>
      </w:pPr>
      <w:r>
        <w:rPr>
          <w:rFonts w:ascii="Times New Roman" w:hAnsi="Times New Roman"/>
          <w:i w:val="0"/>
          <w:color w:val="2D3748"/>
          <w:sz w:val="24"/>
        </w:rPr>
        <w:t>Figure 1 illustrates the multi-tier architectural layout, showing component interactions from child input ingestion to guardian analytics and verified crisis referral.</w:t>
      </w:r>
    </w:p>
    <w:p>
      <w:pPr>
        <w:spacing w:before="160" w:after="80"/>
        <w:jc w:val="center"/>
      </w:pPr>
      <w:r>
        <w:drawing>
          <wp:inline xmlns:a="http://schemas.openxmlformats.org/drawingml/2006/main" xmlns:pic="http://schemas.openxmlformats.org/drawingml/2006/picture">
            <wp:extent cx="5303520" cy="5839229"/>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303520" cy="5839229"/>
                    </a:xfrm>
                    <a:prstGeom prst="rect"/>
                  </pic:spPr>
                </pic:pic>
              </a:graphicData>
            </a:graphic>
          </wp:inline>
        </w:drawing>
      </w:r>
    </w:p>
    <w:p>
      <w:pPr>
        <w:spacing w:after="240"/>
        <w:jc w:val="center"/>
      </w:pPr>
      <w:r>
        <w:rPr>
          <w:rFonts w:ascii="Times New Roman" w:hAnsi="Times New Roman"/>
          <w:i/>
          <w:sz w:val="20"/>
        </w:rPr>
        <w:t>Figure 1: System Architecture of the Proposed Mental Health and Well-being Surveillance Platform</w:t>
      </w:r>
    </w:p>
    <w:p>
      <w:pPr>
        <w:keepNext/>
        <w:spacing w:before="240" w:after="80"/>
      </w:pPr>
      <w:r>
        <w:rPr>
          <w:rFonts w:ascii="Times New Roman" w:hAnsi="Times New Roman"/>
          <w:b/>
          <w:color w:val="2B6CB0"/>
          <w:sz w:val="28"/>
        </w:rPr>
        <w:t>2.3 Component Input / Output Specifications</w:t>
      </w:r>
    </w:p>
    <w:p>
      <w:pPr>
        <w:spacing w:line="360" w:lineRule="auto" w:after="120"/>
        <w:jc w:val="both"/>
      </w:pPr>
      <w:r>
        <w:rPr>
          <w:rFonts w:ascii="Times New Roman" w:hAnsi="Times New Roman"/>
          <w:i w:val="0"/>
          <w:color w:val="2D3748"/>
          <w:sz w:val="24"/>
        </w:rPr>
        <w:t>Table 2 defines the precise data formats, transformations, and output schemas across the primary architectural components.</w:t>
      </w:r>
    </w:p>
    <w:tbl>
      <w:tblPr>
        <w:tblW w:type="auto" w:w="0"/>
        <w:jc w:val="center"/>
        <w:tblLayout w:type="fixed"/>
        <w:tblLook w:firstColumn="1" w:firstRow="1" w:lastColumn="0" w:lastRow="0" w:noHBand="0" w:noVBand="1" w:val="04A0"/>
        <w:tblBorders>
          <w:top w:val="single" w:sz="4" w:space="0" w:color="D2D6DC"/>
          <w:bottom w:val="single" w:sz="4" w:space="0" w:color="D2D6DC"/>
          <w:insideH w:val="single" w:sz="4" w:space="0" w:color="D2D6DC"/>
          <w:insideV w:val="single" w:sz="4" w:space="0" w:color="D2D6DC"/>
          <w:left w:val="none"/>
          <w:right w:val="none"/>
        </w:tblBorders>
      </w:tblPr>
      <w:tblGrid>
        <w:gridCol w:w="2256"/>
        <w:gridCol w:w="2256"/>
        <w:gridCol w:w="2256"/>
        <w:gridCol w:w="2256"/>
      </w:tblGrid>
      <w:tr>
        <w:tc>
          <w:tcPr>
            <w:tcW w:type="dxa" w:w="2016"/>
            <w:shd w:fill="1A365D"/>
            <w:tcMar>
              <w:top w:w="80" w:type="dxa"/>
              <w:bottom w:w="80" w:type="dxa"/>
              <w:left w:w="100" w:type="dxa"/>
              <w:right w:w="100" w:type="dxa"/>
            </w:tcMar>
          </w:tcPr>
          <w:p>
            <w:pPr>
              <w:jc w:val="center"/>
            </w:pPr>
            <w:r>
              <w:rPr>
                <w:rFonts w:ascii="Times New Roman" w:hAnsi="Times New Roman"/>
                <w:b/>
                <w:color w:val="FFFFFF"/>
                <w:sz w:val="19"/>
              </w:rPr>
              <w:t>Component</w:t>
            </w:r>
          </w:p>
        </w:tc>
        <w:tc>
          <w:tcPr>
            <w:tcW w:type="dxa" w:w="2160"/>
            <w:shd w:fill="1A365D"/>
            <w:tcMar>
              <w:top w:w="80" w:type="dxa"/>
              <w:bottom w:w="80" w:type="dxa"/>
              <w:left w:w="100" w:type="dxa"/>
              <w:right w:w="100" w:type="dxa"/>
            </w:tcMar>
          </w:tcPr>
          <w:p>
            <w:pPr>
              <w:jc w:val="center"/>
            </w:pPr>
            <w:r>
              <w:rPr>
                <w:rFonts w:ascii="Times New Roman" w:hAnsi="Times New Roman"/>
                <w:b/>
                <w:color w:val="FFFFFF"/>
                <w:sz w:val="19"/>
              </w:rPr>
              <w:t>Input Data &amp; Type</w:t>
            </w:r>
          </w:p>
        </w:tc>
        <w:tc>
          <w:tcPr>
            <w:tcW w:type="dxa" w:w="2448"/>
            <w:shd w:fill="1A365D"/>
            <w:tcMar>
              <w:top w:w="80" w:type="dxa"/>
              <w:bottom w:w="80" w:type="dxa"/>
              <w:left w:w="100" w:type="dxa"/>
              <w:right w:w="100" w:type="dxa"/>
            </w:tcMar>
          </w:tcPr>
          <w:p>
            <w:pPr>
              <w:jc w:val="center"/>
            </w:pPr>
            <w:r>
              <w:rPr>
                <w:rFonts w:ascii="Times New Roman" w:hAnsi="Times New Roman"/>
                <w:b/>
                <w:color w:val="FFFFFF"/>
                <w:sz w:val="19"/>
              </w:rPr>
              <w:t>Processing Logic</w:t>
            </w:r>
          </w:p>
        </w:tc>
        <w:tc>
          <w:tcPr>
            <w:tcW w:type="dxa" w:w="2405"/>
            <w:shd w:fill="1A365D"/>
            <w:tcMar>
              <w:top w:w="80" w:type="dxa"/>
              <w:bottom w:w="80" w:type="dxa"/>
              <w:left w:w="100" w:type="dxa"/>
              <w:right w:w="100" w:type="dxa"/>
            </w:tcMar>
          </w:tcPr>
          <w:p>
            <w:pPr>
              <w:jc w:val="center"/>
            </w:pPr>
            <w:r>
              <w:rPr>
                <w:rFonts w:ascii="Times New Roman" w:hAnsi="Times New Roman"/>
                <w:b/>
                <w:color w:val="FFFFFF"/>
                <w:sz w:val="19"/>
              </w:rPr>
              <w:t>Output Data &amp; Type</w:t>
            </w:r>
          </w:p>
        </w:tc>
      </w:tr>
      <w:tr>
        <w:tc>
          <w:tcPr>
            <w:tcW w:type="dxa" w:w="2016"/>
            <w:tcMar>
              <w:top w:w="60" w:type="dxa"/>
              <w:bottom w:w="60" w:type="dxa"/>
              <w:left w:w="80" w:type="dxa"/>
              <w:right w:w="80" w:type="dxa"/>
            </w:tcMar>
          </w:tcPr>
          <w:p>
            <w:pPr>
              <w:spacing w:line="276" w:lineRule="auto"/>
            </w:pPr>
            <w:r>
              <w:rPr>
                <w:rFonts w:ascii="Times New Roman" w:hAnsi="Times New Roman"/>
                <w:b/>
                <w:sz w:val="18"/>
              </w:rPr>
              <w:t>Child Check-in UI</w:t>
            </w:r>
          </w:p>
        </w:tc>
        <w:tc>
          <w:tcPr>
            <w:tcW w:type="dxa" w:w="2160"/>
            <w:tcMar>
              <w:top w:w="60" w:type="dxa"/>
              <w:bottom w:w="60" w:type="dxa"/>
              <w:left w:w="80" w:type="dxa"/>
              <w:right w:w="80" w:type="dxa"/>
            </w:tcMar>
          </w:tcPr>
          <w:p>
            <w:pPr>
              <w:spacing w:line="276" w:lineRule="auto"/>
            </w:pPr>
            <w:r>
              <w:rPr>
                <w:rFonts w:ascii="Times New Roman" w:hAnsi="Times New Roman"/>
                <w:sz w:val="18"/>
              </w:rPr>
              <w:t>User taps &amp; sliders (int, float)</w:t>
            </w:r>
          </w:p>
        </w:tc>
        <w:tc>
          <w:tcPr>
            <w:tcW w:type="dxa" w:w="2448"/>
            <w:tcMar>
              <w:top w:w="60" w:type="dxa"/>
              <w:bottom w:w="60" w:type="dxa"/>
              <w:left w:w="80" w:type="dxa"/>
              <w:right w:w="80" w:type="dxa"/>
            </w:tcMar>
          </w:tcPr>
          <w:p>
            <w:pPr>
              <w:spacing w:line="276" w:lineRule="auto"/>
            </w:pPr>
            <w:r>
              <w:rPr>
                <w:rFonts w:ascii="Times New Roman" w:hAnsi="Times New Roman"/>
                <w:sz w:val="18"/>
              </w:rPr>
              <w:t>Validates bounds, updates UI state</w:t>
            </w:r>
          </w:p>
        </w:tc>
        <w:tc>
          <w:tcPr>
            <w:tcW w:type="dxa" w:w="2405"/>
            <w:tcMar>
              <w:top w:w="60" w:type="dxa"/>
              <w:bottom w:w="60" w:type="dxa"/>
              <w:left w:w="80" w:type="dxa"/>
              <w:right w:w="80" w:type="dxa"/>
            </w:tcMar>
          </w:tcPr>
          <w:p>
            <w:pPr>
              <w:spacing w:line="276" w:lineRule="auto"/>
            </w:pPr>
            <w:r>
              <w:rPr>
                <w:rFonts w:ascii="Times New Roman" w:hAnsi="Times New Roman"/>
                <w:sz w:val="18"/>
              </w:rPr>
              <w:t>Structured check-in payload tuple</w:t>
            </w:r>
          </w:p>
        </w:tc>
      </w:tr>
      <w:tr>
        <w:tc>
          <w:tcPr>
            <w:tcW w:type="dxa" w:w="2016"/>
            <w:shd w:fill="F7FAFC"/>
            <w:tcMar>
              <w:top w:w="60" w:type="dxa"/>
              <w:bottom w:w="60" w:type="dxa"/>
              <w:left w:w="80" w:type="dxa"/>
              <w:right w:w="80" w:type="dxa"/>
            </w:tcMar>
          </w:tcPr>
          <w:p>
            <w:pPr>
              <w:spacing w:line="276" w:lineRule="auto"/>
            </w:pPr>
            <w:r>
              <w:rPr>
                <w:rFonts w:ascii="Times New Roman" w:hAnsi="Times New Roman"/>
                <w:b/>
                <w:sz w:val="18"/>
              </w:rPr>
              <w:t>Assessment Engine</w:t>
            </w:r>
          </w:p>
        </w:tc>
        <w:tc>
          <w:tcPr>
            <w:tcW w:type="dxa" w:w="2160"/>
            <w:shd w:fill="F7FAFC"/>
            <w:tcMar>
              <w:top w:w="60" w:type="dxa"/>
              <w:bottom w:w="60" w:type="dxa"/>
              <w:left w:w="80" w:type="dxa"/>
              <w:right w:w="80" w:type="dxa"/>
            </w:tcMar>
          </w:tcPr>
          <w:p>
            <w:pPr>
              <w:spacing w:line="276" w:lineRule="auto"/>
            </w:pPr>
            <w:r>
              <w:rPr>
                <w:rFonts w:ascii="Times New Roman" w:hAnsi="Times New Roman"/>
                <w:sz w:val="18"/>
              </w:rPr>
              <w:t>Feature tuple (X1, ..., Xk)</w:t>
            </w:r>
          </w:p>
        </w:tc>
        <w:tc>
          <w:tcPr>
            <w:tcW w:type="dxa" w:w="2448"/>
            <w:shd w:fill="F7FAFC"/>
            <w:tcMar>
              <w:top w:w="60" w:type="dxa"/>
              <w:bottom w:w="60" w:type="dxa"/>
              <w:left w:w="80" w:type="dxa"/>
              <w:right w:w="80" w:type="dxa"/>
            </w:tcMar>
          </w:tcPr>
          <w:p>
            <w:pPr>
              <w:spacing w:line="276" w:lineRule="auto"/>
            </w:pPr>
            <w:r>
              <w:rPr>
                <w:rFonts w:ascii="Times New Roman" w:hAnsi="Times New Roman"/>
                <w:sz w:val="18"/>
              </w:rPr>
              <w:t>Cleans values, checks bounds</w:t>
            </w:r>
          </w:p>
        </w:tc>
        <w:tc>
          <w:tcPr>
            <w:tcW w:type="dxa" w:w="2405"/>
            <w:shd w:fill="F7FAFC"/>
            <w:tcMar>
              <w:top w:w="60" w:type="dxa"/>
              <w:bottom w:w="60" w:type="dxa"/>
              <w:left w:w="80" w:type="dxa"/>
              <w:right w:w="80" w:type="dxa"/>
            </w:tcMar>
          </w:tcPr>
          <w:p>
            <w:pPr>
              <w:spacing w:line="276" w:lineRule="auto"/>
            </w:pPr>
            <w:r>
              <w:rPr>
                <w:rFonts w:ascii="Times New Roman" w:hAnsi="Times New Roman"/>
                <w:sz w:val="18"/>
              </w:rPr>
              <w:t>Standardized numerical feature array</w:t>
            </w:r>
          </w:p>
        </w:tc>
      </w:tr>
      <w:tr>
        <w:tc>
          <w:tcPr>
            <w:tcW w:type="dxa" w:w="2016"/>
            <w:tcMar>
              <w:top w:w="60" w:type="dxa"/>
              <w:bottom w:w="60" w:type="dxa"/>
              <w:left w:w="80" w:type="dxa"/>
              <w:right w:w="80" w:type="dxa"/>
            </w:tcMar>
          </w:tcPr>
          <w:p>
            <w:pPr>
              <w:spacing w:line="276" w:lineRule="auto"/>
            </w:pPr>
            <w:r>
              <w:rPr>
                <w:rFonts w:ascii="Times New Roman" w:hAnsi="Times New Roman"/>
                <w:b/>
                <w:sz w:val="18"/>
              </w:rPr>
              <w:t>NLP Sentiment Engine</w:t>
            </w:r>
          </w:p>
        </w:tc>
        <w:tc>
          <w:tcPr>
            <w:tcW w:type="dxa" w:w="2160"/>
            <w:tcMar>
              <w:top w:w="60" w:type="dxa"/>
              <w:bottom w:w="60" w:type="dxa"/>
              <w:left w:w="80" w:type="dxa"/>
              <w:right w:w="80" w:type="dxa"/>
            </w:tcMar>
          </w:tcPr>
          <w:p>
            <w:pPr>
              <w:spacing w:line="276" w:lineRule="auto"/>
            </w:pPr>
            <w:r>
              <w:rPr>
                <w:rFonts w:ascii="Times New Roman" w:hAnsi="Times New Roman"/>
                <w:sz w:val="18"/>
              </w:rPr>
              <w:t>Raw text string (str)</w:t>
            </w:r>
          </w:p>
        </w:tc>
        <w:tc>
          <w:tcPr>
            <w:tcW w:type="dxa" w:w="2448"/>
            <w:tcMar>
              <w:top w:w="60" w:type="dxa"/>
              <w:bottom w:w="60" w:type="dxa"/>
              <w:left w:w="80" w:type="dxa"/>
              <w:right w:w="80" w:type="dxa"/>
            </w:tcMar>
          </w:tcPr>
          <w:p>
            <w:pPr>
              <w:spacing w:line="276" w:lineRule="auto"/>
            </w:pPr>
            <w:r>
              <w:rPr>
                <w:rFonts w:ascii="Times New Roman" w:hAnsi="Times New Roman"/>
                <w:sz w:val="18"/>
              </w:rPr>
              <w:t>Tokenization, lexicon valence scoring</w:t>
            </w:r>
          </w:p>
        </w:tc>
        <w:tc>
          <w:tcPr>
            <w:tcW w:type="dxa" w:w="2405"/>
            <w:tcMar>
              <w:top w:w="60" w:type="dxa"/>
              <w:bottom w:w="60" w:type="dxa"/>
              <w:left w:w="80" w:type="dxa"/>
              <w:right w:w="80" w:type="dxa"/>
            </w:tcMar>
          </w:tcPr>
          <w:p>
            <w:pPr>
              <w:spacing w:line="276" w:lineRule="auto"/>
            </w:pPr>
            <w:r>
              <w:rPr>
                <w:rFonts w:ascii="Times New Roman" w:hAnsi="Times New Roman"/>
                <w:sz w:val="18"/>
              </w:rPr>
              <w:t>Compound score [-1.0, +1.0], Tone tag</w:t>
            </w:r>
          </w:p>
        </w:tc>
      </w:tr>
      <w:tr>
        <w:tc>
          <w:tcPr>
            <w:tcW w:type="dxa" w:w="2016"/>
            <w:shd w:fill="F7FAFC"/>
            <w:tcMar>
              <w:top w:w="60" w:type="dxa"/>
              <w:bottom w:w="60" w:type="dxa"/>
              <w:left w:w="80" w:type="dxa"/>
              <w:right w:w="80" w:type="dxa"/>
            </w:tcMar>
          </w:tcPr>
          <w:p>
            <w:pPr>
              <w:spacing w:line="276" w:lineRule="auto"/>
            </w:pPr>
            <w:r>
              <w:rPr>
                <w:rFonts w:ascii="Times New Roman" w:hAnsi="Times New Roman"/>
                <w:b/>
                <w:sz w:val="18"/>
              </w:rPr>
              <w:t>ML Classifier (Proposed)</w:t>
            </w:r>
          </w:p>
        </w:tc>
        <w:tc>
          <w:tcPr>
            <w:tcW w:type="dxa" w:w="2160"/>
            <w:shd w:fill="F7FAFC"/>
            <w:tcMar>
              <w:top w:w="60" w:type="dxa"/>
              <w:bottom w:w="60" w:type="dxa"/>
              <w:left w:w="80" w:type="dxa"/>
              <w:right w:w="80" w:type="dxa"/>
            </w:tcMar>
          </w:tcPr>
          <w:p>
            <w:pPr>
              <w:spacing w:line="276" w:lineRule="auto"/>
            </w:pPr>
            <w:r>
              <w:rPr>
                <w:rFonts w:ascii="Times New Roman" w:hAnsi="Times New Roman"/>
                <w:sz w:val="18"/>
              </w:rPr>
              <w:t>Scaled feature vector X_scaled</w:t>
            </w:r>
          </w:p>
        </w:tc>
        <w:tc>
          <w:tcPr>
            <w:tcW w:type="dxa" w:w="2448"/>
            <w:shd w:fill="F7FAFC"/>
            <w:tcMar>
              <w:top w:w="60" w:type="dxa"/>
              <w:bottom w:w="60" w:type="dxa"/>
              <w:left w:w="80" w:type="dxa"/>
              <w:right w:w="80" w:type="dxa"/>
            </w:tcMar>
          </w:tcPr>
          <w:p>
            <w:pPr>
              <w:spacing w:line="276" w:lineRule="auto"/>
            </w:pPr>
            <w:r>
              <w:rPr>
                <w:rFonts w:ascii="Times New Roman" w:hAnsi="Times New Roman"/>
                <w:sz w:val="18"/>
              </w:rPr>
              <w:t>Supervised tree classification inference</w:t>
            </w:r>
          </w:p>
        </w:tc>
        <w:tc>
          <w:tcPr>
            <w:tcW w:type="dxa" w:w="2405"/>
            <w:shd w:fill="F7FAFC"/>
            <w:tcMar>
              <w:top w:w="60" w:type="dxa"/>
              <w:bottom w:w="60" w:type="dxa"/>
              <w:left w:w="80" w:type="dxa"/>
              <w:right w:w="80" w:type="dxa"/>
            </w:tcMar>
          </w:tcPr>
          <w:p>
            <w:pPr>
              <w:spacing w:line="276" w:lineRule="auto"/>
            </w:pPr>
            <w:r>
              <w:rPr>
                <w:rFonts w:ascii="Times New Roman" w:hAnsi="Times New Roman"/>
                <w:sz w:val="18"/>
              </w:rPr>
              <w:t>Predicted Risk Tier {0, 1, 2}, Probabilities</w:t>
            </w:r>
          </w:p>
        </w:tc>
      </w:tr>
      <w:tr>
        <w:tc>
          <w:tcPr>
            <w:tcW w:type="dxa" w:w="2016"/>
            <w:tcMar>
              <w:top w:w="60" w:type="dxa"/>
              <w:bottom w:w="60" w:type="dxa"/>
              <w:left w:w="80" w:type="dxa"/>
              <w:right w:w="80" w:type="dxa"/>
            </w:tcMar>
          </w:tcPr>
          <w:p>
            <w:pPr>
              <w:spacing w:line="276" w:lineRule="auto"/>
            </w:pPr>
            <w:r>
              <w:rPr>
                <w:rFonts w:ascii="Times New Roman" w:hAnsi="Times New Roman"/>
                <w:b/>
                <w:sz w:val="18"/>
              </w:rPr>
              <w:t>Coping Toolkit</w:t>
            </w:r>
          </w:p>
        </w:tc>
        <w:tc>
          <w:tcPr>
            <w:tcW w:type="dxa" w:w="2160"/>
            <w:tcMar>
              <w:top w:w="60" w:type="dxa"/>
              <w:bottom w:w="60" w:type="dxa"/>
              <w:left w:w="80" w:type="dxa"/>
              <w:right w:w="80" w:type="dxa"/>
            </w:tcMar>
          </w:tcPr>
          <w:p>
            <w:pPr>
              <w:spacing w:line="276" w:lineRule="auto"/>
            </w:pPr>
            <w:r>
              <w:rPr>
                <w:rFonts w:ascii="Times New Roman" w:hAnsi="Times New Roman"/>
                <w:sz w:val="18"/>
              </w:rPr>
              <w:t>Selected mood, Risk tier</w:t>
            </w:r>
          </w:p>
        </w:tc>
        <w:tc>
          <w:tcPr>
            <w:tcW w:type="dxa" w:w="2448"/>
            <w:tcMar>
              <w:top w:w="60" w:type="dxa"/>
              <w:bottom w:w="60" w:type="dxa"/>
              <w:left w:w="80" w:type="dxa"/>
              <w:right w:w="80" w:type="dxa"/>
            </w:tcMar>
          </w:tcPr>
          <w:p>
            <w:pPr>
              <w:spacing w:line="276" w:lineRule="auto"/>
            </w:pPr>
            <w:r>
              <w:rPr>
                <w:rFonts w:ascii="Times New Roman" w:hAnsi="Times New Roman"/>
                <w:sz w:val="18"/>
              </w:rPr>
              <w:t>Rule-based calming activity matcher</w:t>
            </w:r>
          </w:p>
        </w:tc>
        <w:tc>
          <w:tcPr>
            <w:tcW w:type="dxa" w:w="2405"/>
            <w:tcMar>
              <w:top w:w="60" w:type="dxa"/>
              <w:bottom w:w="60" w:type="dxa"/>
              <w:left w:w="80" w:type="dxa"/>
              <w:right w:w="80" w:type="dxa"/>
            </w:tcMar>
          </w:tcPr>
          <w:p>
            <w:pPr>
              <w:spacing w:line="276" w:lineRule="auto"/>
            </w:pPr>
            <w:r>
              <w:rPr>
                <w:rFonts w:ascii="Times New Roman" w:hAnsi="Times New Roman"/>
                <w:sz w:val="18"/>
              </w:rPr>
              <w:t>4-7-8 timer config, Affirmation card</w:t>
            </w:r>
          </w:p>
        </w:tc>
      </w:tr>
      <w:tr>
        <w:tc>
          <w:tcPr>
            <w:tcW w:type="dxa" w:w="2016"/>
            <w:shd w:fill="F7FAFC"/>
            <w:tcMar>
              <w:top w:w="60" w:type="dxa"/>
              <w:bottom w:w="60" w:type="dxa"/>
              <w:left w:w="80" w:type="dxa"/>
              <w:right w:w="80" w:type="dxa"/>
            </w:tcMar>
          </w:tcPr>
          <w:p>
            <w:pPr>
              <w:spacing w:line="276" w:lineRule="auto"/>
            </w:pPr>
            <w:r>
              <w:rPr>
                <w:rFonts w:ascii="Times New Roman" w:hAnsi="Times New Roman"/>
                <w:b/>
                <w:sz w:val="18"/>
              </w:rPr>
              <w:t>Triage Router</w:t>
            </w:r>
          </w:p>
        </w:tc>
        <w:tc>
          <w:tcPr>
            <w:tcW w:type="dxa" w:w="2160"/>
            <w:shd w:fill="F7FAFC"/>
            <w:tcMar>
              <w:top w:w="60" w:type="dxa"/>
              <w:bottom w:w="60" w:type="dxa"/>
              <w:left w:w="80" w:type="dxa"/>
              <w:right w:w="80" w:type="dxa"/>
            </w:tcMar>
          </w:tcPr>
          <w:p>
            <w:pPr>
              <w:spacing w:line="276" w:lineRule="auto"/>
            </w:pPr>
            <w:r>
              <w:rPr>
                <w:rFonts w:ascii="Times New Roman" w:hAnsi="Times New Roman"/>
                <w:sz w:val="18"/>
              </w:rPr>
              <w:t>Risk tier &gt;= 2 or crisis flag</w:t>
            </w:r>
          </w:p>
        </w:tc>
        <w:tc>
          <w:tcPr>
            <w:tcW w:type="dxa" w:w="2448"/>
            <w:shd w:fill="F7FAFC"/>
            <w:tcMar>
              <w:top w:w="60" w:type="dxa"/>
              <w:bottom w:w="60" w:type="dxa"/>
              <w:left w:w="80" w:type="dxa"/>
              <w:right w:w="80" w:type="dxa"/>
            </w:tcMar>
          </w:tcPr>
          <w:p>
            <w:pPr>
              <w:spacing w:line="276" w:lineRule="auto"/>
            </w:pPr>
            <w:r>
              <w:rPr>
                <w:rFonts w:ascii="Times New Roman" w:hAnsi="Times New Roman"/>
                <w:sz w:val="18"/>
              </w:rPr>
              <w:t>Evaluates alert threshold conditions</w:t>
            </w:r>
          </w:p>
        </w:tc>
        <w:tc>
          <w:tcPr>
            <w:tcW w:type="dxa" w:w="2405"/>
            <w:shd w:fill="F7FAFC"/>
            <w:tcMar>
              <w:top w:w="60" w:type="dxa"/>
              <w:bottom w:w="60" w:type="dxa"/>
              <w:left w:w="80" w:type="dxa"/>
              <w:right w:w="80" w:type="dxa"/>
            </w:tcMar>
          </w:tcPr>
          <w:p>
            <w:pPr>
              <w:spacing w:line="276" w:lineRule="auto"/>
            </w:pPr>
            <w:r>
              <w:rPr>
                <w:rFonts w:ascii="Times New Roman" w:hAnsi="Times New Roman"/>
                <w:sz w:val="18"/>
              </w:rPr>
              <w:t>Priority crisis banner, Hotline directory</w:t>
            </w:r>
          </w:p>
        </w:tc>
      </w:tr>
      <w:tr>
        <w:tc>
          <w:tcPr>
            <w:tcW w:type="dxa" w:w="2016"/>
            <w:tcMar>
              <w:top w:w="60" w:type="dxa"/>
              <w:bottom w:w="60" w:type="dxa"/>
              <w:left w:w="80" w:type="dxa"/>
              <w:right w:w="80" w:type="dxa"/>
            </w:tcMar>
          </w:tcPr>
          <w:p>
            <w:pPr>
              <w:spacing w:line="276" w:lineRule="auto"/>
            </w:pPr>
            <w:r>
              <w:rPr>
                <w:rFonts w:ascii="Times New Roman" w:hAnsi="Times New Roman"/>
                <w:b/>
                <w:sz w:val="18"/>
              </w:rPr>
              <w:t>Longitudinal Visualizer</w:t>
            </w:r>
          </w:p>
        </w:tc>
        <w:tc>
          <w:tcPr>
            <w:tcW w:type="dxa" w:w="2160"/>
            <w:tcMar>
              <w:top w:w="60" w:type="dxa"/>
              <w:bottom w:w="60" w:type="dxa"/>
              <w:left w:w="80" w:type="dxa"/>
              <w:right w:w="80" w:type="dxa"/>
            </w:tcMar>
          </w:tcPr>
          <w:p>
            <w:pPr>
              <w:spacing w:line="276" w:lineRule="auto"/>
            </w:pPr>
            <w:r>
              <w:rPr>
                <w:rFonts w:ascii="Times New Roman" w:hAnsi="Times New Roman"/>
                <w:sz w:val="18"/>
              </w:rPr>
              <w:t>Historical check-in time series</w:t>
            </w:r>
          </w:p>
        </w:tc>
        <w:tc>
          <w:tcPr>
            <w:tcW w:type="dxa" w:w="2448"/>
            <w:tcMar>
              <w:top w:w="60" w:type="dxa"/>
              <w:bottom w:w="60" w:type="dxa"/>
              <w:left w:w="80" w:type="dxa"/>
              <w:right w:w="80" w:type="dxa"/>
            </w:tcMar>
          </w:tcPr>
          <w:p>
            <w:pPr>
              <w:spacing w:line="276" w:lineRule="auto"/>
            </w:pPr>
            <w:r>
              <w:rPr>
                <w:rFonts w:ascii="Times New Roman" w:hAnsi="Times New Roman"/>
                <w:sz w:val="18"/>
              </w:rPr>
              <w:t>Calculates 7-day rolling averages</w:t>
            </w:r>
          </w:p>
        </w:tc>
        <w:tc>
          <w:tcPr>
            <w:tcW w:type="dxa" w:w="2405"/>
            <w:tcMar>
              <w:top w:w="60" w:type="dxa"/>
              <w:bottom w:w="60" w:type="dxa"/>
              <w:left w:w="80" w:type="dxa"/>
              <w:right w:w="80" w:type="dxa"/>
            </w:tcMar>
          </w:tcPr>
          <w:p>
            <w:pPr>
              <w:spacing w:line="276" w:lineRule="auto"/>
            </w:pPr>
            <w:r>
              <w:rPr>
                <w:rFonts w:ascii="Times New Roman" w:hAnsi="Times New Roman"/>
                <w:sz w:val="18"/>
              </w:rPr>
              <w:t>Interactive trend &amp; correlation plots</w:t>
            </w:r>
          </w:p>
        </w:tc>
      </w:tr>
    </w:tbl>
    <w:p>
      <w:pPr>
        <w:spacing w:before="80" w:after="200"/>
        <w:jc w:val="center"/>
      </w:pPr>
      <w:r>
        <w:rPr>
          <w:rFonts w:ascii="Times New Roman" w:hAnsi="Times New Roman"/>
          <w:i/>
          <w:sz w:val="20"/>
        </w:rPr>
        <w:t>Table 2: Input / Output Specifications Across System Components</w:t>
      </w:r>
    </w:p>
    <w:p>
      <w:pPr>
        <w:keepNext/>
        <w:spacing w:before="240" w:after="80"/>
      </w:pPr>
      <w:r>
        <w:rPr>
          <w:rFonts w:ascii="Times New Roman" w:hAnsi="Times New Roman"/>
          <w:b/>
          <w:color w:val="2B6CB0"/>
          <w:sz w:val="28"/>
        </w:rPr>
        <w:t>2.4 Data Flow Modeling</w:t>
      </w:r>
    </w:p>
    <w:p>
      <w:pPr>
        <w:spacing w:line="360" w:lineRule="auto" w:after="120"/>
        <w:jc w:val="both"/>
      </w:pPr>
      <w:r>
        <w:rPr>
          <w:rFonts w:ascii="Times New Roman" w:hAnsi="Times New Roman"/>
          <w:i w:val="0"/>
          <w:color w:val="2D3748"/>
          <w:sz w:val="24"/>
        </w:rPr>
        <w:t>Figure 2 details the end-to-end data flow from child interaction through dual-modality processing, risk tier synthesis, and role-based output delivery.</w:t>
      </w:r>
    </w:p>
    <w:p>
      <w:pPr>
        <w:spacing w:before="160" w:after="80"/>
        <w:jc w:val="center"/>
      </w:pPr>
      <w:r>
        <w:drawing>
          <wp:inline xmlns:a="http://schemas.openxmlformats.org/drawingml/2006/main" xmlns:pic="http://schemas.openxmlformats.org/drawingml/2006/picture">
            <wp:extent cx="5303520" cy="4232102"/>
            <wp:docPr id="2" name="Picture 2"/>
            <wp:cNvGraphicFramePr>
              <a:graphicFrameLocks noChangeAspect="1"/>
            </wp:cNvGraphicFramePr>
            <a:graphic>
              <a:graphicData uri="http://schemas.openxmlformats.org/drawingml/2006/picture">
                <pic:pic>
                  <pic:nvPicPr>
                    <pic:cNvPr id="0" name="data_flow_diagram.png"/>
                    <pic:cNvPicPr/>
                  </pic:nvPicPr>
                  <pic:blipFill>
                    <a:blip r:embed="rId12"/>
                    <a:stretch>
                      <a:fillRect/>
                    </a:stretch>
                  </pic:blipFill>
                  <pic:spPr>
                    <a:xfrm>
                      <a:off x="0" y="0"/>
                      <a:ext cx="5303520" cy="4232102"/>
                    </a:xfrm>
                    <a:prstGeom prst="rect"/>
                  </pic:spPr>
                </pic:pic>
              </a:graphicData>
            </a:graphic>
          </wp:inline>
        </w:drawing>
      </w:r>
    </w:p>
    <w:p>
      <w:pPr>
        <w:spacing w:after="240"/>
        <w:jc w:val="center"/>
      </w:pPr>
      <w:r>
        <w:rPr>
          <w:rFonts w:ascii="Times New Roman" w:hAnsi="Times New Roman"/>
          <w:i/>
          <w:sz w:val="20"/>
        </w:rPr>
        <w:t>Figure 2: Data Flow of the Proposed System</w:t>
      </w:r>
    </w:p>
    <w:p>
      <w:pPr>
        <w:keepNext/>
        <w:spacing w:before="240" w:after="80"/>
      </w:pPr>
      <w:r>
        <w:rPr>
          <w:rFonts w:ascii="Times New Roman" w:hAnsi="Times New Roman"/>
          <w:b/>
          <w:color w:val="2B6CB0"/>
          <w:sz w:val="28"/>
        </w:rPr>
        <w:t>2.5 Privacy, Security, Consent, and Child Safety Protocols</w:t>
      </w:r>
    </w:p>
    <w:p>
      <w:pPr>
        <w:spacing w:line="360" w:lineRule="auto" w:after="120"/>
        <w:jc w:val="both"/>
      </w:pPr>
      <w:r>
        <w:rPr>
          <w:rFonts w:ascii="Times New Roman" w:hAnsi="Times New Roman"/>
          <w:i w:val="0"/>
          <w:color w:val="2D3748"/>
          <w:sz w:val="24"/>
        </w:rPr>
        <w:t>Because this system targets pediatric users in India, the architectural design incorporates rigorous privacy-by-design principles informed by Section 9 of the Digital Personal Data Protection Act, 2023 (DPDP Act 2023):</w:t>
      </w:r>
    </w:p>
    <w:p>
      <w:pPr>
        <w:pStyle w:val="ListBullet"/>
        <w:spacing w:line="300" w:lineRule="auto" w:after="80"/>
        <w:jc w:val="both"/>
      </w:pPr>
      <w:r>
        <w:rPr>
          <w:rFonts w:ascii="Times New Roman" w:hAnsi="Times New Roman"/>
          <w:b/>
          <w:color w:val="1A202C"/>
          <w:sz w:val="23"/>
        </w:rPr>
        <w:t xml:space="preserve">Data Minimization: </w:t>
      </w:r>
      <w:r>
        <w:rPr>
          <w:rFonts w:ascii="Times New Roman" w:hAnsi="Times New Roman"/>
          <w:color w:val="2D3748"/>
          <w:sz w:val="23"/>
        </w:rPr>
        <w:t>The platform does not collect, transmit, or store personally identifiable information (PII) such as full names, residential addresses, phone numbers, or school IDs. User sessions utilize ephemeral, anonymized tokens.</w:t>
      </w:r>
    </w:p>
    <w:p>
      <w:pPr>
        <w:pStyle w:val="ListBullet"/>
        <w:spacing w:line="300" w:lineRule="auto" w:after="80"/>
        <w:jc w:val="both"/>
      </w:pPr>
      <w:r>
        <w:rPr>
          <w:rFonts w:ascii="Times New Roman" w:hAnsi="Times New Roman"/>
          <w:b/>
          <w:color w:val="1A202C"/>
          <w:sz w:val="23"/>
        </w:rPr>
        <w:t xml:space="preserve">Verifiable Parental Consent: </w:t>
      </w:r>
      <w:r>
        <w:rPr>
          <w:rFonts w:ascii="Times New Roman" w:hAnsi="Times New Roman"/>
          <w:color w:val="2D3748"/>
          <w:sz w:val="23"/>
        </w:rPr>
        <w:t>In accordance with Indian statutory requirements for minors, the system is designed with a guardian onboarding workflow to ensure informed parental consent prior to child usage.</w:t>
      </w:r>
    </w:p>
    <w:p>
      <w:pPr>
        <w:pStyle w:val="ListBullet"/>
        <w:spacing w:line="300" w:lineRule="auto" w:after="80"/>
        <w:jc w:val="both"/>
      </w:pPr>
      <w:r>
        <w:rPr>
          <w:rFonts w:ascii="Times New Roman" w:hAnsi="Times New Roman"/>
          <w:b/>
          <w:color w:val="1A202C"/>
          <w:sz w:val="23"/>
        </w:rPr>
        <w:t xml:space="preserve">Purpose Limitation: </w:t>
      </w:r>
      <w:r>
        <w:rPr>
          <w:rFonts w:ascii="Times New Roman" w:hAnsi="Times New Roman"/>
          <w:color w:val="2D3748"/>
          <w:sz w:val="23"/>
        </w:rPr>
        <w:t>All captured lifestyle and mood metrics are utilized strictly for real-time well-being tracking, trend visualization, and immediate non-clinical psychoeducation.</w:t>
      </w:r>
    </w:p>
    <w:p>
      <w:pPr>
        <w:pStyle w:val="ListBullet"/>
        <w:spacing w:line="300" w:lineRule="auto" w:after="80"/>
        <w:jc w:val="both"/>
      </w:pPr>
      <w:r>
        <w:rPr>
          <w:rFonts w:ascii="Times New Roman" w:hAnsi="Times New Roman"/>
          <w:b/>
          <w:color w:val="1A202C"/>
          <w:sz w:val="23"/>
        </w:rPr>
        <w:t xml:space="preserve">Local Processing: </w:t>
      </w:r>
      <w:r>
        <w:rPr>
          <w:rFonts w:ascii="Times New Roman" w:hAnsi="Times New Roman"/>
          <w:color w:val="2D3748"/>
          <w:sz w:val="23"/>
        </w:rPr>
        <w:t>Machine learning inference and natural language sentiment scoring operate locally within the application session, ensuring personal diary reflections are not transmitted to external commercial APIs.</w:t>
      </w:r>
    </w:p>
    <w:p>
      <w:pPr>
        <w:pStyle w:val="ListBullet"/>
        <w:spacing w:line="300" w:lineRule="auto" w:after="80"/>
        <w:jc w:val="both"/>
      </w:pPr>
      <w:r>
        <w:rPr>
          <w:rFonts w:ascii="Times New Roman" w:hAnsi="Times New Roman"/>
          <w:b/>
          <w:color w:val="1A202C"/>
          <w:sz w:val="23"/>
        </w:rPr>
        <w:t xml:space="preserve">Non-Stigmatizing Communication: </w:t>
      </w:r>
      <w:r>
        <w:rPr>
          <w:rFonts w:ascii="Times New Roman" w:hAnsi="Times New Roman"/>
          <w:color w:val="2D3748"/>
          <w:sz w:val="23"/>
        </w:rPr>
        <w:t>All interface feedback presented to children uses supportive, encouraging, and non-pathologizing language to reinforce emotional awareness without inducing anxiety.</w:t>
      </w:r>
    </w:p>
    <w:p>
      <w:r>
        <w:br w:type="page"/>
      </w:r>
    </w:p>
    <w:p>
      <w:pPr>
        <w:keepNext/>
        <w:spacing w:before="320" w:after="120"/>
      </w:pPr>
      <w:r>
        <w:rPr>
          <w:rFonts w:ascii="Times New Roman" w:hAnsi="Times New Roman"/>
          <w:b/>
          <w:color w:val="1A365D"/>
          <w:sz w:val="32"/>
        </w:rPr>
        <w:t>3. Section 3: Expected System Outputs</w:t>
      </w:r>
    </w:p>
    <w:p>
      <w:pPr>
        <w:keepNext/>
        <w:spacing w:before="240" w:after="80"/>
      </w:pPr>
      <w:r>
        <w:rPr>
          <w:rFonts w:ascii="Times New Roman" w:hAnsi="Times New Roman"/>
          <w:b/>
          <w:color w:val="2B6CB0"/>
          <w:sz w:val="28"/>
        </w:rPr>
        <w:t>3.1 Functional Output Deliverables</w:t>
      </w:r>
    </w:p>
    <w:p>
      <w:pPr>
        <w:spacing w:line="360" w:lineRule="auto" w:after="120"/>
        <w:jc w:val="both"/>
      </w:pPr>
      <w:r>
        <w:rPr>
          <w:rFonts w:ascii="Times New Roman" w:hAnsi="Times New Roman"/>
          <w:i w:val="0"/>
          <w:color w:val="2D3748"/>
          <w:sz w:val="24"/>
        </w:rPr>
        <w:t>The completed platform is expected to deliver structured, user-friendly, and actionable outputs across both user roles:</w:t>
      </w:r>
    </w:p>
    <w:p>
      <w:pPr>
        <w:pStyle w:val="ListBullet"/>
        <w:spacing w:line="300" w:lineRule="auto" w:after="80"/>
        <w:jc w:val="both"/>
      </w:pPr>
      <w:r>
        <w:rPr>
          <w:rFonts w:ascii="Times New Roman" w:hAnsi="Times New Roman"/>
          <w:b/>
          <w:color w:val="1A202C"/>
          <w:sz w:val="23"/>
        </w:rPr>
        <w:t xml:space="preserve">1. Child Well-being Daily Check-in: </w:t>
      </w:r>
      <w:r>
        <w:rPr>
          <w:rFonts w:ascii="Times New Roman" w:hAnsi="Times New Roman"/>
          <w:color w:val="2D3748"/>
          <w:sz w:val="23"/>
        </w:rPr>
        <w:t>An interactive single-tap emoji grid representing six primary affective states (Joyful, Calm, Neutral, Worried, Sad, Frustrated) alongside intuitive sliders for sleep (4–12 hrs), screen time (0–8 hrs), physical play (0–4 hrs), and perceived school stress (1–5 scale).</w:t>
      </w:r>
    </w:p>
    <w:p>
      <w:pPr>
        <w:pStyle w:val="ListBullet"/>
        <w:spacing w:line="300" w:lineRule="auto" w:after="80"/>
        <w:jc w:val="both"/>
      </w:pPr>
      <w:r>
        <w:rPr>
          <w:rFonts w:ascii="Times New Roman" w:hAnsi="Times New Roman"/>
          <w:b/>
          <w:color w:val="1A202C"/>
          <w:sz w:val="23"/>
        </w:rPr>
        <w:t xml:space="preserve">2. NLP Sentiment Analysis Indicators: </w:t>
      </w:r>
      <w:r>
        <w:rPr>
          <w:rFonts w:ascii="Times New Roman" w:hAnsi="Times New Roman"/>
          <w:color w:val="2D3748"/>
          <w:sz w:val="23"/>
        </w:rPr>
        <w:t>A continuous polarity index ranging from -1.0 (Negative) to +1.0 (Positive) and affective tone tags derived from optional child journal reflections, operating strictly as a measure of linguistic sentiment rather than psychiatric diagnosis.</w:t>
      </w:r>
    </w:p>
    <w:p>
      <w:pPr>
        <w:pStyle w:val="ListBullet"/>
        <w:spacing w:line="300" w:lineRule="auto" w:after="80"/>
        <w:jc w:val="both"/>
      </w:pPr>
      <w:r>
        <w:rPr>
          <w:rFonts w:ascii="Times New Roman" w:hAnsi="Times New Roman"/>
          <w:b/>
          <w:color w:val="1A202C"/>
          <w:sz w:val="23"/>
        </w:rPr>
        <w:t xml:space="preserve">3. Supervised ML Risk Stratification: </w:t>
      </w:r>
      <w:r>
        <w:rPr>
          <w:rFonts w:ascii="Times New Roman" w:hAnsi="Times New Roman"/>
          <w:color w:val="2D3748"/>
          <w:sz w:val="23"/>
        </w:rPr>
        <w:t>Multi-class categorization into Low Risk / Healthy (Tier 0), Moderate Risk / Monitoring (Tier 1), or Elevated Risk / Action Advised (Tier 2), accompanied by class probabilities and contributing lifestyle factor attributions.</w:t>
      </w:r>
    </w:p>
    <w:p>
      <w:pPr>
        <w:pStyle w:val="ListBullet"/>
        <w:spacing w:line="300" w:lineRule="auto" w:after="80"/>
        <w:jc w:val="both"/>
      </w:pPr>
      <w:r>
        <w:rPr>
          <w:rFonts w:ascii="Times New Roman" w:hAnsi="Times New Roman"/>
          <w:b/>
          <w:color w:val="1A202C"/>
          <w:sz w:val="23"/>
        </w:rPr>
        <w:t xml:space="preserve">4. Longitudinal Trend Analytics: </w:t>
      </w:r>
      <w:r>
        <w:rPr>
          <w:rFonts w:ascii="Times New Roman" w:hAnsi="Times New Roman"/>
          <w:color w:val="2D3748"/>
          <w:sz w:val="23"/>
        </w:rPr>
        <w:t>Interactive time-series line charts displaying daily mood scores, 7-day rolling averages, mood frequency distribution bar charts, and lifestyle correlation scatter plots.</w:t>
      </w:r>
    </w:p>
    <w:p>
      <w:pPr>
        <w:pStyle w:val="ListBullet"/>
        <w:spacing w:line="300" w:lineRule="auto" w:after="80"/>
        <w:jc w:val="both"/>
      </w:pPr>
      <w:r>
        <w:rPr>
          <w:rFonts w:ascii="Times New Roman" w:hAnsi="Times New Roman"/>
          <w:b/>
          <w:color w:val="1A202C"/>
          <w:sz w:val="23"/>
        </w:rPr>
        <w:t xml:space="preserve">5. Psychoeducational Coping Toolkit: </w:t>
      </w:r>
      <w:r>
        <w:rPr>
          <w:rFonts w:ascii="Times New Roman" w:hAnsi="Times New Roman"/>
          <w:color w:val="2D3748"/>
          <w:sz w:val="23"/>
        </w:rPr>
        <w:t>Interactive visual 4-7-8 breathing pacing circle, guided 5-4-3-2-1 sensory grounding prompts, and dynamic positive affirmation cards.</w:t>
      </w:r>
    </w:p>
    <w:p>
      <w:pPr>
        <w:pStyle w:val="ListBullet"/>
        <w:spacing w:line="300" w:lineRule="auto" w:after="80"/>
        <w:jc w:val="both"/>
      </w:pPr>
      <w:r>
        <w:rPr>
          <w:rFonts w:ascii="Times New Roman" w:hAnsi="Times New Roman"/>
          <w:b/>
          <w:color w:val="1A202C"/>
          <w:sz w:val="23"/>
        </w:rPr>
        <w:t xml:space="preserve">6. Guardian / Educator Dashboard: </w:t>
      </w:r>
      <w:r>
        <w:rPr>
          <w:rFonts w:ascii="Times New Roman" w:hAnsi="Times New Roman"/>
          <w:color w:val="2D3748"/>
          <w:sz w:val="23"/>
        </w:rPr>
        <w:t>High-level longitudinal summary scorecards and persistent distress alerts (&gt;= 3 consecutive low days) displayed without exposing private child journal text.</w:t>
      </w:r>
    </w:p>
    <w:p>
      <w:pPr>
        <w:pStyle w:val="ListBullet"/>
        <w:spacing w:line="300" w:lineRule="auto" w:after="80"/>
        <w:jc w:val="both"/>
      </w:pPr>
      <w:r>
        <w:rPr>
          <w:rFonts w:ascii="Times New Roman" w:hAnsi="Times New Roman"/>
          <w:b/>
          <w:color w:val="1A202C"/>
          <w:sz w:val="23"/>
        </w:rPr>
        <w:t xml:space="preserve">7. Verified Crisis Referral Resources: </w:t>
      </w:r>
      <w:r>
        <w:rPr>
          <w:rFonts w:ascii="Times New Roman" w:hAnsi="Times New Roman"/>
          <w:color w:val="2D3748"/>
          <w:sz w:val="23"/>
        </w:rPr>
        <w:t>Direct access to verified Indian national crisis helplines, including Childline 1098 (24/7 toll-free emergency phone service for children under Mission Vatsalya) and Tele-MANAS 14416 / 1800-891-4416 (24/7 toll-free tele-mental health counseling led by NIMHANS).</w:t>
      </w:r>
    </w:p>
    <w:p>
      <w:pPr>
        <w:keepNext/>
        <w:spacing w:before="240" w:after="80"/>
      </w:pPr>
      <w:r>
        <w:rPr>
          <w:rFonts w:ascii="Times New Roman" w:hAnsi="Times New Roman"/>
          <w:b/>
          <w:color w:val="2B6CB0"/>
          <w:sz w:val="28"/>
        </w:rPr>
        <w:t>3.2 Non-Diagnostic Clinical Disclaimer</w:t>
      </w:r>
    </w:p>
    <w:tbl>
      <w:tblPr>
        <w:tblW w:type="auto" w:w="0"/>
        <w:jc w:val="center"/>
        <w:tblLayout w:type="fixed"/>
        <w:tblLook w:firstColumn="1" w:firstRow="1" w:lastColumn="0" w:lastRow="0" w:noHBand="0" w:noVBand="1" w:val="04A0"/>
      </w:tblPr>
      <w:tblGrid>
        <w:gridCol w:w="9029"/>
      </w:tblGrid>
      <w:tr>
        <w:tc>
          <w:tcPr>
            <w:tcW w:type="dxa" w:w="9026"/>
            <w:shd w:fill="F7FAFC"/>
            <w:tcMar>
              <w:top w:w="140" w:type="dxa"/>
              <w:bottom w:w="140" w:type="dxa"/>
              <w:left w:w="200" w:type="dxa"/>
              <w:right w:w="200" w:type="dxa"/>
            </w:tcMar>
            <w:tcBorders>
              <w:top w:val="single" w:sz="6" w:space="0" w:color="CBD5E0"/>
              <w:left w:val="single" w:sz="18" w:space="0" w:color="2B6CB0"/>
              <w:bottom w:val="single" w:sz="6" w:space="0" w:color="CBD5E0"/>
              <w:right w:val="single" w:sz="6" w:space="0" w:color="CBD5E0"/>
            </w:tcBorders>
          </w:tcPr>
          <w:p>
            <w:pPr>
              <w:spacing w:after="80" w:line="276" w:lineRule="auto"/>
            </w:pPr>
            <w:r>
              <w:rPr>
                <w:rFonts w:ascii="Times New Roman" w:hAnsi="Times New Roman"/>
                <w:b/>
                <w:color w:val="1A365D"/>
                <w:sz w:val="23"/>
              </w:rPr>
              <w:t>MEDICAL AND ETHICAL NOTICE</w:t>
            </w:r>
          </w:p>
          <w:p>
            <w:pPr>
              <w:spacing w:after="60" w:line="276" w:lineRule="auto"/>
              <w:jc w:val="both"/>
            </w:pPr>
            <w:r>
              <w:rPr>
                <w:rFonts w:ascii="Times New Roman" w:hAnsi="Times New Roman"/>
                <w:color w:val="2D3748"/>
                <w:sz w:val="21"/>
              </w:rPr>
              <w:t>This software platform is an academic engineering research prototype developed solely for early well-being surveillance, longitudinal tracking, and non-clinical psychoeducational decision support among children and adolescents.</w:t>
            </w:r>
          </w:p>
          <w:p>
            <w:pPr>
              <w:spacing w:after="60" w:line="276" w:lineRule="auto"/>
              <w:jc w:val="both"/>
            </w:pPr>
            <w:r>
              <w:rPr>
                <w:rFonts w:ascii="Times New Roman" w:hAnsi="Times New Roman"/>
                <w:color w:val="2D3748"/>
                <w:sz w:val="21"/>
              </w:rPr>
              <w:t>1. NON-DIAGNOSTIC NATURE: This software is not a medical diagnostic device and does not provide clinical psychiatric diagnoses. It does not diagnose clinical conditions such as Major Depressive Disorder, Generalized Anxiety Disorder, or Attention-Deficit/Hyperactivity Disorder.</w:t>
            </w:r>
          </w:p>
          <w:p>
            <w:pPr>
              <w:spacing w:after="60" w:line="276" w:lineRule="auto"/>
              <w:jc w:val="both"/>
            </w:pPr>
            <w:r>
              <w:rPr>
                <w:rFonts w:ascii="Times New Roman" w:hAnsi="Times New Roman"/>
                <w:color w:val="2D3748"/>
                <w:sz w:val="21"/>
              </w:rPr>
              <w:t>2. ESTIMATION AND DECISION SUPPORT ONLY: All generated risk tiers, sentiment scores, and behavioral indicators represent computational approximations based on self-reported inputs. They are intended solely as non-clinical decision-support indicators for caregivers and educators.</w:t>
            </w:r>
          </w:p>
          <w:p>
            <w:pPr>
              <w:spacing w:after="60" w:line="276" w:lineRule="auto"/>
              <w:jc w:val="both"/>
            </w:pPr>
            <w:r>
              <w:rPr>
                <w:rFonts w:ascii="Times New Roman" w:hAnsi="Times New Roman"/>
                <w:color w:val="2D3748"/>
                <w:sz w:val="21"/>
              </w:rPr>
              <w:t>3. PROFESSIONAL EVALUATION REQUIRED: This platform does not substitute for professional medical advice, psychiatric evaluation, or clinical therapy. If a child exhibits persistent emotional distress, behavioral anomalies, or acute crisis, consultation with a qualified pediatrician, licensed child psychologist, or healthcare professional is mandatory.</w:t>
            </w:r>
          </w:p>
          <w:p>
            <w:pPr>
              <w:spacing w:after="60" w:line="276" w:lineRule="auto"/>
              <w:jc w:val="both"/>
            </w:pPr>
            <w:r>
              <w:rPr>
                <w:rFonts w:ascii="Times New Roman" w:hAnsi="Times New Roman"/>
                <w:color w:val="2D3748"/>
                <w:sz w:val="21"/>
              </w:rPr>
              <w:t>4. EMERGENCY ASSISTANCE: In acute or life-threatening situations, caregivers must contact emergency medical services or verified national child helplines (such as Child Helpline 1098 or Tele-MANAS 14416 in India) immediately.</w:t>
            </w:r>
          </w:p>
        </w:tc>
      </w:tr>
    </w:tbl>
    <w:p>
      <w:pPr>
        <w:spacing w:after="120"/>
      </w:pPr>
    </w:p>
    <w:p>
      <w:r>
        <w:br w:type="page"/>
      </w:r>
    </w:p>
    <w:p>
      <w:pPr>
        <w:keepNext/>
        <w:spacing w:before="320" w:after="120"/>
      </w:pPr>
      <w:r>
        <w:rPr>
          <w:rFonts w:ascii="Times New Roman" w:hAnsi="Times New Roman"/>
          <w:b/>
          <w:color w:val="1A365D"/>
          <w:sz w:val="32"/>
        </w:rPr>
        <w:t>4. Section 4: Project Timeline &amp; Gantt Chart</w:t>
      </w:r>
    </w:p>
    <w:p>
      <w:pPr>
        <w:keepNext/>
        <w:spacing w:before="240" w:after="80"/>
      </w:pPr>
      <w:r>
        <w:rPr>
          <w:rFonts w:ascii="Times New Roman" w:hAnsi="Times New Roman"/>
          <w:b/>
          <w:color w:val="2B6CB0"/>
          <w:sz w:val="28"/>
        </w:rPr>
        <w:t>4.1 Work Breakdown Structure (WBS: Aug 10 – Nov 28, 2026)</w:t>
      </w:r>
    </w:p>
    <w:p>
      <w:pPr>
        <w:spacing w:line="360" w:lineRule="auto" w:after="120"/>
        <w:jc w:val="both"/>
      </w:pPr>
      <w:r>
        <w:rPr>
          <w:rFonts w:ascii="Times New Roman" w:hAnsi="Times New Roman"/>
          <w:i w:val="0"/>
          <w:color w:val="2D3748"/>
          <w:sz w:val="24"/>
        </w:rPr>
        <w:t>Table 3 outlines the 16-week Phase 1 project lifecycle at Presidency University, spanning August 10, 2026 to November 28, 2026.</w:t>
      </w:r>
    </w:p>
    <w:tbl>
      <w:tblPr>
        <w:tblW w:type="auto" w:w="0"/>
        <w:jc w:val="center"/>
        <w:tblLayout w:type="fixed"/>
        <w:tblLook w:firstColumn="1" w:firstRow="1" w:lastColumn="0" w:lastRow="0" w:noHBand="0" w:noVBand="1" w:val="04A0"/>
        <w:tblBorders>
          <w:top w:val="single" w:sz="4" w:space="0" w:color="D2D6DC"/>
          <w:bottom w:val="single" w:sz="4" w:space="0" w:color="D2D6DC"/>
          <w:insideH w:val="single" w:sz="4" w:space="0" w:color="D2D6DC"/>
          <w:insideV w:val="single" w:sz="4" w:space="0" w:color="D2D6DC"/>
          <w:left w:val="none"/>
          <w:right w:val="none"/>
        </w:tblBorders>
      </w:tblPr>
      <w:tblGrid>
        <w:gridCol w:w="1805"/>
        <w:gridCol w:w="1805"/>
        <w:gridCol w:w="1805"/>
        <w:gridCol w:w="1805"/>
        <w:gridCol w:w="1805"/>
      </w:tblGrid>
      <w:tr>
        <w:tc>
          <w:tcPr>
            <w:tcW w:type="dxa" w:w="1296"/>
            <w:shd w:fill="1A365D"/>
            <w:tcMar>
              <w:top w:w="80" w:type="dxa"/>
              <w:bottom w:w="80" w:type="dxa"/>
              <w:left w:w="100" w:type="dxa"/>
              <w:right w:w="100" w:type="dxa"/>
            </w:tcMar>
          </w:tcPr>
          <w:p>
            <w:pPr>
              <w:jc w:val="center"/>
            </w:pPr>
            <w:r>
              <w:rPr>
                <w:rFonts w:ascii="Times New Roman" w:hAnsi="Times New Roman"/>
                <w:b/>
                <w:color w:val="FFFFFF"/>
                <w:sz w:val="19"/>
              </w:rPr>
              <w:t>Task ID</w:t>
            </w:r>
          </w:p>
        </w:tc>
        <w:tc>
          <w:tcPr>
            <w:tcW w:type="dxa" w:w="3168"/>
            <w:shd w:fill="1A365D"/>
            <w:tcMar>
              <w:top w:w="80" w:type="dxa"/>
              <w:bottom w:w="80" w:type="dxa"/>
              <w:left w:w="100" w:type="dxa"/>
              <w:right w:w="100" w:type="dxa"/>
            </w:tcMar>
          </w:tcPr>
          <w:p>
            <w:pPr>
              <w:jc w:val="center"/>
            </w:pPr>
            <w:r>
              <w:rPr>
                <w:rFonts w:ascii="Times New Roman" w:hAnsi="Times New Roman"/>
                <w:b/>
                <w:color w:val="FFFFFF"/>
                <w:sz w:val="19"/>
              </w:rPr>
              <w:t>Task Description</w:t>
            </w:r>
          </w:p>
        </w:tc>
        <w:tc>
          <w:tcPr>
            <w:tcW w:type="dxa" w:w="1584"/>
            <w:shd w:fill="1A365D"/>
            <w:tcMar>
              <w:top w:w="80" w:type="dxa"/>
              <w:bottom w:w="80" w:type="dxa"/>
              <w:left w:w="100" w:type="dxa"/>
              <w:right w:w="100" w:type="dxa"/>
            </w:tcMar>
          </w:tcPr>
          <w:p>
            <w:pPr>
              <w:jc w:val="center"/>
            </w:pPr>
            <w:r>
              <w:rPr>
                <w:rFonts w:ascii="Times New Roman" w:hAnsi="Times New Roman"/>
                <w:b/>
                <w:color w:val="FFFFFF"/>
                <w:sz w:val="19"/>
              </w:rPr>
              <w:t>Calendar Dates</w:t>
            </w:r>
          </w:p>
        </w:tc>
        <w:tc>
          <w:tcPr>
            <w:tcW w:type="dxa" w:w="1152"/>
            <w:shd w:fill="1A365D"/>
            <w:tcMar>
              <w:top w:w="80" w:type="dxa"/>
              <w:bottom w:w="80" w:type="dxa"/>
              <w:left w:w="100" w:type="dxa"/>
              <w:right w:w="100" w:type="dxa"/>
            </w:tcMar>
          </w:tcPr>
          <w:p>
            <w:pPr>
              <w:jc w:val="center"/>
            </w:pPr>
            <w:r>
              <w:rPr>
                <w:rFonts w:ascii="Times New Roman" w:hAnsi="Times New Roman"/>
                <w:b/>
                <w:color w:val="FFFFFF"/>
                <w:sz w:val="19"/>
              </w:rPr>
              <w:t>Weeks</w:t>
            </w:r>
          </w:p>
        </w:tc>
        <w:tc>
          <w:tcPr>
            <w:tcW w:type="dxa" w:w="1829"/>
            <w:shd w:fill="1A365D"/>
            <w:tcMar>
              <w:top w:w="80" w:type="dxa"/>
              <w:bottom w:w="80" w:type="dxa"/>
              <w:left w:w="100" w:type="dxa"/>
              <w:right w:w="100" w:type="dxa"/>
            </w:tcMar>
          </w:tcPr>
          <w:p>
            <w:pPr>
              <w:jc w:val="center"/>
            </w:pPr>
            <w:r>
              <w:rPr>
                <w:rFonts w:ascii="Times New Roman" w:hAnsi="Times New Roman"/>
                <w:b/>
                <w:color w:val="FFFFFF"/>
                <w:sz w:val="19"/>
              </w:rPr>
              <w:t>Deliverable</w:t>
            </w:r>
          </w:p>
        </w:tc>
      </w:tr>
      <w:tr>
        <w:tc>
          <w:tcPr>
            <w:tcW w:type="dxa" w:w="1296"/>
            <w:tcMar>
              <w:top w:w="50" w:type="dxa"/>
              <w:bottom w:w="50" w:type="dxa"/>
              <w:left w:w="70" w:type="dxa"/>
              <w:right w:w="70" w:type="dxa"/>
            </w:tcMar>
          </w:tcPr>
          <w:p>
            <w:pPr>
              <w:spacing w:line="276" w:lineRule="auto"/>
            </w:pPr>
            <w:r>
              <w:rPr>
                <w:rFonts w:ascii="Times New Roman" w:hAnsi="Times New Roman"/>
                <w:b/>
                <w:sz w:val="17"/>
              </w:rPr>
              <w:t>T1.1</w:t>
            </w:r>
          </w:p>
        </w:tc>
        <w:tc>
          <w:tcPr>
            <w:tcW w:type="dxa" w:w="3168"/>
            <w:tcMar>
              <w:top w:w="50" w:type="dxa"/>
              <w:bottom w:w="50" w:type="dxa"/>
              <w:left w:w="70" w:type="dxa"/>
              <w:right w:w="70" w:type="dxa"/>
            </w:tcMar>
          </w:tcPr>
          <w:p>
            <w:pPr>
              <w:spacing w:line="276" w:lineRule="auto"/>
            </w:pPr>
            <w:r>
              <w:rPr>
                <w:rFonts w:ascii="Times New Roman" w:hAnsi="Times New Roman"/>
                <w:sz w:val="17"/>
              </w:rPr>
              <w:t>Problem Formulation &amp; Scope Definition</w:t>
            </w:r>
          </w:p>
        </w:tc>
        <w:tc>
          <w:tcPr>
            <w:tcW w:type="dxa" w:w="1584"/>
            <w:tcMar>
              <w:top w:w="50" w:type="dxa"/>
              <w:bottom w:w="50" w:type="dxa"/>
              <w:left w:w="70" w:type="dxa"/>
              <w:right w:w="70" w:type="dxa"/>
            </w:tcMar>
          </w:tcPr>
          <w:p>
            <w:pPr>
              <w:spacing w:line="276" w:lineRule="auto"/>
            </w:pPr>
            <w:r>
              <w:rPr>
                <w:rFonts w:ascii="Times New Roman" w:hAnsi="Times New Roman"/>
                <w:sz w:val="17"/>
              </w:rPr>
              <w:t>Aug 10 – Aug 22, 2026</w:t>
            </w:r>
          </w:p>
        </w:tc>
        <w:tc>
          <w:tcPr>
            <w:tcW w:type="dxa" w:w="1152"/>
            <w:tcMar>
              <w:top w:w="50" w:type="dxa"/>
              <w:bottom w:w="50" w:type="dxa"/>
              <w:left w:w="70" w:type="dxa"/>
              <w:right w:w="70" w:type="dxa"/>
            </w:tcMar>
          </w:tcPr>
          <w:p>
            <w:pPr>
              <w:spacing w:line="276" w:lineRule="auto"/>
            </w:pPr>
            <w:r>
              <w:rPr>
                <w:rFonts w:ascii="Times New Roman" w:hAnsi="Times New Roman"/>
                <w:sz w:val="17"/>
              </w:rPr>
              <w:t>W1–W2</w:t>
            </w:r>
          </w:p>
        </w:tc>
        <w:tc>
          <w:tcPr>
            <w:tcW w:type="dxa" w:w="1829"/>
            <w:tcMar>
              <w:top w:w="50" w:type="dxa"/>
              <w:bottom w:w="50" w:type="dxa"/>
              <w:left w:w="70" w:type="dxa"/>
              <w:right w:w="70" w:type="dxa"/>
            </w:tcMar>
          </w:tcPr>
          <w:p>
            <w:pPr>
              <w:spacing w:line="276" w:lineRule="auto"/>
            </w:pPr>
            <w:r>
              <w:rPr>
                <w:rFonts w:ascii="Times New Roman" w:hAnsi="Times New Roman"/>
                <w:sz w:val="17"/>
              </w:rPr>
              <w:t>Problem Statement Document</w:t>
            </w:r>
          </w:p>
        </w:tc>
      </w:tr>
      <w:tr>
        <w:tc>
          <w:tcPr>
            <w:tcW w:type="dxa" w:w="1296"/>
            <w:shd w:fill="F7FAFC"/>
            <w:tcMar>
              <w:top w:w="50" w:type="dxa"/>
              <w:bottom w:w="50" w:type="dxa"/>
              <w:left w:w="70" w:type="dxa"/>
              <w:right w:w="70" w:type="dxa"/>
            </w:tcMar>
          </w:tcPr>
          <w:p>
            <w:pPr>
              <w:spacing w:line="276" w:lineRule="auto"/>
            </w:pPr>
            <w:r>
              <w:rPr>
                <w:rFonts w:ascii="Times New Roman" w:hAnsi="Times New Roman"/>
                <w:b/>
                <w:sz w:val="17"/>
              </w:rPr>
              <w:t>T1.2</w:t>
            </w:r>
          </w:p>
        </w:tc>
        <w:tc>
          <w:tcPr>
            <w:tcW w:type="dxa" w:w="3168"/>
            <w:shd w:fill="F7FAFC"/>
            <w:tcMar>
              <w:top w:w="50" w:type="dxa"/>
              <w:bottom w:w="50" w:type="dxa"/>
              <w:left w:w="70" w:type="dxa"/>
              <w:right w:w="70" w:type="dxa"/>
            </w:tcMar>
          </w:tcPr>
          <w:p>
            <w:pPr>
              <w:spacing w:line="276" w:lineRule="auto"/>
            </w:pPr>
            <w:r>
              <w:rPr>
                <w:rFonts w:ascii="Times New Roman" w:hAnsi="Times New Roman"/>
                <w:sz w:val="17"/>
              </w:rPr>
              <w:t>Literature Review &amp; Research Gap Analysis</w:t>
            </w:r>
          </w:p>
        </w:tc>
        <w:tc>
          <w:tcPr>
            <w:tcW w:type="dxa" w:w="1584"/>
            <w:shd w:fill="F7FAFC"/>
            <w:tcMar>
              <w:top w:w="50" w:type="dxa"/>
              <w:bottom w:w="50" w:type="dxa"/>
              <w:left w:w="70" w:type="dxa"/>
              <w:right w:w="70" w:type="dxa"/>
            </w:tcMar>
          </w:tcPr>
          <w:p>
            <w:pPr>
              <w:spacing w:line="276" w:lineRule="auto"/>
            </w:pPr>
            <w:r>
              <w:rPr>
                <w:rFonts w:ascii="Times New Roman" w:hAnsi="Times New Roman"/>
                <w:sz w:val="17"/>
              </w:rPr>
              <w:t>Aug 24 – Sep 12, 2026</w:t>
            </w:r>
          </w:p>
        </w:tc>
        <w:tc>
          <w:tcPr>
            <w:tcW w:type="dxa" w:w="1152"/>
            <w:shd w:fill="F7FAFC"/>
            <w:tcMar>
              <w:top w:w="50" w:type="dxa"/>
              <w:bottom w:w="50" w:type="dxa"/>
              <w:left w:w="70" w:type="dxa"/>
              <w:right w:w="70" w:type="dxa"/>
            </w:tcMar>
          </w:tcPr>
          <w:p>
            <w:pPr>
              <w:spacing w:line="276" w:lineRule="auto"/>
            </w:pPr>
            <w:r>
              <w:rPr>
                <w:rFonts w:ascii="Times New Roman" w:hAnsi="Times New Roman"/>
                <w:sz w:val="17"/>
              </w:rPr>
              <w:t>W3–W5</w:t>
            </w:r>
          </w:p>
        </w:tc>
        <w:tc>
          <w:tcPr>
            <w:tcW w:type="dxa" w:w="1829"/>
            <w:shd w:fill="F7FAFC"/>
            <w:tcMar>
              <w:top w:w="50" w:type="dxa"/>
              <w:bottom w:w="50" w:type="dxa"/>
              <w:left w:w="70" w:type="dxa"/>
              <w:right w:w="70" w:type="dxa"/>
            </w:tcMar>
          </w:tcPr>
          <w:p>
            <w:pPr>
              <w:spacing w:line="276" w:lineRule="auto"/>
            </w:pPr>
            <w:r>
              <w:rPr>
                <w:rFonts w:ascii="Times New Roman" w:hAnsi="Times New Roman"/>
                <w:sz w:val="17"/>
              </w:rPr>
              <w:t>Literature Survey Matrix (10 Papers)</w:t>
            </w:r>
          </w:p>
        </w:tc>
      </w:tr>
      <w:tr>
        <w:tc>
          <w:tcPr>
            <w:tcW w:type="dxa" w:w="1296"/>
            <w:tcMar>
              <w:top w:w="50" w:type="dxa"/>
              <w:bottom w:w="50" w:type="dxa"/>
              <w:left w:w="70" w:type="dxa"/>
              <w:right w:w="70" w:type="dxa"/>
            </w:tcMar>
          </w:tcPr>
          <w:p>
            <w:pPr>
              <w:spacing w:line="276" w:lineRule="auto"/>
            </w:pPr>
            <w:r>
              <w:rPr>
                <w:rFonts w:ascii="Times New Roman" w:hAnsi="Times New Roman"/>
                <w:b/>
                <w:sz w:val="17"/>
              </w:rPr>
              <w:t>T1.3</w:t>
            </w:r>
          </w:p>
        </w:tc>
        <w:tc>
          <w:tcPr>
            <w:tcW w:type="dxa" w:w="3168"/>
            <w:tcMar>
              <w:top w:w="50" w:type="dxa"/>
              <w:bottom w:w="50" w:type="dxa"/>
              <w:left w:w="70" w:type="dxa"/>
              <w:right w:w="70" w:type="dxa"/>
            </w:tcMar>
          </w:tcPr>
          <w:p>
            <w:pPr>
              <w:spacing w:line="276" w:lineRule="auto"/>
            </w:pPr>
            <w:r>
              <w:rPr>
                <w:rFonts w:ascii="Times New Roman" w:hAnsi="Times New Roman"/>
                <w:sz w:val="17"/>
              </w:rPr>
              <w:t>System Requirements &amp; Privacy Modeling</w:t>
            </w:r>
          </w:p>
        </w:tc>
        <w:tc>
          <w:tcPr>
            <w:tcW w:type="dxa" w:w="1584"/>
            <w:tcMar>
              <w:top w:w="50" w:type="dxa"/>
              <w:bottom w:w="50" w:type="dxa"/>
              <w:left w:w="70" w:type="dxa"/>
              <w:right w:w="70" w:type="dxa"/>
            </w:tcMar>
          </w:tcPr>
          <w:p>
            <w:pPr>
              <w:spacing w:line="276" w:lineRule="auto"/>
            </w:pPr>
            <w:r>
              <w:rPr>
                <w:rFonts w:ascii="Times New Roman" w:hAnsi="Times New Roman"/>
                <w:sz w:val="17"/>
              </w:rPr>
              <w:t>Sep 14 – Sep 26, 2026</w:t>
            </w:r>
          </w:p>
        </w:tc>
        <w:tc>
          <w:tcPr>
            <w:tcW w:type="dxa" w:w="1152"/>
            <w:tcMar>
              <w:top w:w="50" w:type="dxa"/>
              <w:bottom w:w="50" w:type="dxa"/>
              <w:left w:w="70" w:type="dxa"/>
              <w:right w:w="70" w:type="dxa"/>
            </w:tcMar>
          </w:tcPr>
          <w:p>
            <w:pPr>
              <w:spacing w:line="276" w:lineRule="auto"/>
            </w:pPr>
            <w:r>
              <w:rPr>
                <w:rFonts w:ascii="Times New Roman" w:hAnsi="Times New Roman"/>
                <w:sz w:val="17"/>
              </w:rPr>
              <w:t>W6–W7</w:t>
            </w:r>
          </w:p>
        </w:tc>
        <w:tc>
          <w:tcPr>
            <w:tcW w:type="dxa" w:w="1829"/>
            <w:tcMar>
              <w:top w:w="50" w:type="dxa"/>
              <w:bottom w:w="50" w:type="dxa"/>
              <w:left w:w="70" w:type="dxa"/>
              <w:right w:w="70" w:type="dxa"/>
            </w:tcMar>
          </w:tcPr>
          <w:p>
            <w:pPr>
              <w:spacing w:line="276" w:lineRule="auto"/>
            </w:pPr>
            <w:r>
              <w:rPr>
                <w:rFonts w:ascii="Times New Roman" w:hAnsi="Times New Roman"/>
                <w:sz w:val="17"/>
              </w:rPr>
              <w:t>SRS &amp; DPDP Act 2023 Plan</w:t>
            </w:r>
          </w:p>
        </w:tc>
      </w:tr>
      <w:tr>
        <w:tc>
          <w:tcPr>
            <w:tcW w:type="dxa" w:w="1296"/>
            <w:shd w:fill="F7FAFC"/>
            <w:tcMar>
              <w:top w:w="50" w:type="dxa"/>
              <w:bottom w:w="50" w:type="dxa"/>
              <w:left w:w="70" w:type="dxa"/>
              <w:right w:w="70" w:type="dxa"/>
            </w:tcMar>
          </w:tcPr>
          <w:p>
            <w:pPr>
              <w:spacing w:line="276" w:lineRule="auto"/>
            </w:pPr>
            <w:r>
              <w:rPr>
                <w:rFonts w:ascii="Times New Roman" w:hAnsi="Times New Roman"/>
                <w:b/>
                <w:sz w:val="17"/>
              </w:rPr>
              <w:t>T1.4</w:t>
            </w:r>
          </w:p>
        </w:tc>
        <w:tc>
          <w:tcPr>
            <w:tcW w:type="dxa" w:w="3168"/>
            <w:shd w:fill="F7FAFC"/>
            <w:tcMar>
              <w:top w:w="50" w:type="dxa"/>
              <w:bottom w:w="50" w:type="dxa"/>
              <w:left w:w="70" w:type="dxa"/>
              <w:right w:w="70" w:type="dxa"/>
            </w:tcMar>
          </w:tcPr>
          <w:p>
            <w:pPr>
              <w:spacing w:line="276" w:lineRule="auto"/>
            </w:pPr>
            <w:r>
              <w:rPr>
                <w:rFonts w:ascii="Times New Roman" w:hAnsi="Times New Roman"/>
                <w:sz w:val="17"/>
              </w:rPr>
              <w:t>5-Tier Architecture &amp; DFD Level 0/1 Design</w:t>
            </w:r>
          </w:p>
        </w:tc>
        <w:tc>
          <w:tcPr>
            <w:tcW w:type="dxa" w:w="1584"/>
            <w:shd w:fill="F7FAFC"/>
            <w:tcMar>
              <w:top w:w="50" w:type="dxa"/>
              <w:bottom w:w="50" w:type="dxa"/>
              <w:left w:w="70" w:type="dxa"/>
              <w:right w:w="70" w:type="dxa"/>
            </w:tcMar>
          </w:tcPr>
          <w:p>
            <w:pPr>
              <w:spacing w:line="276" w:lineRule="auto"/>
            </w:pPr>
            <w:r>
              <w:rPr>
                <w:rFonts w:ascii="Times New Roman" w:hAnsi="Times New Roman"/>
                <w:sz w:val="17"/>
              </w:rPr>
              <w:t>Sep 28 – Oct 17, 2026</w:t>
            </w:r>
          </w:p>
        </w:tc>
        <w:tc>
          <w:tcPr>
            <w:tcW w:type="dxa" w:w="1152"/>
            <w:shd w:fill="F7FAFC"/>
            <w:tcMar>
              <w:top w:w="50" w:type="dxa"/>
              <w:bottom w:w="50" w:type="dxa"/>
              <w:left w:w="70" w:type="dxa"/>
              <w:right w:w="70" w:type="dxa"/>
            </w:tcMar>
          </w:tcPr>
          <w:p>
            <w:pPr>
              <w:spacing w:line="276" w:lineRule="auto"/>
            </w:pPr>
            <w:r>
              <w:rPr>
                <w:rFonts w:ascii="Times New Roman" w:hAnsi="Times New Roman"/>
                <w:sz w:val="17"/>
              </w:rPr>
              <w:t>W8–W10</w:t>
            </w:r>
          </w:p>
        </w:tc>
        <w:tc>
          <w:tcPr>
            <w:tcW w:type="dxa" w:w="1829"/>
            <w:shd w:fill="F7FAFC"/>
            <w:tcMar>
              <w:top w:w="50" w:type="dxa"/>
              <w:bottom w:w="50" w:type="dxa"/>
              <w:left w:w="70" w:type="dxa"/>
              <w:right w:w="70" w:type="dxa"/>
            </w:tcMar>
          </w:tcPr>
          <w:p>
            <w:pPr>
              <w:spacing w:line="276" w:lineRule="auto"/>
            </w:pPr>
            <w:r>
              <w:rPr>
                <w:rFonts w:ascii="Times New Roman" w:hAnsi="Times New Roman"/>
                <w:sz w:val="17"/>
              </w:rPr>
              <w:t>Architecture Blueprint &amp; DFDs</w:t>
            </w:r>
          </w:p>
        </w:tc>
      </w:tr>
      <w:tr>
        <w:tc>
          <w:tcPr>
            <w:tcW w:type="dxa" w:w="1296"/>
            <w:tcMar>
              <w:top w:w="50" w:type="dxa"/>
              <w:bottom w:w="50" w:type="dxa"/>
              <w:left w:w="70" w:type="dxa"/>
              <w:right w:w="70" w:type="dxa"/>
            </w:tcMar>
          </w:tcPr>
          <w:p>
            <w:pPr>
              <w:spacing w:line="276" w:lineRule="auto"/>
            </w:pPr>
            <w:r>
              <w:rPr>
                <w:rFonts w:ascii="Times New Roman" w:hAnsi="Times New Roman"/>
                <w:b/>
                <w:sz w:val="17"/>
              </w:rPr>
              <w:t>T1.5</w:t>
            </w:r>
          </w:p>
        </w:tc>
        <w:tc>
          <w:tcPr>
            <w:tcW w:type="dxa" w:w="3168"/>
            <w:tcMar>
              <w:top w:w="50" w:type="dxa"/>
              <w:bottom w:w="50" w:type="dxa"/>
              <w:left w:w="70" w:type="dxa"/>
              <w:right w:w="70" w:type="dxa"/>
            </w:tcMar>
          </w:tcPr>
          <w:p>
            <w:pPr>
              <w:spacing w:line="276" w:lineRule="auto"/>
            </w:pPr>
            <w:r>
              <w:rPr>
                <w:rFonts w:ascii="Times New Roman" w:hAnsi="Times New Roman"/>
                <w:sz w:val="17"/>
              </w:rPr>
              <w:t>Feature Engineering &amp; Dataset Schema</w:t>
            </w:r>
          </w:p>
        </w:tc>
        <w:tc>
          <w:tcPr>
            <w:tcW w:type="dxa" w:w="1584"/>
            <w:tcMar>
              <w:top w:w="50" w:type="dxa"/>
              <w:bottom w:w="50" w:type="dxa"/>
              <w:left w:w="70" w:type="dxa"/>
              <w:right w:w="70" w:type="dxa"/>
            </w:tcMar>
          </w:tcPr>
          <w:p>
            <w:pPr>
              <w:spacing w:line="276" w:lineRule="auto"/>
            </w:pPr>
            <w:r>
              <w:rPr>
                <w:rFonts w:ascii="Times New Roman" w:hAnsi="Times New Roman"/>
                <w:sz w:val="17"/>
              </w:rPr>
              <w:t>Oct 19 – Oct 31, 2026</w:t>
            </w:r>
          </w:p>
        </w:tc>
        <w:tc>
          <w:tcPr>
            <w:tcW w:type="dxa" w:w="1152"/>
            <w:tcMar>
              <w:top w:w="50" w:type="dxa"/>
              <w:bottom w:w="50" w:type="dxa"/>
              <w:left w:w="70" w:type="dxa"/>
              <w:right w:w="70" w:type="dxa"/>
            </w:tcMar>
          </w:tcPr>
          <w:p>
            <w:pPr>
              <w:spacing w:line="276" w:lineRule="auto"/>
            </w:pPr>
            <w:r>
              <w:rPr>
                <w:rFonts w:ascii="Times New Roman" w:hAnsi="Times New Roman"/>
                <w:sz w:val="17"/>
              </w:rPr>
              <w:t>W11–W12</w:t>
            </w:r>
          </w:p>
        </w:tc>
        <w:tc>
          <w:tcPr>
            <w:tcW w:type="dxa" w:w="1829"/>
            <w:tcMar>
              <w:top w:w="50" w:type="dxa"/>
              <w:bottom w:w="50" w:type="dxa"/>
              <w:left w:w="70" w:type="dxa"/>
              <w:right w:w="70" w:type="dxa"/>
            </w:tcMar>
          </w:tcPr>
          <w:p>
            <w:pPr>
              <w:spacing w:line="276" w:lineRule="auto"/>
            </w:pPr>
            <w:r>
              <w:rPr>
                <w:rFonts w:ascii="Times New Roman" w:hAnsi="Times New Roman"/>
                <w:sz w:val="17"/>
              </w:rPr>
              <w:t>Feature Vector Specification</w:t>
            </w:r>
          </w:p>
        </w:tc>
      </w:tr>
      <w:tr>
        <w:tc>
          <w:tcPr>
            <w:tcW w:type="dxa" w:w="1296"/>
            <w:shd w:fill="F7FAFC"/>
            <w:tcMar>
              <w:top w:w="50" w:type="dxa"/>
              <w:bottom w:w="50" w:type="dxa"/>
              <w:left w:w="70" w:type="dxa"/>
              <w:right w:w="70" w:type="dxa"/>
            </w:tcMar>
          </w:tcPr>
          <w:p>
            <w:pPr>
              <w:spacing w:line="276" w:lineRule="auto"/>
            </w:pPr>
            <w:r>
              <w:rPr>
                <w:rFonts w:ascii="Times New Roman" w:hAnsi="Times New Roman"/>
                <w:b/>
                <w:sz w:val="17"/>
              </w:rPr>
              <w:t>T1.6</w:t>
            </w:r>
          </w:p>
        </w:tc>
        <w:tc>
          <w:tcPr>
            <w:tcW w:type="dxa" w:w="3168"/>
            <w:shd w:fill="F7FAFC"/>
            <w:tcMar>
              <w:top w:w="50" w:type="dxa"/>
              <w:bottom w:w="50" w:type="dxa"/>
              <w:left w:w="70" w:type="dxa"/>
              <w:right w:w="70" w:type="dxa"/>
            </w:tcMar>
          </w:tcPr>
          <w:p>
            <w:pPr>
              <w:spacing w:line="276" w:lineRule="auto"/>
            </w:pPr>
            <w:r>
              <w:rPr>
                <w:rFonts w:ascii="Times New Roman" w:hAnsi="Times New Roman"/>
                <w:sz w:val="17"/>
              </w:rPr>
              <w:t>Preliminary ML/NLP Pipeline Scaffolding</w:t>
            </w:r>
          </w:p>
        </w:tc>
        <w:tc>
          <w:tcPr>
            <w:tcW w:type="dxa" w:w="1584"/>
            <w:shd w:fill="F7FAFC"/>
            <w:tcMar>
              <w:top w:w="50" w:type="dxa"/>
              <w:bottom w:w="50" w:type="dxa"/>
              <w:left w:w="70" w:type="dxa"/>
              <w:right w:w="70" w:type="dxa"/>
            </w:tcMar>
          </w:tcPr>
          <w:p>
            <w:pPr>
              <w:spacing w:line="276" w:lineRule="auto"/>
            </w:pPr>
            <w:r>
              <w:rPr>
                <w:rFonts w:ascii="Times New Roman" w:hAnsi="Times New Roman"/>
                <w:sz w:val="17"/>
              </w:rPr>
              <w:t>Nov 02 – Nov 14, 2026</w:t>
            </w:r>
          </w:p>
        </w:tc>
        <w:tc>
          <w:tcPr>
            <w:tcW w:type="dxa" w:w="1152"/>
            <w:shd w:fill="F7FAFC"/>
            <w:tcMar>
              <w:top w:w="50" w:type="dxa"/>
              <w:bottom w:w="50" w:type="dxa"/>
              <w:left w:w="70" w:type="dxa"/>
              <w:right w:w="70" w:type="dxa"/>
            </w:tcMar>
          </w:tcPr>
          <w:p>
            <w:pPr>
              <w:spacing w:line="276" w:lineRule="auto"/>
            </w:pPr>
            <w:r>
              <w:rPr>
                <w:rFonts w:ascii="Times New Roman" w:hAnsi="Times New Roman"/>
                <w:sz w:val="17"/>
              </w:rPr>
              <w:t>W13–W14</w:t>
            </w:r>
          </w:p>
        </w:tc>
        <w:tc>
          <w:tcPr>
            <w:tcW w:type="dxa" w:w="1829"/>
            <w:shd w:fill="F7FAFC"/>
            <w:tcMar>
              <w:top w:w="50" w:type="dxa"/>
              <w:bottom w:w="50" w:type="dxa"/>
              <w:left w:w="70" w:type="dxa"/>
              <w:right w:w="70" w:type="dxa"/>
            </w:tcMar>
          </w:tcPr>
          <w:p>
            <w:pPr>
              <w:spacing w:line="276" w:lineRule="auto"/>
            </w:pPr>
            <w:r>
              <w:rPr>
                <w:rFonts w:ascii="Times New Roman" w:hAnsi="Times New Roman"/>
                <w:sz w:val="17"/>
              </w:rPr>
              <w:t>Baseline Pipeline Architecture</w:t>
            </w:r>
          </w:p>
        </w:tc>
      </w:tr>
      <w:tr>
        <w:tc>
          <w:tcPr>
            <w:tcW w:type="dxa" w:w="1296"/>
            <w:tcMar>
              <w:top w:w="50" w:type="dxa"/>
              <w:bottom w:w="50" w:type="dxa"/>
              <w:left w:w="70" w:type="dxa"/>
              <w:right w:w="70" w:type="dxa"/>
            </w:tcMar>
          </w:tcPr>
          <w:p>
            <w:pPr>
              <w:spacing w:line="276" w:lineRule="auto"/>
            </w:pPr>
            <w:r>
              <w:rPr>
                <w:rFonts w:ascii="Times New Roman" w:hAnsi="Times New Roman"/>
                <w:b/>
                <w:sz w:val="17"/>
              </w:rPr>
              <w:t>T1.7</w:t>
            </w:r>
          </w:p>
        </w:tc>
        <w:tc>
          <w:tcPr>
            <w:tcW w:type="dxa" w:w="3168"/>
            <w:tcMar>
              <w:top w:w="50" w:type="dxa"/>
              <w:bottom w:w="50" w:type="dxa"/>
              <w:left w:w="70" w:type="dxa"/>
              <w:right w:w="70" w:type="dxa"/>
            </w:tcMar>
          </w:tcPr>
          <w:p>
            <w:pPr>
              <w:spacing w:line="276" w:lineRule="auto"/>
            </w:pPr>
            <w:r>
              <w:rPr>
                <w:rFonts w:ascii="Times New Roman" w:hAnsi="Times New Roman"/>
                <w:sz w:val="17"/>
              </w:rPr>
              <w:t>Phase 1 Report Compilation &amp; Defense</w:t>
            </w:r>
          </w:p>
        </w:tc>
        <w:tc>
          <w:tcPr>
            <w:tcW w:type="dxa" w:w="1584"/>
            <w:tcMar>
              <w:top w:w="50" w:type="dxa"/>
              <w:bottom w:w="50" w:type="dxa"/>
              <w:left w:w="70" w:type="dxa"/>
              <w:right w:w="70" w:type="dxa"/>
            </w:tcMar>
          </w:tcPr>
          <w:p>
            <w:pPr>
              <w:spacing w:line="276" w:lineRule="auto"/>
            </w:pPr>
            <w:r>
              <w:rPr>
                <w:rFonts w:ascii="Times New Roman" w:hAnsi="Times New Roman"/>
                <w:sz w:val="17"/>
              </w:rPr>
              <w:t>Nov 16 – Nov 28, 2026</w:t>
            </w:r>
          </w:p>
        </w:tc>
        <w:tc>
          <w:tcPr>
            <w:tcW w:type="dxa" w:w="1152"/>
            <w:tcMar>
              <w:top w:w="50" w:type="dxa"/>
              <w:bottom w:w="50" w:type="dxa"/>
              <w:left w:w="70" w:type="dxa"/>
              <w:right w:w="70" w:type="dxa"/>
            </w:tcMar>
          </w:tcPr>
          <w:p>
            <w:pPr>
              <w:spacing w:line="276" w:lineRule="auto"/>
            </w:pPr>
            <w:r>
              <w:rPr>
                <w:rFonts w:ascii="Times New Roman" w:hAnsi="Times New Roman"/>
                <w:sz w:val="17"/>
              </w:rPr>
              <w:t>W15–W16</w:t>
            </w:r>
          </w:p>
        </w:tc>
        <w:tc>
          <w:tcPr>
            <w:tcW w:type="dxa" w:w="1829"/>
            <w:tcMar>
              <w:top w:w="50" w:type="dxa"/>
              <w:bottom w:w="50" w:type="dxa"/>
              <w:left w:w="70" w:type="dxa"/>
              <w:right w:w="70" w:type="dxa"/>
            </w:tcMar>
          </w:tcPr>
          <w:p>
            <w:pPr>
              <w:spacing w:line="276" w:lineRule="auto"/>
            </w:pPr>
            <w:r>
              <w:rPr>
                <w:rFonts w:ascii="Times New Roman" w:hAnsi="Times New Roman"/>
                <w:sz w:val="17"/>
              </w:rPr>
              <w:t>Phase 1 Report &amp; Defense (★)</w:t>
            </w:r>
          </w:p>
        </w:tc>
      </w:tr>
    </w:tbl>
    <w:p>
      <w:pPr>
        <w:spacing w:before="80" w:after="200"/>
        <w:jc w:val="center"/>
      </w:pPr>
      <w:r>
        <w:rPr>
          <w:rFonts w:ascii="Times New Roman" w:hAnsi="Times New Roman"/>
          <w:i/>
          <w:sz w:val="20"/>
        </w:rPr>
        <w:t>Table 3: Work Breakdown Structure (WBS) for Phase 1 (August 10 – November 28, 2026)</w:t>
      </w:r>
    </w:p>
    <w:p>
      <w:pPr>
        <w:keepNext/>
        <w:spacing w:before="240" w:after="80"/>
      </w:pPr>
      <w:r>
        <w:rPr>
          <w:rFonts w:ascii="Times New Roman" w:hAnsi="Times New Roman"/>
          <w:b/>
          <w:color w:val="2B6CB0"/>
          <w:sz w:val="28"/>
        </w:rPr>
        <w:t>4.2 Phase 1 Monthly Schedule &amp; Milestones</w:t>
      </w:r>
    </w:p>
    <w:p>
      <w:pPr>
        <w:spacing w:line="360" w:lineRule="auto" w:after="120"/>
        <w:jc w:val="both"/>
      </w:pPr>
      <w:r>
        <w:rPr>
          <w:rFonts w:ascii="Times New Roman" w:hAnsi="Times New Roman"/>
          <w:i w:val="0"/>
          <w:color w:val="2D3748"/>
          <w:sz w:val="24"/>
        </w:rPr>
        <w:t>Table 4 outlines the monthly milestones across the 16-week Phase 1 timeline at Presidency University.</w:t>
      </w:r>
    </w:p>
    <w:tbl>
      <w:tblPr>
        <w:tblW w:type="auto" w:w="0"/>
        <w:jc w:val="center"/>
        <w:tblLayout w:type="fixed"/>
        <w:tblLook w:firstColumn="1" w:firstRow="1" w:lastColumn="0" w:lastRow="0" w:noHBand="0" w:noVBand="1" w:val="04A0"/>
        <w:tblBorders>
          <w:top w:val="single" w:sz="4" w:space="0" w:color="D2D6DC"/>
          <w:bottom w:val="single" w:sz="4" w:space="0" w:color="D2D6DC"/>
          <w:insideH w:val="single" w:sz="4" w:space="0" w:color="D2D6DC"/>
          <w:insideV w:val="single" w:sz="4" w:space="0" w:color="D2D6DC"/>
          <w:left w:val="none"/>
          <w:right w:val="none"/>
        </w:tblBorders>
      </w:tblPr>
      <w:tblGrid>
        <w:gridCol w:w="3009"/>
        <w:gridCol w:w="3009"/>
        <w:gridCol w:w="3009"/>
      </w:tblGrid>
      <w:tr>
        <w:tc>
          <w:tcPr>
            <w:tcW w:type="dxa" w:w="2160"/>
            <w:shd w:fill="1A365D"/>
            <w:tcMar>
              <w:top w:w="80" w:type="dxa"/>
              <w:bottom w:w="80" w:type="dxa"/>
              <w:left w:w="100" w:type="dxa"/>
              <w:right w:w="100" w:type="dxa"/>
            </w:tcMar>
          </w:tcPr>
          <w:p>
            <w:pPr>
              <w:jc w:val="center"/>
            </w:pPr>
            <w:r>
              <w:rPr>
                <w:rFonts w:ascii="Times New Roman" w:hAnsi="Times New Roman"/>
                <w:b/>
                <w:color w:val="FFFFFF"/>
                <w:sz w:val="19"/>
              </w:rPr>
              <w:t>Timeline</w:t>
            </w:r>
          </w:p>
        </w:tc>
        <w:tc>
          <w:tcPr>
            <w:tcW w:type="dxa" w:w="3312"/>
            <w:shd w:fill="1A365D"/>
            <w:tcMar>
              <w:top w:w="80" w:type="dxa"/>
              <w:bottom w:w="80" w:type="dxa"/>
              <w:left w:w="100" w:type="dxa"/>
              <w:right w:w="100" w:type="dxa"/>
            </w:tcMar>
          </w:tcPr>
          <w:p>
            <w:pPr>
              <w:jc w:val="center"/>
            </w:pPr>
            <w:r>
              <w:rPr>
                <w:rFonts w:ascii="Times New Roman" w:hAnsi="Times New Roman"/>
                <w:b/>
                <w:color w:val="FFFFFF"/>
                <w:sz w:val="19"/>
              </w:rPr>
              <w:t>Milestone Focus</w:t>
            </w:r>
          </w:p>
        </w:tc>
        <w:tc>
          <w:tcPr>
            <w:tcW w:type="dxa" w:w="3557"/>
            <w:shd w:fill="1A365D"/>
            <w:tcMar>
              <w:top w:w="80" w:type="dxa"/>
              <w:bottom w:w="80" w:type="dxa"/>
              <w:left w:w="100" w:type="dxa"/>
              <w:right w:w="100" w:type="dxa"/>
            </w:tcMar>
          </w:tcPr>
          <w:p>
            <w:pPr>
              <w:jc w:val="center"/>
            </w:pPr>
            <w:r>
              <w:rPr>
                <w:rFonts w:ascii="Times New Roman" w:hAnsi="Times New Roman"/>
                <w:b/>
                <w:color w:val="FFFFFF"/>
                <w:sz w:val="19"/>
              </w:rPr>
              <w:t>Key Academic Deliverable</w:t>
            </w:r>
          </w:p>
        </w:tc>
      </w:tr>
      <w:tr>
        <w:tc>
          <w:tcPr>
            <w:tcW w:type="dxa" w:w="2160"/>
            <w:tcMar>
              <w:top w:w="60" w:type="dxa"/>
              <w:bottom w:w="60" w:type="dxa"/>
              <w:left w:w="80" w:type="dxa"/>
              <w:right w:w="80" w:type="dxa"/>
            </w:tcMar>
          </w:tcPr>
          <w:p>
            <w:pPr>
              <w:spacing w:line="276" w:lineRule="auto"/>
            </w:pPr>
            <w:r>
              <w:rPr>
                <w:rFonts w:ascii="Times New Roman" w:hAnsi="Times New Roman"/>
                <w:b/>
                <w:sz w:val="18"/>
              </w:rPr>
              <w:t>August 2026 (Weeks 1–3)</w:t>
            </w:r>
          </w:p>
        </w:tc>
        <w:tc>
          <w:tcPr>
            <w:tcW w:type="dxa" w:w="3312"/>
            <w:tcMar>
              <w:top w:w="60" w:type="dxa"/>
              <w:bottom w:w="60" w:type="dxa"/>
              <w:left w:w="80" w:type="dxa"/>
              <w:right w:w="80" w:type="dxa"/>
            </w:tcMar>
          </w:tcPr>
          <w:p>
            <w:pPr>
              <w:spacing w:line="276" w:lineRule="auto"/>
            </w:pPr>
            <w:r>
              <w:rPr>
                <w:rFonts w:ascii="Times New Roman" w:hAnsi="Times New Roman"/>
                <w:sz w:val="18"/>
              </w:rPr>
              <w:t>Problem Formulation &amp; Literature Review Inception</w:t>
            </w:r>
          </w:p>
        </w:tc>
        <w:tc>
          <w:tcPr>
            <w:tcW w:type="dxa" w:w="3557"/>
            <w:tcMar>
              <w:top w:w="60" w:type="dxa"/>
              <w:bottom w:w="60" w:type="dxa"/>
              <w:left w:w="80" w:type="dxa"/>
              <w:right w:w="80" w:type="dxa"/>
            </w:tcMar>
          </w:tcPr>
          <w:p>
            <w:pPr>
              <w:spacing w:line="276" w:lineRule="auto"/>
            </w:pPr>
            <w:r>
              <w:rPr>
                <w:rFonts w:ascii="Times New Roman" w:hAnsi="Times New Roman"/>
                <w:sz w:val="18"/>
              </w:rPr>
              <w:t>Problem Statement &amp; Initial Survey</w:t>
            </w:r>
          </w:p>
        </w:tc>
      </w:tr>
      <w:tr>
        <w:tc>
          <w:tcPr>
            <w:tcW w:type="dxa" w:w="2160"/>
            <w:shd w:fill="F7FAFC"/>
            <w:tcMar>
              <w:top w:w="60" w:type="dxa"/>
              <w:bottom w:w="60" w:type="dxa"/>
              <w:left w:w="80" w:type="dxa"/>
              <w:right w:w="80" w:type="dxa"/>
            </w:tcMar>
          </w:tcPr>
          <w:p>
            <w:pPr>
              <w:spacing w:line="276" w:lineRule="auto"/>
            </w:pPr>
            <w:r>
              <w:rPr>
                <w:rFonts w:ascii="Times New Roman" w:hAnsi="Times New Roman"/>
                <w:b/>
                <w:sz w:val="18"/>
              </w:rPr>
              <w:t>September 2026 (Weeks 4–7)</w:t>
            </w:r>
          </w:p>
        </w:tc>
        <w:tc>
          <w:tcPr>
            <w:tcW w:type="dxa" w:w="3312"/>
            <w:shd w:fill="F7FAFC"/>
            <w:tcMar>
              <w:top w:w="60" w:type="dxa"/>
              <w:bottom w:w="60" w:type="dxa"/>
              <w:left w:w="80" w:type="dxa"/>
              <w:right w:w="80" w:type="dxa"/>
            </w:tcMar>
          </w:tcPr>
          <w:p>
            <w:pPr>
              <w:spacing w:line="276" w:lineRule="auto"/>
            </w:pPr>
            <w:r>
              <w:rPr>
                <w:rFonts w:ascii="Times New Roman" w:hAnsi="Times New Roman"/>
                <w:sz w:val="18"/>
              </w:rPr>
              <w:t>Literature Review Finalization &amp; SRS/Privacy Modeling</w:t>
            </w:r>
          </w:p>
        </w:tc>
        <w:tc>
          <w:tcPr>
            <w:tcW w:type="dxa" w:w="3557"/>
            <w:shd w:fill="F7FAFC"/>
            <w:tcMar>
              <w:top w:w="60" w:type="dxa"/>
              <w:bottom w:w="60" w:type="dxa"/>
              <w:left w:w="80" w:type="dxa"/>
              <w:right w:w="80" w:type="dxa"/>
            </w:tcMar>
          </w:tcPr>
          <w:p>
            <w:pPr>
              <w:spacing w:line="276" w:lineRule="auto"/>
            </w:pPr>
            <w:r>
              <w:rPr>
                <w:rFonts w:ascii="Times New Roman" w:hAnsi="Times New Roman"/>
                <w:sz w:val="18"/>
              </w:rPr>
              <w:t>Literature Survey Matrix &amp; DPDP Act Plan</w:t>
            </w:r>
          </w:p>
        </w:tc>
      </w:tr>
      <w:tr>
        <w:tc>
          <w:tcPr>
            <w:tcW w:type="dxa" w:w="2160"/>
            <w:tcMar>
              <w:top w:w="60" w:type="dxa"/>
              <w:bottom w:w="60" w:type="dxa"/>
              <w:left w:w="80" w:type="dxa"/>
              <w:right w:w="80" w:type="dxa"/>
            </w:tcMar>
          </w:tcPr>
          <w:p>
            <w:pPr>
              <w:spacing w:line="276" w:lineRule="auto"/>
            </w:pPr>
            <w:r>
              <w:rPr>
                <w:rFonts w:ascii="Times New Roman" w:hAnsi="Times New Roman"/>
                <w:b/>
                <w:sz w:val="18"/>
              </w:rPr>
              <w:t>October 2026 (Weeks 8–12)</w:t>
            </w:r>
          </w:p>
        </w:tc>
        <w:tc>
          <w:tcPr>
            <w:tcW w:type="dxa" w:w="3312"/>
            <w:tcMar>
              <w:top w:w="60" w:type="dxa"/>
              <w:bottom w:w="60" w:type="dxa"/>
              <w:left w:w="80" w:type="dxa"/>
              <w:right w:w="80" w:type="dxa"/>
            </w:tcMar>
          </w:tcPr>
          <w:p>
            <w:pPr>
              <w:spacing w:line="276" w:lineRule="auto"/>
            </w:pPr>
            <w:r>
              <w:rPr>
                <w:rFonts w:ascii="Times New Roman" w:hAnsi="Times New Roman"/>
                <w:sz w:val="18"/>
              </w:rPr>
              <w:t>5-Tier Architecture, DFD Modeling &amp; Feature Schema</w:t>
            </w:r>
          </w:p>
        </w:tc>
        <w:tc>
          <w:tcPr>
            <w:tcW w:type="dxa" w:w="3557"/>
            <w:tcMar>
              <w:top w:w="60" w:type="dxa"/>
              <w:bottom w:w="60" w:type="dxa"/>
              <w:left w:w="80" w:type="dxa"/>
              <w:right w:w="80" w:type="dxa"/>
            </w:tcMar>
          </w:tcPr>
          <w:p>
            <w:pPr>
              <w:spacing w:line="276" w:lineRule="auto"/>
            </w:pPr>
            <w:r>
              <w:rPr>
                <w:rFonts w:ascii="Times New Roman" w:hAnsi="Times New Roman"/>
                <w:sz w:val="18"/>
              </w:rPr>
              <w:t>Architecture Blueprint &amp; Dataset Spec</w:t>
            </w:r>
          </w:p>
        </w:tc>
      </w:tr>
      <w:tr>
        <w:tc>
          <w:tcPr>
            <w:tcW w:type="dxa" w:w="2160"/>
            <w:shd w:fill="F7FAFC"/>
            <w:tcMar>
              <w:top w:w="60" w:type="dxa"/>
              <w:bottom w:w="60" w:type="dxa"/>
              <w:left w:w="80" w:type="dxa"/>
              <w:right w:w="80" w:type="dxa"/>
            </w:tcMar>
          </w:tcPr>
          <w:p>
            <w:pPr>
              <w:spacing w:line="276" w:lineRule="auto"/>
            </w:pPr>
            <w:r>
              <w:rPr>
                <w:rFonts w:ascii="Times New Roman" w:hAnsi="Times New Roman"/>
                <w:b/>
                <w:sz w:val="18"/>
              </w:rPr>
              <w:t>November 2026 (Weeks 13–16)</w:t>
            </w:r>
          </w:p>
        </w:tc>
        <w:tc>
          <w:tcPr>
            <w:tcW w:type="dxa" w:w="3312"/>
            <w:shd w:fill="F7FAFC"/>
            <w:tcMar>
              <w:top w:w="60" w:type="dxa"/>
              <w:bottom w:w="60" w:type="dxa"/>
              <w:left w:w="80" w:type="dxa"/>
              <w:right w:w="80" w:type="dxa"/>
            </w:tcMar>
          </w:tcPr>
          <w:p>
            <w:pPr>
              <w:spacing w:line="276" w:lineRule="auto"/>
            </w:pPr>
            <w:r>
              <w:rPr>
                <w:rFonts w:ascii="Times New Roman" w:hAnsi="Times New Roman"/>
                <w:sz w:val="18"/>
              </w:rPr>
              <w:t>Pipeline Verification, Report Finalization &amp; Defense</w:t>
            </w:r>
          </w:p>
        </w:tc>
        <w:tc>
          <w:tcPr>
            <w:tcW w:type="dxa" w:w="3557"/>
            <w:shd w:fill="F7FAFC"/>
            <w:tcMar>
              <w:top w:w="60" w:type="dxa"/>
              <w:bottom w:w="60" w:type="dxa"/>
              <w:left w:w="80" w:type="dxa"/>
              <w:right w:w="80" w:type="dxa"/>
            </w:tcMar>
          </w:tcPr>
          <w:p>
            <w:pPr>
              <w:spacing w:line="276" w:lineRule="auto"/>
            </w:pPr>
            <w:r>
              <w:rPr>
                <w:rFonts w:ascii="Times New Roman" w:hAnsi="Times New Roman"/>
                <w:sz w:val="18"/>
              </w:rPr>
              <w:t>Phase 1 Report (.docx) &amp; Project Defense (★)</w:t>
            </w:r>
          </w:p>
        </w:tc>
      </w:tr>
    </w:tbl>
    <w:p>
      <w:pPr>
        <w:spacing w:before="80" w:after="280"/>
        <w:jc w:val="center"/>
      </w:pPr>
      <w:r>
        <w:rPr>
          <w:rFonts w:ascii="Times New Roman" w:hAnsi="Times New Roman"/>
          <w:i/>
          <w:sz w:val="20"/>
        </w:rPr>
        <w:t>Table 4: Phase 1 Monthly Milestone Schedule and Tangible Deliverables</w:t>
      </w:r>
    </w:p>
    <w:p>
      <w:pPr>
        <w:keepNext/>
        <w:spacing w:before="240" w:after="80"/>
      </w:pPr>
      <w:r>
        <w:rPr>
          <w:rFonts w:ascii="Times New Roman" w:hAnsi="Times New Roman"/>
          <w:b/>
          <w:color w:val="2B6CB0"/>
          <w:sz w:val="28"/>
        </w:rPr>
        <w:t>4.3 Visual Project Gantt Chart</w:t>
      </w:r>
    </w:p>
    <w:p>
      <w:pPr>
        <w:spacing w:line="360" w:lineRule="auto" w:after="120"/>
        <w:jc w:val="both"/>
      </w:pPr>
      <w:r>
        <w:rPr>
          <w:rFonts w:ascii="Times New Roman" w:hAnsi="Times New Roman"/>
          <w:i w:val="0"/>
          <w:color w:val="2D3748"/>
          <w:sz w:val="24"/>
        </w:rPr>
        <w:t>Figure 3 illustrates the chronological Gantt chart and milestone roadmap for Phase 1 spanning August 10, 2026 to November 28, 2026.</w:t>
      </w:r>
    </w:p>
    <w:p>
      <w:pPr>
        <w:spacing w:before="160" w:after="80"/>
        <w:jc w:val="center"/>
      </w:pPr>
      <w:r>
        <w:drawing>
          <wp:inline xmlns:a="http://schemas.openxmlformats.org/drawingml/2006/main" xmlns:pic="http://schemas.openxmlformats.org/drawingml/2006/picture">
            <wp:extent cx="5303520" cy="3088492"/>
            <wp:docPr id="3" name="Picture 3"/>
            <wp:cNvGraphicFramePr>
              <a:graphicFrameLocks noChangeAspect="1"/>
            </wp:cNvGraphicFramePr>
            <a:graphic>
              <a:graphicData uri="http://schemas.openxmlformats.org/drawingml/2006/picture">
                <pic:pic>
                  <pic:nvPicPr>
                    <pic:cNvPr id="0" name="gantt_chart.png"/>
                    <pic:cNvPicPr/>
                  </pic:nvPicPr>
                  <pic:blipFill>
                    <a:blip r:embed="rId13"/>
                    <a:stretch>
                      <a:fillRect/>
                    </a:stretch>
                  </pic:blipFill>
                  <pic:spPr>
                    <a:xfrm>
                      <a:off x="0" y="0"/>
                      <a:ext cx="5303520" cy="3088492"/>
                    </a:xfrm>
                    <a:prstGeom prst="rect"/>
                  </pic:spPr>
                </pic:pic>
              </a:graphicData>
            </a:graphic>
          </wp:inline>
        </w:drawing>
      </w:r>
    </w:p>
    <w:p>
      <w:pPr>
        <w:spacing w:after="240"/>
        <w:jc w:val="center"/>
      </w:pPr>
      <w:r>
        <w:rPr>
          <w:rFonts w:ascii="Times New Roman" w:hAnsi="Times New Roman"/>
          <w:i/>
          <w:sz w:val="20"/>
        </w:rPr>
        <w:t>Figure 3: Phase 1 Project Gantt Chart (August 10 – November 28, 2026)</w:t>
      </w:r>
    </w:p>
    <w:p>
      <w:r>
        <w:br w:type="page"/>
      </w:r>
    </w:p>
    <w:p>
      <w:pPr>
        <w:keepNext/>
        <w:spacing w:before="320" w:after="120"/>
      </w:pPr>
      <w:r>
        <w:rPr>
          <w:rFonts w:ascii="Times New Roman" w:hAnsi="Times New Roman"/>
          <w:b/>
          <w:color w:val="1A365D"/>
          <w:sz w:val="32"/>
        </w:rPr>
        <w:t>5. References</w:t>
      </w:r>
    </w:p>
    <w:p>
      <w:pPr>
        <w:spacing w:line="276" w:lineRule="auto" w:after="80"/>
        <w:ind w:left="432" w:hanging="432"/>
        <w:jc w:val="both"/>
      </w:pPr>
      <w:r>
        <w:rPr>
          <w:rFonts w:ascii="Times New Roman" w:hAnsi="Times New Roman"/>
          <w:b/>
          <w:sz w:val="21"/>
        </w:rPr>
        <w:t xml:space="preserve">[1] </w:t>
      </w:r>
      <w:r>
        <w:rPr>
          <w:rFonts w:ascii="Times New Roman" w:hAnsi="Times New Roman"/>
          <w:sz w:val="21"/>
        </w:rPr>
        <w:t>World Health Organization, World Mental Health Report: Transforming mental health for all, Geneva: World Health Organization, 2022. [Online]. Available: https://www.who.int/publications/i/item/9789240049338</w:t>
      </w:r>
    </w:p>
    <w:p>
      <w:pPr>
        <w:spacing w:line="276" w:lineRule="auto" w:after="80"/>
        <w:ind w:left="432" w:hanging="432"/>
        <w:jc w:val="both"/>
      </w:pPr>
      <w:r>
        <w:rPr>
          <w:rFonts w:ascii="Times New Roman" w:hAnsi="Times New Roman"/>
          <w:b/>
          <w:sz w:val="21"/>
        </w:rPr>
        <w:t xml:space="preserve">[2] </w:t>
      </w:r>
      <w:r>
        <w:rPr>
          <w:rFonts w:ascii="Times New Roman" w:hAnsi="Times New Roman"/>
          <w:sz w:val="21"/>
        </w:rPr>
        <w:t>R. H. Bitsko, A. H. Claussen, J. Lichstein, L. I. Black, S. E. Jones, M. L. Danielson, et al., 'Mental Health Surveillance Among Children — United States, 2013–2019,' MMWR Supplements, vol. 71, no. 2, pp. 1–42, Feb. 2022. [Online]. Available: https://www.cdc.gov/mmwr/volumes/71/su/su7102a1.htm</w:t>
      </w:r>
    </w:p>
    <w:p>
      <w:pPr>
        <w:spacing w:line="276" w:lineRule="auto" w:after="80"/>
        <w:ind w:left="432" w:hanging="432"/>
        <w:jc w:val="both"/>
      </w:pPr>
      <w:r>
        <w:rPr>
          <w:rFonts w:ascii="Times New Roman" w:hAnsi="Times New Roman"/>
          <w:b/>
          <w:sz w:val="21"/>
        </w:rPr>
        <w:t xml:space="preserve">[3] </w:t>
      </w:r>
      <w:r>
        <w:rPr>
          <w:rFonts w:ascii="Times New Roman" w:hAnsi="Times New Roman"/>
          <w:sz w:val="21"/>
        </w:rPr>
        <w:t>C. Hollis, C. J. Falconer, J. L. Martin, C. Whittington, S. Stockton, C. Glazebrook, and E. B. Davies, 'Annual Research Review: Digital health interventions for children and young people with mental health problems – a systematic and meta-review,' Journal of Child Psychology and Psychiatry, vol. 58, no. 4, pp. 474–503, Apr. 2017, doi: 10.1111/jcpp.12663.</w:t>
      </w:r>
    </w:p>
    <w:p>
      <w:pPr>
        <w:spacing w:line="276" w:lineRule="auto" w:after="80"/>
        <w:ind w:left="432" w:hanging="432"/>
        <w:jc w:val="both"/>
      </w:pPr>
      <w:r>
        <w:rPr>
          <w:rFonts w:ascii="Times New Roman" w:hAnsi="Times New Roman"/>
          <w:b/>
          <w:sz w:val="21"/>
        </w:rPr>
        <w:t xml:space="preserve">[4] </w:t>
      </w:r>
      <w:r>
        <w:rPr>
          <w:rFonts w:ascii="Times New Roman" w:hAnsi="Times New Roman"/>
          <w:sz w:val="21"/>
        </w:rPr>
        <w:t>R. Grist, J. Porter, and P. Stallard, 'Mental Health Mobile Apps for Preadolescents and Adolescents: A Systematic Review,' Journal of Medical Internet Research, vol. 19, no. 5, p. e176, May 2017, doi: 10.2196/jmir.7332.</w:t>
      </w:r>
    </w:p>
    <w:p>
      <w:pPr>
        <w:spacing w:line="276" w:lineRule="auto" w:after="80"/>
        <w:ind w:left="432" w:hanging="432"/>
        <w:jc w:val="both"/>
      </w:pPr>
      <w:r>
        <w:rPr>
          <w:rFonts w:ascii="Times New Roman" w:hAnsi="Times New Roman"/>
          <w:b/>
          <w:sz w:val="21"/>
        </w:rPr>
        <w:t xml:space="preserve">[5] </w:t>
      </w:r>
      <w:r>
        <w:rPr>
          <w:rFonts w:ascii="Times New Roman" w:hAnsi="Times New Roman"/>
          <w:sz w:val="21"/>
        </w:rPr>
        <w:t>A. B. Shatte, D. M. Hutchinson, and S. J. Teague, 'Machine learning in mental health: a scoping review of methods and applications,' Computer Methods and Programs in Biomedicine, vol. 175, pp. 219–224, Jul. 2019, doi: 10.1016/j.cmpb.2019.04.017.</w:t>
      </w:r>
    </w:p>
    <w:p>
      <w:pPr>
        <w:spacing w:line="276" w:lineRule="auto" w:after="80"/>
        <w:ind w:left="432" w:hanging="432"/>
        <w:jc w:val="both"/>
      </w:pPr>
      <w:r>
        <w:rPr>
          <w:rFonts w:ascii="Times New Roman" w:hAnsi="Times New Roman"/>
          <w:b/>
          <w:sz w:val="21"/>
        </w:rPr>
        <w:t xml:space="preserve">[6] </w:t>
      </w:r>
      <w:r>
        <w:rPr>
          <w:rFonts w:ascii="Times New Roman" w:hAnsi="Times New Roman"/>
          <w:sz w:val="21"/>
        </w:rPr>
        <w:t>T. A. Burke, R. Jacobucci, B. A. Ammerman, M. Piccirillo, M. S. McCloskey, and L. B. Alloy, 'Identifying the Most Important Predictors of Non-Suicidal Self-Injury in Adolescents: Using Machine Learning to Refine Risk Screening,' Journal of Consulting and Clinical Psychology, vol. 87, no. 11, pp. 978–992, Nov. 2019, doi: 10.1037/ccp0000438.</w:t>
      </w:r>
    </w:p>
    <w:p>
      <w:pPr>
        <w:spacing w:line="276" w:lineRule="auto" w:after="80"/>
        <w:ind w:left="432" w:hanging="432"/>
        <w:jc w:val="both"/>
      </w:pPr>
      <w:r>
        <w:rPr>
          <w:rFonts w:ascii="Times New Roman" w:hAnsi="Times New Roman"/>
          <w:b/>
          <w:sz w:val="21"/>
        </w:rPr>
        <w:t xml:space="preserve">[7] </w:t>
      </w:r>
      <w:r>
        <w:rPr>
          <w:rFonts w:ascii="Times New Roman" w:hAnsi="Times New Roman"/>
          <w:sz w:val="21"/>
        </w:rPr>
        <w:t>A. Le Glaz, Y. Haralambous, D. H. Kim-Dufor, P. Lenca, R. Billot, T. Boraud, and S. Berrouiguet, 'Machine Learning and Natural Language Processing in Mental Health: Systematic Review,' Journal of Medical Internet Research, vol. 23, no. 5, p. e15708, May 2021, doi: 10.2196/15708.</w:t>
      </w:r>
    </w:p>
    <w:p>
      <w:pPr>
        <w:spacing w:line="276" w:lineRule="auto" w:after="80"/>
        <w:ind w:left="432" w:hanging="432"/>
        <w:jc w:val="both"/>
      </w:pPr>
      <w:r>
        <w:rPr>
          <w:rFonts w:ascii="Times New Roman" w:hAnsi="Times New Roman"/>
          <w:b/>
          <w:sz w:val="21"/>
        </w:rPr>
        <w:t xml:space="preserve">[8] </w:t>
      </w:r>
      <w:r>
        <w:rPr>
          <w:rFonts w:ascii="Times New Roman" w:hAnsi="Times New Roman"/>
          <w:sz w:val="21"/>
        </w:rPr>
        <w:t>C. J. Hutto and E. Gilbert, 'VADER: A Parsimonious Rule-based Model for Sentiment Analysis of Social Media Text,' in Proceedings of the Eighth International AAAI Conference on Weblogs and Social Media (ICWSM-14), vol. 8, no. 1, 2014, pp. 216–225.</w:t>
      </w:r>
    </w:p>
    <w:p>
      <w:pPr>
        <w:spacing w:line="276" w:lineRule="auto" w:after="80"/>
        <w:ind w:left="432" w:hanging="432"/>
        <w:jc w:val="both"/>
      </w:pPr>
      <w:r>
        <w:rPr>
          <w:rFonts w:ascii="Times New Roman" w:hAnsi="Times New Roman"/>
          <w:b/>
          <w:sz w:val="21"/>
        </w:rPr>
        <w:t xml:space="preserve">[9] </w:t>
      </w:r>
      <w:r>
        <w:rPr>
          <w:rFonts w:ascii="Times New Roman" w:hAnsi="Times New Roman"/>
          <w:sz w:val="21"/>
        </w:rPr>
        <w:t>W. Gardner, M. Murphy, G. Childs, K. Kelleher, M. Pagano, M. Jellinek, et al., 'The PSC-17: a brief pediatric symptom checklist with psychosocial subscales. A report from the PROS and ASPN networks,' Ambulatory Child Health, vol. 5, no. 3, pp. 225–236, Sep. 1999.</w:t>
      </w:r>
    </w:p>
    <w:p>
      <w:pPr>
        <w:spacing w:line="276" w:lineRule="auto" w:after="80"/>
        <w:ind w:left="432" w:hanging="432"/>
        <w:jc w:val="both"/>
      </w:pPr>
      <w:r>
        <w:rPr>
          <w:rFonts w:ascii="Times New Roman" w:hAnsi="Times New Roman"/>
          <w:b/>
          <w:sz w:val="21"/>
        </w:rPr>
        <w:t xml:space="preserve">[10] </w:t>
      </w:r>
      <w:r>
        <w:rPr>
          <w:rFonts w:ascii="Times New Roman" w:hAnsi="Times New Roman"/>
          <w:sz w:val="21"/>
        </w:rPr>
        <w:t>S. M. Schueller, C. M. Armstrong, and M. Neary, 'Privacy and Security in Digital Mental Health,' in Digital Mental Health: Technology and Mental Health, Cham: Springer, 2019, pp. 77–94, doi: 10.1007/978-3-030-01639-5_5.</w:t>
      </w:r>
    </w:p>
    <w:p>
      <w:pPr>
        <w:spacing w:line="276" w:lineRule="auto" w:after="80"/>
        <w:ind w:left="432" w:hanging="432"/>
        <w:jc w:val="both"/>
      </w:pPr>
      <w:r>
        <w:rPr>
          <w:rFonts w:ascii="Times New Roman" w:hAnsi="Times New Roman"/>
          <w:b/>
          <w:sz w:val="21"/>
        </w:rPr>
        <w:t xml:space="preserve">[11] </w:t>
      </w:r>
      <w:r>
        <w:rPr>
          <w:rFonts w:ascii="Times New Roman" w:hAnsi="Times New Roman"/>
          <w:sz w:val="21"/>
        </w:rPr>
        <w:t>UNICEF, The State of the World's Children 2021: On My Mind – Promoting, protecting and caring for children’s mental health, New York: United Nations Children's Fund, 2021. [Online]. Available: https://www.unicef.org/reports/state-of-worlds-children-2021</w:t>
      </w:r>
    </w:p>
    <w:p>
      <w:pPr>
        <w:spacing w:line="276" w:lineRule="auto" w:after="80"/>
        <w:ind w:left="432" w:hanging="432"/>
        <w:jc w:val="both"/>
      </w:pPr>
      <w:r>
        <w:rPr>
          <w:rFonts w:ascii="Times New Roman" w:hAnsi="Times New Roman"/>
          <w:b/>
          <w:sz w:val="21"/>
        </w:rPr>
        <w:t xml:space="preserve">[12] </w:t>
      </w:r>
      <w:r>
        <w:rPr>
          <w:rFonts w:ascii="Times New Roman" w:hAnsi="Times New Roman"/>
          <w:sz w:val="21"/>
        </w:rPr>
        <w:t>Ministry of Health and Family Welfare, Government of India, National Tele Mental Health Programme of India (Tele-MANAS) - Operational Guidelines, New Delhi: MoHFW, 2022. [Online]. Available: https://telemanas.mohfw.gov.in/</w:t>
      </w:r>
    </w:p>
    <w:sectPr w:rsidR="00FC693F" w:rsidRPr="0006063C" w:rsidSect="00034616">
      <w:headerReference w:type="default" r:id="rId9"/>
      <w:footerReference w:type="default" r:id="rId10"/>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18096"/>
        <w:sz w:val="18"/>
      </w:rPr>
      <w:t>Presidency University, Bengaluru — Department of Computer Science and Engineering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18096"/>
        <w:sz w:val="18"/>
      </w:rPr>
      <w:t>Presidency University | B.Tech Major Project Phase 1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