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rFonts w:ascii="Times New Roman" w:hAnsi="Times New Roman"/>
          <w:b/>
          <w:color w:val="1A365D"/>
          <w:sz w:val="40"/>
        </w:rPr>
        <w:t>PRESIDENCY UNIVERSITY</w:t>
        <w:br/>
      </w:r>
      <w:r>
        <w:rPr>
          <w:rFonts w:ascii="Times New Roman" w:hAnsi="Times New Roman"/>
          <w:b/>
          <w:color w:val="4A5568"/>
          <w:sz w:val="26"/>
        </w:rPr>
        <w:t>Department of Computer Science and Engineering</w:t>
        <w:br/>
        <w:t>Bengaluru, India</w:t>
      </w:r>
    </w:p>
    <w:p>
      <w:pPr>
        <w:spacing w:before="720" w:after="160"/>
        <w:jc w:val="center"/>
      </w:pPr>
      <w:r>
        <w:rPr>
          <w:rFonts w:ascii="Times New Roman" w:hAnsi="Times New Roman"/>
          <w:b/>
          <w:color w:val="2B6CB0"/>
          <w:sz w:val="32"/>
        </w:rPr>
        <w:t>PHASE 1 PROJECT REPORT</w:t>
        <w:br/>
      </w:r>
      <w:r>
        <w:rPr>
          <w:rFonts w:ascii="Times New Roman" w:hAnsi="Times New Roman"/>
          <w:b/>
          <w:sz w:val="24"/>
        </w:rPr>
        <w:t>ON</w:t>
        <w:br/>
      </w:r>
    </w:p>
    <w:p>
      <w:pPr>
        <w:spacing w:before="240" w:after="480"/>
        <w:jc w:val="center"/>
      </w:pPr>
      <w:r>
        <w:rPr>
          <w:rFonts w:ascii="Times New Roman" w:hAnsi="Times New Roman"/>
          <w:b/>
          <w:color w:val="1A202C"/>
          <w:sz w:val="36"/>
        </w:rPr>
        <w:t>“Mental Health and Well-being Surveillance, Assessment and Tracking Solution Among Children”</w:t>
      </w:r>
    </w:p>
    <w:p>
      <w:pPr>
        <w:spacing w:before="360" w:after="720"/>
        <w:jc w:val="center"/>
      </w:pPr>
      <w:r>
        <w:rPr>
          <w:rFonts w:ascii="Times New Roman" w:hAnsi="Times New Roman"/>
          <w:i/>
          <w:sz w:val="22"/>
        </w:rPr>
        <w:t>Submitted in partial fulfillment of the requirements for the degree of</w:t>
        <w:br/>
      </w:r>
      <w:r>
        <w:rPr>
          <w:rFonts w:ascii="Times New Roman" w:hAnsi="Times New Roman"/>
          <w:b/>
          <w:color w:val="1A365D"/>
          <w:sz w:val="26"/>
        </w:rPr>
        <w:t>BACHELOR OF TECHNOLOGY</w:t>
        <w:br/>
        <w:t>IN</w:t>
        <w:br/>
        <w:t>COMPUTER SCIENCE AND ENGINEERING</w:t>
      </w:r>
    </w:p>
    <w:tbl>
      <w:tblPr>
        <w:tblW w:type="auto" w:w="0"/>
        <w:jc w:val="center"/>
        <w:tblLayout w:type="fixed"/>
        <w:tblLook w:firstColumn="1" w:firstRow="1" w:lastColumn="0" w:lastRow="0" w:noHBand="0" w:noVBand="1" w:val="04A0"/>
      </w:tblPr>
      <w:tblGrid>
        <w:gridCol w:w="4464"/>
        <w:gridCol w:w="4464"/>
      </w:tblGrid>
      <w:tr>
        <w:tc>
          <w:tcPr>
            <w:tcW w:type="dxa" w:w="4513"/>
          </w:tcPr>
          <w:p>
            <w:pPr>
              <w:spacing w:line="300" w:lineRule="auto"/>
            </w:pPr>
            <w:r>
              <w:rPr>
                <w:b/>
                <w:sz w:val="22"/>
              </w:rPr>
              <w:t>Submitted by:</w:t>
              <w:br/>
            </w:r>
            <w:r>
              <w:rPr>
                <w:b/>
                <w:color w:val="1A365D"/>
                <w:sz w:val="24"/>
              </w:rPr>
              <w:t>Harsha R</w:t>
              <w:br/>
            </w:r>
            <w:r>
              <w:rPr>
                <w:sz w:val="22"/>
              </w:rPr>
              <w:t>USN: 20231CSE0261</w:t>
            </w:r>
          </w:p>
        </w:tc>
        <w:tc>
          <w:tcPr>
            <w:tcW w:type="dxa" w:w="4513"/>
          </w:tcPr>
          <w:p>
            <w:pPr>
              <w:spacing w:line="300" w:lineRule="auto"/>
            </w:pPr>
            <w:r>
              <w:rPr>
                <w:b/>
                <w:sz w:val="22"/>
              </w:rPr>
              <w:t>Under the Guidance of:</w:t>
              <w:br/>
            </w:r>
            <w:r>
              <w:rPr>
                <w:b/>
                <w:color w:val="1A365D"/>
                <w:sz w:val="24"/>
              </w:rPr>
              <w:t>Mr. Jetti Satya Sai Kumar</w:t>
              <w:br/>
            </w:r>
            <w:r>
              <w:rPr>
                <w:sz w:val="21"/>
              </w:rPr>
              <w:t>Assistant Professor</w:t>
              <w:br/>
              <w:t>Dept. of Computer Science &amp; Engg.</w:t>
            </w:r>
          </w:p>
        </w:tc>
      </w:tr>
      <w:tr>
        <w:tc>
          <w:tcPr>
            <w:tcW w:type="dxa" w:w="9026"/>
            <w:gridSpan w:val="2"/>
          </w:tcPr>
          <w:p>
            <w:pPr>
              <w:spacing w:before="720"/>
              <w:jc w:val="center"/>
            </w:pPr>
            <w:r>
              <w:rPr>
                <w:b/>
                <w:color w:val="2B6CB0"/>
                <w:sz w:val="24"/>
              </w:rPr>
              <w:t>Academic Year: 2026–2027</w:t>
            </w:r>
          </w:p>
        </w:tc>
      </w:tr>
    </w:tbl>
    <w:p>
      <w:r>
        <w:br w:type="page"/>
      </w:r>
    </w:p>
    <w:p>
      <w:pPr>
        <w:keepNext/>
        <w:spacing w:before="320" w:after="120"/>
      </w:pPr>
      <w:r>
        <w:rPr>
          <w:rFonts w:ascii="Times New Roman" w:hAnsi="Times New Roman"/>
          <w:b/>
          <w:color w:val="1A365D"/>
          <w:sz w:val="32"/>
        </w:rPr>
        <w:t>Executive Summary / Abstract</w:t>
      </w:r>
    </w:p>
    <w:p>
      <w:pPr>
        <w:spacing w:line="360" w:lineRule="auto" w:after="120"/>
        <w:jc w:val="both"/>
      </w:pPr>
      <w:r>
        <w:rPr>
          <w:rFonts w:ascii="Times New Roman" w:hAnsi="Times New Roman"/>
          <w:i w:val="0"/>
          <w:color w:val="2D3748"/>
          <w:sz w:val="24"/>
        </w:rPr>
        <w:t>Childhood and adolescent psychological distress often develops gradually, with early manifestations reflected in observable lifestyle and behavioral changes such as irregular sleep patterns, excessive screen time, academic strain, and social withdrawal. However, conventional pediatric mental health screening approaches are largely episodic, adult-centric, and dependent on structured clinical consultations that may not capture gradual behavioral shifts in everyday environments.</w:t>
      </w:r>
    </w:p>
    <w:p>
      <w:pPr>
        <w:spacing w:line="360" w:lineRule="auto" w:after="120"/>
        <w:jc w:val="both"/>
      </w:pPr>
      <w:r>
        <w:rPr>
          <w:rFonts w:ascii="Times New Roman" w:hAnsi="Times New Roman"/>
          <w:i w:val="0"/>
          <w:color w:val="2D3748"/>
          <w:sz w:val="24"/>
        </w:rPr>
        <w:t>This academic project, titled “Mental Health and Well-being Surveillance, Assessment and Tracking Solution Among Children”, proposes the design of an interactive, non-clinical software platform for early well-being surveillance, multi-factor behavioral assessment, longitudinal tracking, and verified support referral. The proposed platform incorporates a child-friendly interface featuring emoji-based mood check-ins and an optional reflective text journal. The conceptual architecture includes: (1) a proposed supervised machine learning classification workflow designed to stratify non-diagnostic well-being indicators into risk tiers (Low / Healthy, Moderate / Monitoring, and Elevated / Action Advised), and (2) a natural language processing (NLP) sentiment module intended to evaluate emotional valence and affective tone from self-reported text entries. Furthermore, the platform integrates non-clinical psychoeducational exercises (such as visual 4-7-8 breathing pacing and grounding activities) for children, alongside a proposed caregiver/educator dashboard displaying longitudinal trend trajectories and verified crisis contact directories (e.g., Childline 1098, Tele-MANAS 14416).</w:t>
      </w:r>
    </w:p>
    <w:p>
      <w:pPr>
        <w:spacing w:line="360" w:lineRule="auto" w:after="120"/>
        <w:jc w:val="both"/>
      </w:pPr>
      <w:r>
        <w:rPr>
          <w:rFonts w:ascii="Times New Roman" w:hAnsi="Times New Roman"/>
          <w:i w:val="0"/>
          <w:color w:val="2D3748"/>
          <w:sz w:val="24"/>
        </w:rPr>
        <w:t>Medical and Ethical Disclaimer: This platform is designed strictly as an academic research prototype for surveillance, well-being tracking, and non-clinical decision support. It does not provide medical diagnoses, psychiatric evaluations, or clinical therapies. Clinical evaluation by qualified healthcare professionals is required for all medical and psychiatric decisions.</w:t>
      </w:r>
    </w:p>
    <w:p>
      <w:pPr>
        <w:spacing w:line="360" w:lineRule="auto" w:after="120"/>
        <w:jc w:val="both"/>
      </w:pPr>
      <w:r>
        <w:rPr>
          <w:rFonts w:ascii="Times New Roman" w:hAnsi="Times New Roman"/>
          <w:b/>
          <w:color w:val="1A202C"/>
          <w:sz w:val="24"/>
        </w:rPr>
        <w:t xml:space="preserve">Keywords: </w:t>
      </w:r>
      <w:r>
        <w:rPr>
          <w:rFonts w:ascii="Times New Roman" w:hAnsi="Times New Roman"/>
          <w:i/>
          <w:color w:val="2D3748"/>
          <w:sz w:val="24"/>
        </w:rPr>
        <w:t>Pediatric Well-being, Mental Health Surveillance, Digital Health Tracking, Machine Learning, Natural Language Processing, Child-Computer Interaction, Crisis Referral.</w:t>
      </w:r>
    </w:p>
    <w:p>
      <w:pPr>
        <w:keepNext/>
        <w:spacing w:before="320" w:after="120"/>
      </w:pPr>
      <w:r>
        <w:rPr>
          <w:rFonts w:ascii="Times New Roman" w:hAnsi="Times New Roman"/>
          <w:b/>
          <w:color w:val="1A365D"/>
          <w:sz w:val="32"/>
        </w:rPr>
        <w:t>Table of Contents</w:t>
      </w:r>
    </w:p>
    <w:tbl>
      <w:tblPr>
        <w:tblW w:type="auto" w:w="0"/>
        <w:jc w:val="center"/>
        <w:tblLayout w:type="fixed"/>
        <w:tblLook w:firstColumn="1" w:firstRow="1" w:lastColumn="0" w:lastRow="0" w:noHBand="0" w:noVBand="1" w:val="04A0"/>
      </w:tblPr>
      <w:tblGrid>
        <w:gridCol w:w="7920"/>
        <w:gridCol w:w="1109"/>
      </w:tblGrid>
      <w:tr>
        <w:tc>
          <w:tcPr>
            <w:tcW w:type="dxa" w:w="4513"/>
          </w:tcPr>
          <w:p>
            <w:pPr>
              <w:spacing w:line="276" w:lineRule="auto" w:after="40"/>
            </w:pPr>
            <w:r>
              <w:rPr>
                <w:rFonts w:ascii="Times New Roman" w:hAnsi="Times New Roman"/>
                <w:b/>
                <w:color w:val="1A365D"/>
                <w:sz w:val="22"/>
              </w:rPr>
              <w:t>1. Section 1: Literature Review &amp; Research Gap</w:t>
            </w:r>
          </w:p>
        </w:tc>
        <w:tc>
          <w:tcPr>
            <w:tcW w:type="dxa" w:w="4513"/>
          </w:tcPr>
          <w:p>
            <w:pPr>
              <w:spacing w:line="276" w:lineRule="auto" w:after="40"/>
              <w:jc w:val="right"/>
            </w:pPr>
            <w:r>
              <w:rPr>
                <w:rFonts w:ascii="Times New Roman" w:hAnsi="Times New Roman"/>
                <w:b/>
                <w:sz w:val="22"/>
              </w:rPr>
              <w:t>3</w:t>
            </w:r>
          </w:p>
        </w:tc>
      </w:tr>
      <w:tr>
        <w:tc>
          <w:tcPr>
            <w:tcW w:type="dxa" w:w="4513"/>
          </w:tcPr>
          <w:p>
            <w:pPr>
              <w:spacing w:line="276" w:lineRule="auto" w:after="40"/>
            </w:pPr>
            <w:r>
              <w:rPr>
                <w:rFonts w:ascii="Times New Roman" w:hAnsi="Times New Roman"/>
                <w:sz w:val="22"/>
              </w:rPr>
              <w:t xml:space="preserve">    1.1 Thematic Survey of Existing Literature</w:t>
            </w:r>
          </w:p>
        </w:tc>
        <w:tc>
          <w:tcPr>
            <w:tcW w:type="dxa" w:w="4513"/>
          </w:tcPr>
          <w:p>
            <w:pPr>
              <w:spacing w:line="276" w:lineRule="auto" w:after="40"/>
              <w:jc w:val="right"/>
            </w:pPr>
            <w:r>
              <w:rPr>
                <w:rFonts w:ascii="Times New Roman" w:hAnsi="Times New Roman"/>
                <w:sz w:val="22"/>
              </w:rPr>
              <w:t>3</w:t>
            </w:r>
          </w:p>
        </w:tc>
      </w:tr>
      <w:tr>
        <w:tc>
          <w:tcPr>
            <w:tcW w:type="dxa" w:w="4513"/>
          </w:tcPr>
          <w:p>
            <w:pPr>
              <w:spacing w:line="276" w:lineRule="auto" w:after="40"/>
            </w:pPr>
            <w:r>
              <w:rPr>
                <w:rFonts w:ascii="Times New Roman" w:hAnsi="Times New Roman"/>
                <w:sz w:val="22"/>
              </w:rPr>
              <w:t xml:space="preserve">    1.2 In-Depth Analysis of Key Research Papers</w:t>
            </w:r>
          </w:p>
        </w:tc>
        <w:tc>
          <w:tcPr>
            <w:tcW w:type="dxa" w:w="4513"/>
          </w:tcPr>
          <w:p>
            <w:pPr>
              <w:spacing w:line="276" w:lineRule="auto" w:after="40"/>
              <w:jc w:val="right"/>
            </w:pPr>
            <w:r>
              <w:rPr>
                <w:rFonts w:ascii="Times New Roman" w:hAnsi="Times New Roman"/>
                <w:sz w:val="22"/>
              </w:rPr>
              <w:t>3</w:t>
            </w:r>
          </w:p>
        </w:tc>
      </w:tr>
      <w:tr>
        <w:tc>
          <w:tcPr>
            <w:tcW w:type="dxa" w:w="4513"/>
          </w:tcPr>
          <w:p>
            <w:pPr>
              <w:spacing w:line="276" w:lineRule="auto" w:after="40"/>
            </w:pPr>
            <w:r>
              <w:rPr>
                <w:rFonts w:ascii="Times New Roman" w:hAnsi="Times New Roman"/>
                <w:sz w:val="22"/>
              </w:rPr>
              <w:t xml:space="preserve">    1.3 Comparative Analysis Matrix</w:t>
            </w:r>
          </w:p>
        </w:tc>
        <w:tc>
          <w:tcPr>
            <w:tcW w:type="dxa" w:w="4513"/>
          </w:tcPr>
          <w:p>
            <w:pPr>
              <w:spacing w:line="276" w:lineRule="auto" w:after="40"/>
              <w:jc w:val="right"/>
            </w:pPr>
            <w:r>
              <w:rPr>
                <w:rFonts w:ascii="Times New Roman" w:hAnsi="Times New Roman"/>
                <w:sz w:val="22"/>
              </w:rPr>
              <w:t>5</w:t>
            </w:r>
          </w:p>
        </w:tc>
      </w:tr>
      <w:tr>
        <w:tc>
          <w:tcPr>
            <w:tcW w:type="dxa" w:w="4513"/>
          </w:tcPr>
          <w:p>
            <w:pPr>
              <w:spacing w:line="276" w:lineRule="auto" w:after="40"/>
            </w:pPr>
            <w:r>
              <w:rPr>
                <w:rFonts w:ascii="Times New Roman" w:hAnsi="Times New Roman"/>
                <w:sz w:val="22"/>
              </w:rPr>
              <w:t xml:space="preserve">    1.4 Identified Research Gaps &amp; Problem Statement</w:t>
            </w:r>
          </w:p>
        </w:tc>
        <w:tc>
          <w:tcPr>
            <w:tcW w:type="dxa" w:w="4513"/>
          </w:tcPr>
          <w:p>
            <w:pPr>
              <w:spacing w:line="276" w:lineRule="auto" w:after="40"/>
              <w:jc w:val="right"/>
            </w:pPr>
            <w:r>
              <w:rPr>
                <w:rFonts w:ascii="Times New Roman" w:hAnsi="Times New Roman"/>
                <w:sz w:val="22"/>
              </w:rPr>
              <w:t>5</w:t>
            </w:r>
          </w:p>
        </w:tc>
      </w:tr>
      <w:tr>
        <w:tc>
          <w:tcPr>
            <w:tcW w:type="dxa" w:w="4513"/>
          </w:tcPr>
          <w:p>
            <w:pPr>
              <w:spacing w:line="276" w:lineRule="auto" w:after="40"/>
            </w:pPr>
            <w:r>
              <w:rPr>
                <w:rFonts w:ascii="Times New Roman" w:hAnsi="Times New Roman"/>
                <w:b/>
                <w:color w:val="1A365D"/>
                <w:sz w:val="22"/>
              </w:rPr>
              <w:t>2. Section 2: System Architecture Design</w:t>
            </w:r>
          </w:p>
        </w:tc>
        <w:tc>
          <w:tcPr>
            <w:tcW w:type="dxa" w:w="4513"/>
          </w:tcPr>
          <w:p>
            <w:pPr>
              <w:spacing w:line="276" w:lineRule="auto" w:after="40"/>
              <w:jc w:val="right"/>
            </w:pPr>
            <w:r>
              <w:rPr>
                <w:rFonts w:ascii="Times New Roman" w:hAnsi="Times New Roman"/>
                <w:b/>
                <w:sz w:val="22"/>
              </w:rPr>
              <w:t>7</w:t>
            </w:r>
          </w:p>
        </w:tc>
      </w:tr>
      <w:tr>
        <w:tc>
          <w:tcPr>
            <w:tcW w:type="dxa" w:w="4513"/>
          </w:tcPr>
          <w:p>
            <w:pPr>
              <w:spacing w:line="276" w:lineRule="auto" w:after="40"/>
            </w:pPr>
            <w:r>
              <w:rPr>
                <w:rFonts w:ascii="Times New Roman" w:hAnsi="Times New Roman"/>
                <w:sz w:val="22"/>
              </w:rPr>
              <w:t xml:space="preserve">    2.1 Design Philosophy &amp; Multi-Tier Architecture</w:t>
            </w:r>
          </w:p>
        </w:tc>
        <w:tc>
          <w:tcPr>
            <w:tcW w:type="dxa" w:w="4513"/>
          </w:tcPr>
          <w:p>
            <w:pPr>
              <w:spacing w:line="276" w:lineRule="auto" w:after="40"/>
              <w:jc w:val="right"/>
            </w:pPr>
            <w:r>
              <w:rPr>
                <w:rFonts w:ascii="Times New Roman" w:hAnsi="Times New Roman"/>
                <w:sz w:val="22"/>
              </w:rPr>
              <w:t>7</w:t>
            </w:r>
          </w:p>
        </w:tc>
      </w:tr>
      <w:tr>
        <w:tc>
          <w:tcPr>
            <w:tcW w:type="dxa" w:w="4513"/>
          </w:tcPr>
          <w:p>
            <w:pPr>
              <w:spacing w:line="276" w:lineRule="auto" w:after="40"/>
            </w:pPr>
            <w:r>
              <w:rPr>
                <w:rFonts w:ascii="Times New Roman" w:hAnsi="Times New Roman"/>
                <w:sz w:val="22"/>
              </w:rPr>
              <w:t xml:space="preserve">    2.2 System Architecture Diagram</w:t>
            </w:r>
          </w:p>
        </w:tc>
        <w:tc>
          <w:tcPr>
            <w:tcW w:type="dxa" w:w="4513"/>
          </w:tcPr>
          <w:p>
            <w:pPr>
              <w:spacing w:line="276" w:lineRule="auto" w:after="40"/>
              <w:jc w:val="right"/>
            </w:pPr>
            <w:r>
              <w:rPr>
                <w:rFonts w:ascii="Times New Roman" w:hAnsi="Times New Roman"/>
                <w:sz w:val="22"/>
              </w:rPr>
              <w:t>8</w:t>
            </w:r>
          </w:p>
        </w:tc>
      </w:tr>
      <w:tr>
        <w:tc>
          <w:tcPr>
            <w:tcW w:type="dxa" w:w="4513"/>
          </w:tcPr>
          <w:p>
            <w:pPr>
              <w:spacing w:line="276" w:lineRule="auto" w:after="40"/>
            </w:pPr>
            <w:r>
              <w:rPr>
                <w:rFonts w:ascii="Times New Roman" w:hAnsi="Times New Roman"/>
                <w:sz w:val="22"/>
              </w:rPr>
              <w:t xml:space="preserve">    2.3 Component Input / Output Specifications</w:t>
            </w:r>
          </w:p>
        </w:tc>
        <w:tc>
          <w:tcPr>
            <w:tcW w:type="dxa" w:w="4513"/>
          </w:tcPr>
          <w:p>
            <w:pPr>
              <w:spacing w:line="276" w:lineRule="auto" w:after="40"/>
              <w:jc w:val="right"/>
            </w:pPr>
            <w:r>
              <w:rPr>
                <w:rFonts w:ascii="Times New Roman" w:hAnsi="Times New Roman"/>
                <w:sz w:val="22"/>
              </w:rPr>
              <w:t>9</w:t>
            </w:r>
          </w:p>
        </w:tc>
      </w:tr>
      <w:tr>
        <w:tc>
          <w:tcPr>
            <w:tcW w:type="dxa" w:w="4513"/>
          </w:tcPr>
          <w:p>
            <w:pPr>
              <w:spacing w:line="276" w:lineRule="auto" w:after="40"/>
            </w:pPr>
            <w:r>
              <w:rPr>
                <w:rFonts w:ascii="Times New Roman" w:hAnsi="Times New Roman"/>
                <w:sz w:val="22"/>
              </w:rPr>
              <w:t xml:space="preserve">    2.4 Data Flow Modeling</w:t>
            </w:r>
          </w:p>
        </w:tc>
        <w:tc>
          <w:tcPr>
            <w:tcW w:type="dxa" w:w="4513"/>
          </w:tcPr>
          <w:p>
            <w:pPr>
              <w:spacing w:line="276" w:lineRule="auto" w:after="40"/>
              <w:jc w:val="right"/>
            </w:pPr>
            <w:r>
              <w:rPr>
                <w:rFonts w:ascii="Times New Roman" w:hAnsi="Times New Roman"/>
                <w:sz w:val="22"/>
              </w:rPr>
              <w:t>10</w:t>
            </w:r>
          </w:p>
        </w:tc>
      </w:tr>
      <w:tr>
        <w:tc>
          <w:tcPr>
            <w:tcW w:type="dxa" w:w="4513"/>
          </w:tcPr>
          <w:p>
            <w:pPr>
              <w:spacing w:line="276" w:lineRule="auto" w:after="40"/>
            </w:pPr>
            <w:r>
              <w:rPr>
                <w:rFonts w:ascii="Times New Roman" w:hAnsi="Times New Roman"/>
                <w:sz w:val="22"/>
              </w:rPr>
              <w:t xml:space="preserve">    2.5 Privacy, Security, Consent, and Child Safety Protocols</w:t>
            </w:r>
          </w:p>
        </w:tc>
        <w:tc>
          <w:tcPr>
            <w:tcW w:type="dxa" w:w="4513"/>
          </w:tcPr>
          <w:p>
            <w:pPr>
              <w:spacing w:line="276" w:lineRule="auto" w:after="40"/>
              <w:jc w:val="right"/>
            </w:pPr>
            <w:r>
              <w:rPr>
                <w:rFonts w:ascii="Times New Roman" w:hAnsi="Times New Roman"/>
                <w:sz w:val="22"/>
              </w:rPr>
              <w:t>11</w:t>
            </w:r>
          </w:p>
        </w:tc>
      </w:tr>
      <w:tr>
        <w:tc>
          <w:tcPr>
            <w:tcW w:type="dxa" w:w="4513"/>
          </w:tcPr>
          <w:p>
            <w:pPr>
              <w:spacing w:line="276" w:lineRule="auto" w:after="40"/>
            </w:pPr>
            <w:r>
              <w:rPr>
                <w:rFonts w:ascii="Times New Roman" w:hAnsi="Times New Roman"/>
                <w:b/>
                <w:color w:val="1A365D"/>
                <w:sz w:val="22"/>
              </w:rPr>
              <w:t>3. Section 3: Expected System Outputs</w:t>
            </w:r>
          </w:p>
        </w:tc>
        <w:tc>
          <w:tcPr>
            <w:tcW w:type="dxa" w:w="4513"/>
          </w:tcPr>
          <w:p>
            <w:pPr>
              <w:spacing w:line="276" w:lineRule="auto" w:after="40"/>
              <w:jc w:val="right"/>
            </w:pPr>
            <w:r>
              <w:rPr>
                <w:rFonts w:ascii="Times New Roman" w:hAnsi="Times New Roman"/>
                <w:b/>
                <w:sz w:val="22"/>
              </w:rPr>
              <w:t>12</w:t>
            </w:r>
          </w:p>
        </w:tc>
      </w:tr>
      <w:tr>
        <w:tc>
          <w:tcPr>
            <w:tcW w:type="dxa" w:w="4513"/>
          </w:tcPr>
          <w:p>
            <w:pPr>
              <w:spacing w:line="276" w:lineRule="auto" w:after="40"/>
            </w:pPr>
            <w:r>
              <w:rPr>
                <w:rFonts w:ascii="Times New Roman" w:hAnsi="Times New Roman"/>
                <w:sz w:val="22"/>
              </w:rPr>
              <w:t xml:space="preserve">    3.1 Functional Output Deliverables</w:t>
            </w:r>
          </w:p>
        </w:tc>
        <w:tc>
          <w:tcPr>
            <w:tcW w:type="dxa" w:w="4513"/>
          </w:tcPr>
          <w:p>
            <w:pPr>
              <w:spacing w:line="276" w:lineRule="auto" w:after="40"/>
              <w:jc w:val="right"/>
            </w:pPr>
            <w:r>
              <w:rPr>
                <w:rFonts w:ascii="Times New Roman" w:hAnsi="Times New Roman"/>
                <w:sz w:val="22"/>
              </w:rPr>
              <w:t>12</w:t>
            </w:r>
          </w:p>
        </w:tc>
      </w:tr>
      <w:tr>
        <w:tc>
          <w:tcPr>
            <w:tcW w:type="dxa" w:w="4513"/>
          </w:tcPr>
          <w:p>
            <w:pPr>
              <w:spacing w:line="276" w:lineRule="auto" w:after="40"/>
            </w:pPr>
            <w:r>
              <w:rPr>
                <w:rFonts w:ascii="Times New Roman" w:hAnsi="Times New Roman"/>
                <w:sz w:val="22"/>
              </w:rPr>
              <w:t xml:space="preserve">    3.2 Non-Diagnostic Clinical Disclaimer</w:t>
            </w:r>
          </w:p>
        </w:tc>
        <w:tc>
          <w:tcPr>
            <w:tcW w:type="dxa" w:w="4513"/>
          </w:tcPr>
          <w:p>
            <w:pPr>
              <w:spacing w:line="276" w:lineRule="auto" w:after="40"/>
              <w:jc w:val="right"/>
            </w:pPr>
            <w:r>
              <w:rPr>
                <w:rFonts w:ascii="Times New Roman" w:hAnsi="Times New Roman"/>
                <w:sz w:val="22"/>
              </w:rPr>
              <w:t>14</w:t>
            </w:r>
          </w:p>
        </w:tc>
      </w:tr>
      <w:tr>
        <w:tc>
          <w:tcPr>
            <w:tcW w:type="dxa" w:w="4513"/>
          </w:tcPr>
          <w:p>
            <w:pPr>
              <w:spacing w:line="276" w:lineRule="auto" w:after="40"/>
            </w:pPr>
            <w:r>
              <w:rPr>
                <w:rFonts w:ascii="Times New Roman" w:hAnsi="Times New Roman"/>
                <w:b/>
                <w:color w:val="1A365D"/>
                <w:sz w:val="22"/>
              </w:rPr>
              <w:t>4. Section 4: Project Timeline &amp; Gantt Chart</w:t>
            </w:r>
          </w:p>
        </w:tc>
        <w:tc>
          <w:tcPr>
            <w:tcW w:type="dxa" w:w="4513"/>
          </w:tcPr>
          <w:p>
            <w:pPr>
              <w:spacing w:line="276" w:lineRule="auto" w:after="40"/>
              <w:jc w:val="right"/>
            </w:pPr>
            <w:r>
              <w:rPr>
                <w:rFonts w:ascii="Times New Roman" w:hAnsi="Times New Roman"/>
                <w:b/>
                <w:sz w:val="22"/>
              </w:rPr>
              <w:t>15</w:t>
            </w:r>
          </w:p>
        </w:tc>
      </w:tr>
      <w:tr>
        <w:tc>
          <w:tcPr>
            <w:tcW w:type="dxa" w:w="4513"/>
          </w:tcPr>
          <w:p>
            <w:pPr>
              <w:spacing w:line="276" w:lineRule="auto" w:after="40"/>
            </w:pPr>
            <w:r>
              <w:rPr>
                <w:rFonts w:ascii="Times New Roman" w:hAnsi="Times New Roman"/>
                <w:sz w:val="22"/>
              </w:rPr>
              <w:t xml:space="preserve">    4.1 Work Breakdown Structure</w:t>
            </w:r>
          </w:p>
        </w:tc>
        <w:tc>
          <w:tcPr>
            <w:tcW w:type="dxa" w:w="4513"/>
          </w:tcPr>
          <w:p>
            <w:pPr>
              <w:spacing w:line="276" w:lineRule="auto" w:after="40"/>
              <w:jc w:val="right"/>
            </w:pPr>
            <w:r>
              <w:rPr>
                <w:rFonts w:ascii="Times New Roman" w:hAnsi="Times New Roman"/>
                <w:sz w:val="22"/>
              </w:rPr>
              <w:t>15</w:t>
            </w:r>
          </w:p>
        </w:tc>
      </w:tr>
      <w:tr>
        <w:tc>
          <w:tcPr>
            <w:tcW w:type="dxa" w:w="4513"/>
          </w:tcPr>
          <w:p>
            <w:pPr>
              <w:spacing w:line="276" w:lineRule="auto" w:after="40"/>
            </w:pPr>
            <w:r>
              <w:rPr>
                <w:rFonts w:ascii="Times New Roman" w:hAnsi="Times New Roman"/>
                <w:sz w:val="22"/>
              </w:rPr>
              <w:t xml:space="preserve">    4.2 Project Timeline &amp; Milestones</w:t>
            </w:r>
          </w:p>
        </w:tc>
        <w:tc>
          <w:tcPr>
            <w:tcW w:type="dxa" w:w="4513"/>
          </w:tcPr>
          <w:p>
            <w:pPr>
              <w:spacing w:line="276" w:lineRule="auto" w:after="40"/>
              <w:jc w:val="right"/>
            </w:pPr>
            <w:r>
              <w:rPr>
                <w:rFonts w:ascii="Times New Roman" w:hAnsi="Times New Roman"/>
                <w:sz w:val="22"/>
              </w:rPr>
              <w:t>16</w:t>
            </w:r>
          </w:p>
        </w:tc>
      </w:tr>
      <w:tr>
        <w:tc>
          <w:tcPr>
            <w:tcW w:type="dxa" w:w="4513"/>
          </w:tcPr>
          <w:p>
            <w:pPr>
              <w:spacing w:line="276" w:lineRule="auto" w:after="40"/>
            </w:pPr>
            <w:r>
              <w:rPr>
                <w:rFonts w:ascii="Times New Roman" w:hAnsi="Times New Roman"/>
                <w:b/>
                <w:color w:val="1A365D"/>
                <w:sz w:val="22"/>
              </w:rPr>
              <w:t>5. References</w:t>
            </w:r>
          </w:p>
        </w:tc>
        <w:tc>
          <w:tcPr>
            <w:tcW w:type="dxa" w:w="4513"/>
          </w:tcPr>
          <w:p>
            <w:pPr>
              <w:spacing w:line="276" w:lineRule="auto" w:after="40"/>
              <w:jc w:val="right"/>
            </w:pPr>
            <w:r>
              <w:rPr>
                <w:rFonts w:ascii="Times New Roman" w:hAnsi="Times New Roman"/>
                <w:b/>
                <w:sz w:val="22"/>
              </w:rPr>
              <w:t>17</w:t>
            </w:r>
          </w:p>
        </w:tc>
      </w:tr>
    </w:tbl>
    <w:p>
      <w:r>
        <w:br w:type="page"/>
      </w:r>
    </w:p>
    <w:p>
      <w:pPr>
        <w:keepNext/>
        <w:spacing w:before="320" w:after="120"/>
      </w:pPr>
      <w:r>
        <w:rPr>
          <w:rFonts w:ascii="Times New Roman" w:hAnsi="Times New Roman"/>
          <w:b/>
          <w:color w:val="1A365D"/>
          <w:sz w:val="32"/>
        </w:rPr>
        <w:t>1. Section 1: Literature Review &amp; Research Gap</w:t>
      </w:r>
    </w:p>
    <w:p>
      <w:pPr>
        <w:keepNext/>
        <w:spacing w:before="240" w:after="80"/>
      </w:pPr>
      <w:r>
        <w:rPr>
          <w:rFonts w:ascii="Times New Roman" w:hAnsi="Times New Roman"/>
          <w:b/>
          <w:color w:val="2B6CB0"/>
          <w:sz w:val="28"/>
        </w:rPr>
        <w:t>1.1 Thematic Survey of Existing Literature</w:t>
      </w:r>
    </w:p>
    <w:p>
      <w:pPr>
        <w:spacing w:line="360" w:lineRule="auto" w:after="120"/>
        <w:jc w:val="both"/>
      </w:pPr>
      <w:r>
        <w:rPr>
          <w:rFonts w:ascii="Times New Roman" w:hAnsi="Times New Roman"/>
          <w:i w:val="0"/>
          <w:color w:val="2D3748"/>
          <w:sz w:val="24"/>
        </w:rPr>
        <w:t>The literature addressing youth mental health surveillance and digital tracking intersects multiple disciplines, spanning epidemiology, human-computer interaction (HCI), machine learning (ML), and clinical psychology. A synthesis of peer-reviewed research reveals several core themes:</w:t>
      </w:r>
    </w:p>
    <w:p>
      <w:pPr>
        <w:pStyle w:val="ListBullet"/>
        <w:spacing w:line="300" w:lineRule="auto" w:after="80"/>
        <w:jc w:val="both"/>
      </w:pPr>
      <w:r>
        <w:rPr>
          <w:rFonts w:ascii="Times New Roman" w:hAnsi="Times New Roman"/>
          <w:b/>
          <w:color w:val="1A202C"/>
          <w:sz w:val="23"/>
        </w:rPr>
        <w:t xml:space="preserve">Pediatric Mental Health Landscape: </w:t>
      </w:r>
      <w:r>
        <w:rPr>
          <w:rFonts w:ascii="Times New Roman" w:hAnsi="Times New Roman"/>
          <w:color w:val="2D3748"/>
          <w:sz w:val="23"/>
        </w:rPr>
        <w:t>Epidemiological surveillance frameworks (WHO, 2022; Bitsko et al., 2022) establish that anxiety, behavioral disorders, and mood dysregulation in children and adolescents often correlate with disruptions in core lifestyle routines, particularly sleep sufficiency and physical activity.</w:t>
      </w:r>
    </w:p>
    <w:p>
      <w:pPr>
        <w:pStyle w:val="ListBullet"/>
        <w:spacing w:line="300" w:lineRule="auto" w:after="80"/>
        <w:jc w:val="both"/>
      </w:pPr>
      <w:r>
        <w:rPr>
          <w:rFonts w:ascii="Times New Roman" w:hAnsi="Times New Roman"/>
          <w:b/>
          <w:color w:val="1A202C"/>
          <w:sz w:val="23"/>
        </w:rPr>
        <w:t xml:space="preserve">Digital Health Interventions for Youth: </w:t>
      </w:r>
      <w:r>
        <w:rPr>
          <w:rFonts w:ascii="Times New Roman" w:hAnsi="Times New Roman"/>
          <w:color w:val="2D3748"/>
          <w:sz w:val="23"/>
        </w:rPr>
        <w:t>Systematic reviews (Hollis et al., 2017; Grist et al., 2017) indicate that digital tracking and computerized cognitive behavioral support can positively influence youth engagement, but user retention depends strongly on age-appropriate visual interfaces and immediate interactive feedback.</w:t>
      </w:r>
    </w:p>
    <w:p>
      <w:pPr>
        <w:pStyle w:val="ListBullet"/>
        <w:spacing w:line="300" w:lineRule="auto" w:after="80"/>
        <w:jc w:val="both"/>
      </w:pPr>
      <w:r>
        <w:rPr>
          <w:rFonts w:ascii="Times New Roman" w:hAnsi="Times New Roman"/>
          <w:b/>
          <w:color w:val="1A202C"/>
          <w:sz w:val="23"/>
        </w:rPr>
        <w:t xml:space="preserve">Machine Learning for Risk Estimation: </w:t>
      </w:r>
      <w:r>
        <w:rPr>
          <w:rFonts w:ascii="Times New Roman" w:hAnsi="Times New Roman"/>
          <w:color w:val="2D3748"/>
          <w:sz w:val="23"/>
        </w:rPr>
        <w:t>Healthcare informatics literature (Shatte et al., 2019; Burke et al., 2019) highlights the utility of supervised learning models (such as decision trees, random forests, and logistic regression) in modeling non-linear interactions across multidimensional survey data, while emphasizing the critical necessity of avoiding methodological overfitting.</w:t>
      </w:r>
    </w:p>
    <w:p>
      <w:pPr>
        <w:pStyle w:val="ListBullet"/>
        <w:spacing w:line="300" w:lineRule="auto" w:after="80"/>
        <w:jc w:val="both"/>
      </w:pPr>
      <w:r>
        <w:rPr>
          <w:rFonts w:ascii="Times New Roman" w:hAnsi="Times New Roman"/>
          <w:b/>
          <w:color w:val="1A202C"/>
          <w:sz w:val="23"/>
        </w:rPr>
        <w:t xml:space="preserve">NLP and Affective Sentiment Mining: </w:t>
      </w:r>
      <w:r>
        <w:rPr>
          <w:rFonts w:ascii="Times New Roman" w:hAnsi="Times New Roman"/>
          <w:color w:val="2D3748"/>
          <w:sz w:val="23"/>
        </w:rPr>
        <w:t>Natural language processing studies (Hutto &amp; Gilbert, 2014; Le Glaz et al., 2021) demonstrate that lexicon-based sentiment analysis effectively captures valence and emotional polarity in informal text, providing useful supplementary signals when combined with structured behavioral data.</w:t>
      </w:r>
    </w:p>
    <w:p>
      <w:pPr>
        <w:pStyle w:val="ListBullet"/>
        <w:spacing w:line="300" w:lineRule="auto" w:after="80"/>
        <w:jc w:val="both"/>
      </w:pPr>
      <w:r>
        <w:rPr>
          <w:rFonts w:ascii="Times New Roman" w:hAnsi="Times New Roman"/>
          <w:b/>
          <w:color w:val="1A202C"/>
          <w:sz w:val="23"/>
        </w:rPr>
        <w:t xml:space="preserve">Ethics, Privacy, and Child Safety: </w:t>
      </w:r>
      <w:r>
        <w:rPr>
          <w:rFonts w:ascii="Times New Roman" w:hAnsi="Times New Roman"/>
          <w:color w:val="2D3748"/>
          <w:sz w:val="23"/>
        </w:rPr>
        <w:t>Data protection research (Schueller et al., 2019) and legal frameworks (such as the Digital Personal Data Protection Act, 2023 in India) mandate strict data minimization, verifiable parental consent, and non-diagnostic disclaimers when processing data related to minors.</w:t>
      </w:r>
    </w:p>
    <w:p>
      <w:pPr>
        <w:keepNext/>
        <w:spacing w:before="240" w:after="80"/>
      </w:pPr>
      <w:r>
        <w:rPr>
          <w:rFonts w:ascii="Times New Roman" w:hAnsi="Times New Roman"/>
          <w:b/>
          <w:color w:val="2B6CB0"/>
          <w:sz w:val="28"/>
        </w:rPr>
        <w:t>1.2 In-Depth Analysis of Key Research Papers</w:t>
      </w:r>
    </w:p>
    <w:p>
      <w:pPr>
        <w:spacing w:line="360" w:lineRule="auto" w:after="120"/>
        <w:jc w:val="both"/>
      </w:pPr>
      <w:r>
        <w:rPr>
          <w:rFonts w:ascii="Times New Roman" w:hAnsi="Times New Roman"/>
          <w:i w:val="0"/>
          <w:color w:val="2D3748"/>
          <w:sz w:val="24"/>
        </w:rPr>
        <w:t>To establish an evidence-based foundation, ten key research papers and authoritative public health reports were critically examined:</w:t>
      </w:r>
    </w:p>
    <w:p>
      <w:pPr>
        <w:keepNext/>
        <w:spacing w:before="160" w:after="40"/>
      </w:pPr>
      <w:r>
        <w:rPr>
          <w:rFonts w:ascii="Times New Roman" w:hAnsi="Times New Roman"/>
          <w:b/>
          <w:color w:val="2D3748"/>
          <w:sz w:val="24"/>
        </w:rPr>
        <w:t>1. Global Pediatric Mental Health Burden (WHO, 2022)</w:t>
      </w:r>
    </w:p>
    <w:p>
      <w:pPr>
        <w:spacing w:line="360" w:lineRule="auto" w:after="40"/>
        <w:jc w:val="both"/>
      </w:pPr>
      <w:r>
        <w:rPr>
          <w:rFonts w:ascii="Times New Roman" w:hAnsi="Times New Roman"/>
          <w:b/>
          <w:color w:val="1A202C"/>
          <w:sz w:val="24"/>
        </w:rPr>
        <w:t xml:space="preserve">Citation: </w:t>
      </w:r>
      <w:r>
        <w:rPr>
          <w:rFonts w:ascii="Times New Roman" w:hAnsi="Times New Roman"/>
          <w:i w:val="0"/>
          <w:color w:val="2D3748"/>
          <w:sz w:val="24"/>
        </w:rPr>
        <w:t>World Health Organization, World Mental Health Report: Transforming mental health for all, Geneva: WHO, 2022.</w:t>
      </w:r>
    </w:p>
    <w:p>
      <w:pPr>
        <w:spacing w:line="360" w:lineRule="auto" w:after="40"/>
        <w:jc w:val="both"/>
      </w:pPr>
      <w:r>
        <w:rPr>
          <w:rFonts w:ascii="Times New Roman" w:hAnsi="Times New Roman"/>
          <w:b/>
          <w:color w:val="1A202C"/>
          <w:sz w:val="24"/>
        </w:rPr>
        <w:t xml:space="preserve">Methodology: </w:t>
      </w:r>
      <w:r>
        <w:rPr>
          <w:rFonts w:ascii="Times New Roman" w:hAnsi="Times New Roman"/>
          <w:i w:val="0"/>
          <w:color w:val="2D3748"/>
          <w:sz w:val="24"/>
        </w:rPr>
        <w:t>Meta-synthesis of epidemiological registries, population surveys, and global health data across WHO Member States.</w:t>
      </w:r>
    </w:p>
    <w:p>
      <w:pPr>
        <w:spacing w:line="360" w:lineRule="auto" w:after="40"/>
        <w:jc w:val="both"/>
      </w:pPr>
      <w:r>
        <w:rPr>
          <w:rFonts w:ascii="Times New Roman" w:hAnsi="Times New Roman"/>
          <w:b/>
          <w:color w:val="1A202C"/>
          <w:sz w:val="24"/>
        </w:rPr>
        <w:t xml:space="preserve">Key Findings: </w:t>
      </w:r>
      <w:r>
        <w:rPr>
          <w:rFonts w:ascii="Times New Roman" w:hAnsi="Times New Roman"/>
          <w:i w:val="0"/>
          <w:color w:val="2D3748"/>
          <w:sz w:val="24"/>
        </w:rPr>
        <w:t>Globally, an estimated 1 in 7 (14%) 10–19 year-olds experience mental health conditions, with suicide representing the fourth leading cause of death among older adolescents (15–19 years). Early-stage emotional distress is frequently unaddressed in community settings.</w:t>
      </w:r>
    </w:p>
    <w:p>
      <w:pPr>
        <w:spacing w:line="360" w:lineRule="auto" w:after="40"/>
        <w:jc w:val="both"/>
      </w:pPr>
      <w:r>
        <w:rPr>
          <w:rFonts w:ascii="Times New Roman" w:hAnsi="Times New Roman"/>
          <w:b/>
          <w:color w:val="1A202C"/>
          <w:sz w:val="24"/>
        </w:rPr>
        <w:t xml:space="preserve">Limitations: </w:t>
      </w:r>
      <w:r>
        <w:rPr>
          <w:rFonts w:ascii="Times New Roman" w:hAnsi="Times New Roman"/>
          <w:i w:val="0"/>
          <w:color w:val="2D3748"/>
          <w:sz w:val="24"/>
        </w:rPr>
        <w:t>Macro-level global policy focus; does not specify software implementations or algorithmic designs.</w:t>
      </w:r>
    </w:p>
    <w:p>
      <w:pPr>
        <w:spacing w:line="360" w:lineRule="auto" w:after="120"/>
        <w:jc w:val="both"/>
      </w:pPr>
      <w:r>
        <w:rPr>
          <w:rFonts w:ascii="Times New Roman" w:hAnsi="Times New Roman"/>
          <w:b/>
          <w:color w:val="1A202C"/>
          <w:sz w:val="24"/>
        </w:rPr>
        <w:t xml:space="preserve">Relevance: </w:t>
      </w:r>
      <w:r>
        <w:rPr>
          <w:rFonts w:ascii="Times New Roman" w:hAnsi="Times New Roman"/>
          <w:i w:val="0"/>
          <w:color w:val="2D3748"/>
          <w:sz w:val="24"/>
        </w:rPr>
        <w:t>Confirms the epidemiological need for accessible, early surveillance and supportive monitoring tools.</w:t>
      </w:r>
    </w:p>
    <w:p>
      <w:pPr>
        <w:keepNext/>
        <w:spacing w:before="160" w:after="40"/>
      </w:pPr>
      <w:r>
        <w:rPr>
          <w:rFonts w:ascii="Times New Roman" w:hAnsi="Times New Roman"/>
          <w:b/>
          <w:color w:val="2D3748"/>
          <w:sz w:val="24"/>
        </w:rPr>
        <w:t>2. Pediatric Mental Health Surveillance in the United States (Bitsko et al., 2022)</w:t>
      </w:r>
    </w:p>
    <w:p>
      <w:pPr>
        <w:spacing w:line="360" w:lineRule="auto" w:after="40"/>
        <w:jc w:val="both"/>
      </w:pPr>
      <w:r>
        <w:rPr>
          <w:rFonts w:ascii="Times New Roman" w:hAnsi="Times New Roman"/>
          <w:b/>
          <w:color w:val="1A202C"/>
          <w:sz w:val="24"/>
        </w:rPr>
        <w:t xml:space="preserve">Citation: </w:t>
      </w:r>
      <w:r>
        <w:rPr>
          <w:rFonts w:ascii="Times New Roman" w:hAnsi="Times New Roman"/>
          <w:i w:val="0"/>
          <w:color w:val="2D3748"/>
          <w:sz w:val="24"/>
        </w:rPr>
        <w:t>R. H. Bitsko et al., 'Mental Health Surveillance Among Children — United States, 2013–2019,' MMWR Supplements, vol. 71, no. 2, pp. 1–42, 2022.</w:t>
      </w:r>
    </w:p>
    <w:p>
      <w:pPr>
        <w:spacing w:line="360" w:lineRule="auto" w:after="40"/>
        <w:jc w:val="both"/>
      </w:pPr>
      <w:r>
        <w:rPr>
          <w:rFonts w:ascii="Times New Roman" w:hAnsi="Times New Roman"/>
          <w:b/>
          <w:color w:val="1A202C"/>
          <w:sz w:val="24"/>
        </w:rPr>
        <w:t xml:space="preserve">Methodology: </w:t>
      </w:r>
      <w:r>
        <w:rPr>
          <w:rFonts w:ascii="Times New Roman" w:hAnsi="Times New Roman"/>
          <w:i w:val="0"/>
          <w:color w:val="2D3748"/>
          <w:sz w:val="24"/>
        </w:rPr>
        <w:t>Analysis of multiple federal surveillance datasets, including the National Survey of Children's Health (NSCH), NHIS, and YRBSS.</w:t>
      </w:r>
    </w:p>
    <w:p>
      <w:pPr>
        <w:spacing w:line="360" w:lineRule="auto" w:after="40"/>
        <w:jc w:val="both"/>
      </w:pPr>
      <w:r>
        <w:rPr>
          <w:rFonts w:ascii="Times New Roman" w:hAnsi="Times New Roman"/>
          <w:b/>
          <w:color w:val="1A202C"/>
          <w:sz w:val="24"/>
        </w:rPr>
        <w:t xml:space="preserve">Key Findings: </w:t>
      </w:r>
      <w:r>
        <w:rPr>
          <w:rFonts w:ascii="Times New Roman" w:hAnsi="Times New Roman"/>
          <w:i w:val="0"/>
          <w:color w:val="2D3748"/>
          <w:sz w:val="24"/>
        </w:rPr>
        <w:t>ADHD and anxiety were the most commonly diagnosed conditions among children aged 3–17 years. Surveillance data confirmed that lifestyle behaviors and environmental stressors are key correlates of emotional well-being.</w:t>
      </w:r>
    </w:p>
    <w:p>
      <w:pPr>
        <w:spacing w:line="360" w:lineRule="auto" w:after="40"/>
        <w:jc w:val="both"/>
      </w:pPr>
      <w:r>
        <w:rPr>
          <w:rFonts w:ascii="Times New Roman" w:hAnsi="Times New Roman"/>
          <w:b/>
          <w:color w:val="1A202C"/>
          <w:sz w:val="24"/>
        </w:rPr>
        <w:t xml:space="preserve">Limitations: </w:t>
      </w:r>
      <w:r>
        <w:rPr>
          <w:rFonts w:ascii="Times New Roman" w:hAnsi="Times New Roman"/>
          <w:i w:val="0"/>
          <w:color w:val="2D3748"/>
          <w:sz w:val="24"/>
        </w:rPr>
        <w:t>Data relied on periodic, retrospective caregiver and self-report surveys; does not provide real-time tracking.</w:t>
      </w:r>
    </w:p>
    <w:p>
      <w:pPr>
        <w:spacing w:line="360" w:lineRule="auto" w:after="120"/>
        <w:jc w:val="both"/>
      </w:pPr>
      <w:r>
        <w:rPr>
          <w:rFonts w:ascii="Times New Roman" w:hAnsi="Times New Roman"/>
          <w:b/>
          <w:color w:val="1A202C"/>
          <w:sz w:val="24"/>
        </w:rPr>
        <w:t xml:space="preserve">Relevance: </w:t>
      </w:r>
      <w:r>
        <w:rPr>
          <w:rFonts w:ascii="Times New Roman" w:hAnsi="Times New Roman"/>
          <w:i w:val="0"/>
          <w:color w:val="2D3748"/>
          <w:sz w:val="24"/>
        </w:rPr>
        <w:t>Supports the inclusion of multi-variable behavioral parameters (sleep, physical play, screen time) in lifestyle feature vectors.</w:t>
      </w:r>
    </w:p>
    <w:p>
      <w:pPr>
        <w:keepNext/>
        <w:spacing w:before="160" w:after="40"/>
      </w:pPr>
      <w:r>
        <w:rPr>
          <w:rFonts w:ascii="Times New Roman" w:hAnsi="Times New Roman"/>
          <w:b/>
          <w:color w:val="2D3748"/>
          <w:sz w:val="24"/>
        </w:rPr>
        <w:t>3. Digital Health Interventions for Children and Young People (Hollis et al., 2017)</w:t>
      </w:r>
    </w:p>
    <w:p>
      <w:pPr>
        <w:spacing w:line="360" w:lineRule="auto" w:after="40"/>
        <w:jc w:val="both"/>
      </w:pPr>
      <w:r>
        <w:rPr>
          <w:rFonts w:ascii="Times New Roman" w:hAnsi="Times New Roman"/>
          <w:b/>
          <w:color w:val="1A202C"/>
          <w:sz w:val="24"/>
        </w:rPr>
        <w:t xml:space="preserve">Citation: </w:t>
      </w:r>
      <w:r>
        <w:rPr>
          <w:rFonts w:ascii="Times New Roman" w:hAnsi="Times New Roman"/>
          <w:i w:val="0"/>
          <w:color w:val="2D3748"/>
          <w:sz w:val="24"/>
        </w:rPr>
        <w:t>C. Hollis et al., 'Digital health interventions for children and young people with mental health problems – a systematic and meta-review,' J. Child Psychol. Psychiatry, vol. 58, no. 4, pp. 474–503, 2017.</w:t>
      </w:r>
    </w:p>
    <w:p>
      <w:pPr>
        <w:spacing w:line="360" w:lineRule="auto" w:after="40"/>
        <w:jc w:val="both"/>
      </w:pPr>
      <w:r>
        <w:rPr>
          <w:rFonts w:ascii="Times New Roman" w:hAnsi="Times New Roman"/>
          <w:b/>
          <w:color w:val="1A202C"/>
          <w:sz w:val="24"/>
        </w:rPr>
        <w:t xml:space="preserve">Methodology: </w:t>
      </w:r>
      <w:r>
        <w:rPr>
          <w:rFonts w:ascii="Times New Roman" w:hAnsi="Times New Roman"/>
          <w:i w:val="0"/>
          <w:color w:val="2D3748"/>
          <w:sz w:val="24"/>
        </w:rPr>
        <w:t>Systematic review and meta-review synthesizing systematic reviews and randomized controlled trials (RCTs) of computerized CBT, apps, and digital platforms.</w:t>
      </w:r>
    </w:p>
    <w:p>
      <w:pPr>
        <w:spacing w:line="360" w:lineRule="auto" w:after="40"/>
        <w:jc w:val="both"/>
      </w:pPr>
      <w:r>
        <w:rPr>
          <w:rFonts w:ascii="Times New Roman" w:hAnsi="Times New Roman"/>
          <w:b/>
          <w:color w:val="1A202C"/>
          <w:sz w:val="24"/>
        </w:rPr>
        <w:t xml:space="preserve">Key Findings: </w:t>
      </w:r>
      <w:r>
        <w:rPr>
          <w:rFonts w:ascii="Times New Roman" w:hAnsi="Times New Roman"/>
          <w:i w:val="0"/>
          <w:color w:val="2D3748"/>
          <w:sz w:val="24"/>
        </w:rPr>
        <w:t>Digital interventions demonstrate clinical promise, particularly computerized CBT for anxiety and depression in youth. The authors emphasized that engagement and adherence require interactive design, human support, and consideration of younger demographics.</w:t>
      </w:r>
    </w:p>
    <w:p>
      <w:pPr>
        <w:spacing w:line="360" w:lineRule="auto" w:after="40"/>
        <w:jc w:val="both"/>
      </w:pPr>
      <w:r>
        <w:rPr>
          <w:rFonts w:ascii="Times New Roman" w:hAnsi="Times New Roman"/>
          <w:b/>
          <w:color w:val="1A202C"/>
          <w:sz w:val="24"/>
        </w:rPr>
        <w:t xml:space="preserve">Limitations: </w:t>
      </w:r>
      <w:r>
        <w:rPr>
          <w:rFonts w:ascii="Times New Roman" w:hAnsi="Times New Roman"/>
          <w:i w:val="0"/>
          <w:color w:val="2D3748"/>
          <w:sz w:val="24"/>
        </w:rPr>
        <w:t>Identified a scarcity of digital interventions specifically tailored for younger children compared to older adolescents.</w:t>
      </w:r>
    </w:p>
    <w:p>
      <w:pPr>
        <w:spacing w:line="360" w:lineRule="auto" w:after="120"/>
        <w:jc w:val="both"/>
      </w:pPr>
      <w:r>
        <w:rPr>
          <w:rFonts w:ascii="Times New Roman" w:hAnsi="Times New Roman"/>
          <w:b/>
          <w:color w:val="1A202C"/>
          <w:sz w:val="24"/>
        </w:rPr>
        <w:t xml:space="preserve">Relevance: </w:t>
      </w:r>
      <w:r>
        <w:rPr>
          <w:rFonts w:ascii="Times New Roman" w:hAnsi="Times New Roman"/>
          <w:i w:val="0"/>
          <w:color w:val="2D3748"/>
          <w:sz w:val="24"/>
        </w:rPr>
        <w:t>Directs the user-interface design toward interactive, visual, and low-cognitive-load workflows.</w:t>
      </w:r>
    </w:p>
    <w:p>
      <w:pPr>
        <w:keepNext/>
        <w:spacing w:before="160" w:after="40"/>
      </w:pPr>
      <w:r>
        <w:rPr>
          <w:rFonts w:ascii="Times New Roman" w:hAnsi="Times New Roman"/>
          <w:b/>
          <w:color w:val="2D3748"/>
          <w:sz w:val="24"/>
        </w:rPr>
        <w:t>4. Systematic Review of Mobile Mental Health Apps for Youth (Grist et al., 2017)</w:t>
      </w:r>
    </w:p>
    <w:p>
      <w:pPr>
        <w:spacing w:line="360" w:lineRule="auto" w:after="40"/>
        <w:jc w:val="both"/>
      </w:pPr>
      <w:r>
        <w:rPr>
          <w:rFonts w:ascii="Times New Roman" w:hAnsi="Times New Roman"/>
          <w:b/>
          <w:color w:val="1A202C"/>
          <w:sz w:val="24"/>
        </w:rPr>
        <w:t xml:space="preserve">Citation: </w:t>
      </w:r>
      <w:r>
        <w:rPr>
          <w:rFonts w:ascii="Times New Roman" w:hAnsi="Times New Roman"/>
          <w:i w:val="0"/>
          <w:color w:val="2D3748"/>
          <w:sz w:val="24"/>
        </w:rPr>
        <w:t>R. Grist, J. Porter, and P. Stallard, 'Mental Health Mobile Apps for Preadolescents and Adolescents: A Systematic Review,' J. Med. Internet Res., vol. 19, no. 5, p. e176, 2017.</w:t>
      </w:r>
    </w:p>
    <w:p>
      <w:pPr>
        <w:spacing w:line="360" w:lineRule="auto" w:after="40"/>
        <w:jc w:val="both"/>
      </w:pPr>
      <w:r>
        <w:rPr>
          <w:rFonts w:ascii="Times New Roman" w:hAnsi="Times New Roman"/>
          <w:b/>
          <w:color w:val="1A202C"/>
          <w:sz w:val="24"/>
        </w:rPr>
        <w:t xml:space="preserve">Methodology: </w:t>
      </w:r>
      <w:r>
        <w:rPr>
          <w:rFonts w:ascii="Times New Roman" w:hAnsi="Times New Roman"/>
          <w:i w:val="0"/>
          <w:color w:val="2D3748"/>
          <w:sz w:val="24"/>
        </w:rPr>
        <w:t>Systematic review across scientific databases and commercial app stores evaluating app features, target populations, and evidence bases.</w:t>
      </w:r>
    </w:p>
    <w:p>
      <w:pPr>
        <w:spacing w:line="360" w:lineRule="auto" w:after="40"/>
        <w:jc w:val="both"/>
      </w:pPr>
      <w:r>
        <w:rPr>
          <w:rFonts w:ascii="Times New Roman" w:hAnsi="Times New Roman"/>
          <w:b/>
          <w:color w:val="1A202C"/>
          <w:sz w:val="24"/>
        </w:rPr>
        <w:t xml:space="preserve">Key Findings: </w:t>
      </w:r>
      <w:r>
        <w:rPr>
          <w:rFonts w:ascii="Times New Roman" w:hAnsi="Times New Roman"/>
          <w:i w:val="0"/>
          <w:color w:val="2D3748"/>
          <w:sz w:val="24"/>
        </w:rPr>
        <w:t>Most available mental health applications targeted adults or older adolescents; very few were specifically developed for preadolescents. Additionally, many apps lacked clear clinical safety mechanisms or verified emergency referrals.</w:t>
      </w:r>
    </w:p>
    <w:p>
      <w:pPr>
        <w:spacing w:line="360" w:lineRule="auto" w:after="40"/>
        <w:jc w:val="both"/>
      </w:pPr>
      <w:r>
        <w:rPr>
          <w:rFonts w:ascii="Times New Roman" w:hAnsi="Times New Roman"/>
          <w:b/>
          <w:color w:val="1A202C"/>
          <w:sz w:val="24"/>
        </w:rPr>
        <w:t xml:space="preserve">Limitations: </w:t>
      </w:r>
      <w:r>
        <w:rPr>
          <w:rFonts w:ascii="Times New Roman" w:hAnsi="Times New Roman"/>
          <w:i w:val="0"/>
          <w:color w:val="2D3748"/>
          <w:sz w:val="24"/>
        </w:rPr>
        <w:t>Rapid turnover of commercial app store offerings limited long-term follow-up.</w:t>
      </w:r>
    </w:p>
    <w:p>
      <w:pPr>
        <w:spacing w:line="360" w:lineRule="auto" w:after="120"/>
        <w:jc w:val="both"/>
      </w:pPr>
      <w:r>
        <w:rPr>
          <w:rFonts w:ascii="Times New Roman" w:hAnsi="Times New Roman"/>
          <w:b/>
          <w:color w:val="1A202C"/>
          <w:sz w:val="24"/>
        </w:rPr>
        <w:t xml:space="preserve">Relevance: </w:t>
      </w:r>
      <w:r>
        <w:rPr>
          <w:rFonts w:ascii="Times New Roman" w:hAnsi="Times New Roman"/>
          <w:i w:val="0"/>
          <w:color w:val="2D3748"/>
          <w:sz w:val="24"/>
        </w:rPr>
        <w:t>Highlights the specific preadolescent gap and emphasizes the requirement for integrated, verified crisis referral pathways.</w:t>
      </w:r>
    </w:p>
    <w:p>
      <w:pPr>
        <w:keepNext/>
        <w:spacing w:before="160" w:after="40"/>
      </w:pPr>
      <w:r>
        <w:rPr>
          <w:rFonts w:ascii="Times New Roman" w:hAnsi="Times New Roman"/>
          <w:b/>
          <w:color w:val="2D3748"/>
          <w:sz w:val="24"/>
        </w:rPr>
        <w:t>5. Scoping Review of Machine Learning in Mental Health (Shatte et al., 2019)</w:t>
      </w:r>
    </w:p>
    <w:p>
      <w:pPr>
        <w:spacing w:line="360" w:lineRule="auto" w:after="40"/>
        <w:jc w:val="both"/>
      </w:pPr>
      <w:r>
        <w:rPr>
          <w:rFonts w:ascii="Times New Roman" w:hAnsi="Times New Roman"/>
          <w:b/>
          <w:color w:val="1A202C"/>
          <w:sz w:val="24"/>
        </w:rPr>
        <w:t xml:space="preserve">Citation: </w:t>
      </w:r>
      <w:r>
        <w:rPr>
          <w:rFonts w:ascii="Times New Roman" w:hAnsi="Times New Roman"/>
          <w:i w:val="0"/>
          <w:color w:val="2D3748"/>
          <w:sz w:val="24"/>
        </w:rPr>
        <w:t>A. B. Shatte, D. M. Hutchinson, and S. J. Teague, 'Machine learning in mental health: a scoping review of methods and applications,' Comput. Methods Programs Biomed., vol. 175, pp. 219–224, 2019.</w:t>
      </w:r>
    </w:p>
    <w:p>
      <w:pPr>
        <w:spacing w:line="360" w:lineRule="auto" w:after="40"/>
        <w:jc w:val="both"/>
      </w:pPr>
      <w:r>
        <w:rPr>
          <w:rFonts w:ascii="Times New Roman" w:hAnsi="Times New Roman"/>
          <w:b/>
          <w:color w:val="1A202C"/>
          <w:sz w:val="24"/>
        </w:rPr>
        <w:t xml:space="preserve">Methodology: </w:t>
      </w:r>
      <w:r>
        <w:rPr>
          <w:rFonts w:ascii="Times New Roman" w:hAnsi="Times New Roman"/>
          <w:i w:val="0"/>
          <w:color w:val="2D3748"/>
          <w:sz w:val="24"/>
        </w:rPr>
        <w:t>Scoping review of 300 peer-reviewed articles evaluating algorithm types, data modalities, and validation standards.</w:t>
      </w:r>
    </w:p>
    <w:p>
      <w:pPr>
        <w:spacing w:line="360" w:lineRule="auto" w:after="40"/>
        <w:jc w:val="both"/>
      </w:pPr>
      <w:r>
        <w:rPr>
          <w:rFonts w:ascii="Times New Roman" w:hAnsi="Times New Roman"/>
          <w:b/>
          <w:color w:val="1A202C"/>
          <w:sz w:val="24"/>
        </w:rPr>
        <w:t xml:space="preserve">Key Findings: </w:t>
      </w:r>
      <w:r>
        <w:rPr>
          <w:rFonts w:ascii="Times New Roman" w:hAnsi="Times New Roman"/>
          <w:i w:val="0"/>
          <w:color w:val="2D3748"/>
          <w:sz w:val="24"/>
        </w:rPr>
        <w:t>Supervised classification algorithms (such as Random Forests, Support Vector Machines, and Logistic Regression) are frequently used across mental health datasets. The study underscored the critical need for rigorous cross-validation to mitigate overfitting risks.</w:t>
      </w:r>
    </w:p>
    <w:p>
      <w:pPr>
        <w:spacing w:line="360" w:lineRule="auto" w:after="40"/>
        <w:jc w:val="both"/>
      </w:pPr>
      <w:r>
        <w:rPr>
          <w:rFonts w:ascii="Times New Roman" w:hAnsi="Times New Roman"/>
          <w:b/>
          <w:color w:val="1A202C"/>
          <w:sz w:val="24"/>
        </w:rPr>
        <w:t xml:space="preserve">Limitations: </w:t>
      </w:r>
      <w:r>
        <w:rPr>
          <w:rFonts w:ascii="Times New Roman" w:hAnsi="Times New Roman"/>
          <w:i w:val="0"/>
          <w:color w:val="2D3748"/>
          <w:sz w:val="24"/>
        </w:rPr>
        <w:t>Noted a predominance of adult cohorts and tabular survey samples.</w:t>
      </w:r>
    </w:p>
    <w:p>
      <w:pPr>
        <w:spacing w:line="360" w:lineRule="auto" w:after="120"/>
        <w:jc w:val="both"/>
      </w:pPr>
      <w:r>
        <w:rPr>
          <w:rFonts w:ascii="Times New Roman" w:hAnsi="Times New Roman"/>
          <w:b/>
          <w:color w:val="1A202C"/>
          <w:sz w:val="24"/>
        </w:rPr>
        <w:t xml:space="preserve">Relevance: </w:t>
      </w:r>
      <w:r>
        <w:rPr>
          <w:rFonts w:ascii="Times New Roman" w:hAnsi="Times New Roman"/>
          <w:i w:val="0"/>
          <w:color w:val="2D3748"/>
          <w:sz w:val="24"/>
        </w:rPr>
        <w:t>Informs the selection of supervised classification models for risk estimation while reinforcing the necessity of strict validation protocols in Phase 2.</w:t>
      </w:r>
    </w:p>
    <w:p>
      <w:pPr>
        <w:keepNext/>
        <w:spacing w:before="160" w:after="40"/>
      </w:pPr>
      <w:r>
        <w:rPr>
          <w:rFonts w:ascii="Times New Roman" w:hAnsi="Times New Roman"/>
          <w:b/>
          <w:color w:val="2D3748"/>
          <w:sz w:val="24"/>
        </w:rPr>
        <w:t>6. Predictor Identification Using Machine Learning in Youth (Burke et al., 2019)</w:t>
      </w:r>
    </w:p>
    <w:p>
      <w:pPr>
        <w:spacing w:line="360" w:lineRule="auto" w:after="40"/>
        <w:jc w:val="both"/>
      </w:pPr>
      <w:r>
        <w:rPr>
          <w:rFonts w:ascii="Times New Roman" w:hAnsi="Times New Roman"/>
          <w:b/>
          <w:color w:val="1A202C"/>
          <w:sz w:val="24"/>
        </w:rPr>
        <w:t xml:space="preserve">Citation: </w:t>
      </w:r>
      <w:r>
        <w:rPr>
          <w:rFonts w:ascii="Times New Roman" w:hAnsi="Times New Roman"/>
          <w:i w:val="0"/>
          <w:color w:val="2D3748"/>
          <w:sz w:val="24"/>
        </w:rPr>
        <w:t>T. A. Burke et al., 'Identifying the Most Important Predictors of Non-Suicidal Self-Injury in Adolescents: Using Machine Learning,' J. Consult. Clin. Psychol., vol. 87, no. 11, pp. 978–992, 2019.</w:t>
      </w:r>
    </w:p>
    <w:p>
      <w:pPr>
        <w:spacing w:line="360" w:lineRule="auto" w:after="40"/>
        <w:jc w:val="both"/>
      </w:pPr>
      <w:r>
        <w:rPr>
          <w:rFonts w:ascii="Times New Roman" w:hAnsi="Times New Roman"/>
          <w:b/>
          <w:color w:val="1A202C"/>
          <w:sz w:val="24"/>
        </w:rPr>
        <w:t xml:space="preserve">Methodology: </w:t>
      </w:r>
      <w:r>
        <w:rPr>
          <w:rFonts w:ascii="Times New Roman" w:hAnsi="Times New Roman"/>
          <w:i w:val="0"/>
          <w:color w:val="2D3748"/>
          <w:sz w:val="24"/>
        </w:rPr>
        <w:t>Machine learning modeling (including Random Forests and Elastic Net Regularization) on multidimensional behavioral inventories in a cohort of 496 adolescents.</w:t>
      </w:r>
    </w:p>
    <w:p>
      <w:pPr>
        <w:spacing w:line="360" w:lineRule="auto" w:after="40"/>
        <w:jc w:val="both"/>
      </w:pPr>
      <w:r>
        <w:rPr>
          <w:rFonts w:ascii="Times New Roman" w:hAnsi="Times New Roman"/>
          <w:b/>
          <w:color w:val="1A202C"/>
          <w:sz w:val="24"/>
        </w:rPr>
        <w:t xml:space="preserve">Key Findings: </w:t>
      </w:r>
      <w:r>
        <w:rPr>
          <w:rFonts w:ascii="Times New Roman" w:hAnsi="Times New Roman"/>
          <w:i w:val="0"/>
          <w:color w:val="2D3748"/>
          <w:sz w:val="24"/>
        </w:rPr>
        <w:t>Multi-variable modeling identified interactions between sleep disruptions, negative affect, and interpersonal stress, demonstrating the value of multi-factorial feature sets.</w:t>
      </w:r>
    </w:p>
    <w:p>
      <w:pPr>
        <w:spacing w:line="360" w:lineRule="auto" w:after="40"/>
        <w:jc w:val="both"/>
      </w:pPr>
      <w:r>
        <w:rPr>
          <w:rFonts w:ascii="Times New Roman" w:hAnsi="Times New Roman"/>
          <w:b/>
          <w:color w:val="1A202C"/>
          <w:sz w:val="24"/>
        </w:rPr>
        <w:t xml:space="preserve">Limitations: </w:t>
      </w:r>
      <w:r>
        <w:rPr>
          <w:rFonts w:ascii="Times New Roman" w:hAnsi="Times New Roman"/>
          <w:i w:val="0"/>
          <w:color w:val="2D3748"/>
          <w:sz w:val="24"/>
        </w:rPr>
        <w:t>Focused on a high-risk clinical adolescent sample rather than general school-level surveillance.</w:t>
      </w:r>
    </w:p>
    <w:p>
      <w:pPr>
        <w:spacing w:line="360" w:lineRule="auto" w:after="120"/>
        <w:jc w:val="both"/>
      </w:pPr>
      <w:r>
        <w:rPr>
          <w:rFonts w:ascii="Times New Roman" w:hAnsi="Times New Roman"/>
          <w:b/>
          <w:color w:val="1A202C"/>
          <w:sz w:val="24"/>
        </w:rPr>
        <w:t xml:space="preserve">Relevance: </w:t>
      </w:r>
      <w:r>
        <w:rPr>
          <w:rFonts w:ascii="Times New Roman" w:hAnsi="Times New Roman"/>
          <w:i w:val="0"/>
          <w:color w:val="2D3748"/>
          <w:sz w:val="24"/>
        </w:rPr>
        <w:t>Supports the methodological choice of combining sleep, mood, and social variables into unified feature vectors.</w:t>
      </w:r>
    </w:p>
    <w:p>
      <w:pPr>
        <w:keepNext/>
        <w:spacing w:before="160" w:after="40"/>
      </w:pPr>
      <w:r>
        <w:rPr>
          <w:rFonts w:ascii="Times New Roman" w:hAnsi="Times New Roman"/>
          <w:b/>
          <w:color w:val="2D3748"/>
          <w:sz w:val="24"/>
        </w:rPr>
        <w:t>7. Systematic Review of NLP and ML in Mental Health (Le Glaz et al., 2021)</w:t>
      </w:r>
    </w:p>
    <w:p>
      <w:pPr>
        <w:spacing w:line="360" w:lineRule="auto" w:after="40"/>
        <w:jc w:val="both"/>
      </w:pPr>
      <w:r>
        <w:rPr>
          <w:rFonts w:ascii="Times New Roman" w:hAnsi="Times New Roman"/>
          <w:b/>
          <w:color w:val="1A202C"/>
          <w:sz w:val="24"/>
        </w:rPr>
        <w:t xml:space="preserve">Citation: </w:t>
      </w:r>
      <w:r>
        <w:rPr>
          <w:rFonts w:ascii="Times New Roman" w:hAnsi="Times New Roman"/>
          <w:i w:val="0"/>
          <w:color w:val="2D3748"/>
          <w:sz w:val="24"/>
        </w:rPr>
        <w:t>A. Le Glaz et al., 'Machine Learning and Natural Language Processing in Mental Health: Systematic Review,' J. Med. Internet Res., vol. 23, no. 5, p. e15708, 2021.</w:t>
      </w:r>
    </w:p>
    <w:p>
      <w:pPr>
        <w:spacing w:line="360" w:lineRule="auto" w:after="40"/>
        <w:jc w:val="both"/>
      </w:pPr>
      <w:r>
        <w:rPr>
          <w:rFonts w:ascii="Times New Roman" w:hAnsi="Times New Roman"/>
          <w:b/>
          <w:color w:val="1A202C"/>
          <w:sz w:val="24"/>
        </w:rPr>
        <w:t xml:space="preserve">Methodology: </w:t>
      </w:r>
      <w:r>
        <w:rPr>
          <w:rFonts w:ascii="Times New Roman" w:hAnsi="Times New Roman"/>
          <w:i w:val="0"/>
          <w:color w:val="2D3748"/>
          <w:sz w:val="24"/>
        </w:rPr>
        <w:t>Systematic review of 199 studies indexed across PubMed, IEEE Xplore, and ACM Digital Library.</w:t>
      </w:r>
    </w:p>
    <w:p>
      <w:pPr>
        <w:spacing w:line="360" w:lineRule="auto" w:after="40"/>
        <w:jc w:val="both"/>
      </w:pPr>
      <w:r>
        <w:rPr>
          <w:rFonts w:ascii="Times New Roman" w:hAnsi="Times New Roman"/>
          <w:b/>
          <w:color w:val="1A202C"/>
          <w:sz w:val="24"/>
        </w:rPr>
        <w:t xml:space="preserve">Key Findings: </w:t>
      </w:r>
      <w:r>
        <w:rPr>
          <w:rFonts w:ascii="Times New Roman" w:hAnsi="Times New Roman"/>
          <w:i w:val="0"/>
          <w:color w:val="2D3748"/>
          <w:sz w:val="24"/>
        </w:rPr>
        <w:t>NLP methods reliably extract affective sentiment, valence, and psychological markers from unstructured text. The authors noted that NLP provides subjective context but is most effective when integrated with structured behavioral data.</w:t>
      </w:r>
    </w:p>
    <w:p>
      <w:pPr>
        <w:spacing w:line="360" w:lineRule="auto" w:after="40"/>
        <w:jc w:val="both"/>
      </w:pPr>
      <w:r>
        <w:rPr>
          <w:rFonts w:ascii="Times New Roman" w:hAnsi="Times New Roman"/>
          <w:b/>
          <w:color w:val="1A202C"/>
          <w:sz w:val="24"/>
        </w:rPr>
        <w:t xml:space="preserve">Limitations: </w:t>
      </w:r>
      <w:r>
        <w:rPr>
          <w:rFonts w:ascii="Times New Roman" w:hAnsi="Times New Roman"/>
          <w:i w:val="0"/>
          <w:color w:val="2D3748"/>
          <w:sz w:val="24"/>
        </w:rPr>
        <w:t>High complexity of deep-learning NLP models can hinder interpretability in health applications.</w:t>
      </w:r>
    </w:p>
    <w:p>
      <w:pPr>
        <w:spacing w:line="360" w:lineRule="auto" w:after="120"/>
        <w:jc w:val="both"/>
      </w:pPr>
      <w:r>
        <w:rPr>
          <w:rFonts w:ascii="Times New Roman" w:hAnsi="Times New Roman"/>
          <w:b/>
          <w:color w:val="1A202C"/>
          <w:sz w:val="24"/>
        </w:rPr>
        <w:t xml:space="preserve">Relevance: </w:t>
      </w:r>
      <w:r>
        <w:rPr>
          <w:rFonts w:ascii="Times New Roman" w:hAnsi="Times New Roman"/>
          <w:i w:val="0"/>
          <w:color w:val="2D3748"/>
          <w:sz w:val="24"/>
        </w:rPr>
        <w:t>Justifies the use of interpretable, lightweight sentiment analysis for optional journal reflections alongside structured inputs.</w:t>
      </w:r>
    </w:p>
    <w:p>
      <w:pPr>
        <w:keepNext/>
        <w:spacing w:before="160" w:after="40"/>
      </w:pPr>
      <w:r>
        <w:rPr>
          <w:rFonts w:ascii="Times New Roman" w:hAnsi="Times New Roman"/>
          <w:b/>
          <w:color w:val="2D3748"/>
          <w:sz w:val="24"/>
        </w:rPr>
        <w:t>8. Lexicon and Rule-Based Sentiment Analysis (Hutto &amp; Gilbert, 2014)</w:t>
      </w:r>
    </w:p>
    <w:p>
      <w:pPr>
        <w:spacing w:line="360" w:lineRule="auto" w:after="40"/>
        <w:jc w:val="both"/>
      </w:pPr>
      <w:r>
        <w:rPr>
          <w:rFonts w:ascii="Times New Roman" w:hAnsi="Times New Roman"/>
          <w:b/>
          <w:color w:val="1A202C"/>
          <w:sz w:val="24"/>
        </w:rPr>
        <w:t xml:space="preserve">Citation: </w:t>
      </w:r>
      <w:r>
        <w:rPr>
          <w:rFonts w:ascii="Times New Roman" w:hAnsi="Times New Roman"/>
          <w:i w:val="0"/>
          <w:color w:val="2D3748"/>
          <w:sz w:val="24"/>
        </w:rPr>
        <w:t>C. J. Hutto and E. Gilbert, 'VADER: A Parsimonious Rule-based Model for Sentiment Analysis of Social Media Text,' Proc. 8th Int. AAAI Conf. Weblogs Soc. Media, pp. 216–225, 2014.</w:t>
      </w:r>
    </w:p>
    <w:p>
      <w:pPr>
        <w:spacing w:line="360" w:lineRule="auto" w:after="40"/>
        <w:jc w:val="both"/>
      </w:pPr>
      <w:r>
        <w:rPr>
          <w:rFonts w:ascii="Times New Roman" w:hAnsi="Times New Roman"/>
          <w:b/>
          <w:color w:val="1A202C"/>
          <w:sz w:val="24"/>
        </w:rPr>
        <w:t xml:space="preserve">Methodology: </w:t>
      </w:r>
      <w:r>
        <w:rPr>
          <w:rFonts w:ascii="Times New Roman" w:hAnsi="Times New Roman"/>
          <w:i w:val="0"/>
          <w:color w:val="2D3748"/>
          <w:sz w:val="24"/>
        </w:rPr>
        <w:t>Developed a gold-standard sentiment lexicon combining human ratings with grammatical and syntactical heuristics (negations, intensifiers, punctuation).</w:t>
      </w:r>
    </w:p>
    <w:p>
      <w:pPr>
        <w:spacing w:line="360" w:lineRule="auto" w:after="40"/>
        <w:jc w:val="both"/>
      </w:pPr>
      <w:r>
        <w:rPr>
          <w:rFonts w:ascii="Times New Roman" w:hAnsi="Times New Roman"/>
          <w:b/>
          <w:color w:val="1A202C"/>
          <w:sz w:val="24"/>
        </w:rPr>
        <w:t xml:space="preserve">Key Findings: </w:t>
      </w:r>
      <w:r>
        <w:rPr>
          <w:rFonts w:ascii="Times New Roman" w:hAnsi="Times New Roman"/>
          <w:i w:val="0"/>
          <w:color w:val="2D3748"/>
          <w:sz w:val="24"/>
        </w:rPr>
        <w:t>The rule-based approach achieved strong classification performance on informal short texts while operating with low computational overhead and full interpretability.</w:t>
      </w:r>
    </w:p>
    <w:p>
      <w:pPr>
        <w:spacing w:line="360" w:lineRule="auto" w:after="40"/>
        <w:jc w:val="both"/>
      </w:pPr>
      <w:r>
        <w:rPr>
          <w:rFonts w:ascii="Times New Roman" w:hAnsi="Times New Roman"/>
          <w:b/>
          <w:color w:val="1A202C"/>
          <w:sz w:val="24"/>
        </w:rPr>
        <w:t xml:space="preserve">Limitations: </w:t>
      </w:r>
      <w:r>
        <w:rPr>
          <w:rFonts w:ascii="Times New Roman" w:hAnsi="Times New Roman"/>
          <w:i w:val="0"/>
          <w:color w:val="2D3748"/>
          <w:sz w:val="24"/>
        </w:rPr>
        <w:t>Evaluates linguistic sentiment polarity, not psychiatric distress or clinical affect.</w:t>
      </w:r>
    </w:p>
    <w:p>
      <w:pPr>
        <w:spacing w:line="360" w:lineRule="auto" w:after="120"/>
        <w:jc w:val="both"/>
      </w:pPr>
      <w:r>
        <w:rPr>
          <w:rFonts w:ascii="Times New Roman" w:hAnsi="Times New Roman"/>
          <w:b/>
          <w:color w:val="1A202C"/>
          <w:sz w:val="24"/>
        </w:rPr>
        <w:t xml:space="preserve">Relevance: </w:t>
      </w:r>
      <w:r>
        <w:rPr>
          <w:rFonts w:ascii="Times New Roman" w:hAnsi="Times New Roman"/>
          <w:i w:val="0"/>
          <w:color w:val="2D3748"/>
          <w:sz w:val="24"/>
        </w:rPr>
        <w:t>Provides a lightweight, privacy-preserving method for computing emotional valence scores on-device without remote data transmission.</w:t>
      </w:r>
    </w:p>
    <w:p>
      <w:pPr>
        <w:keepNext/>
        <w:spacing w:before="160" w:after="40"/>
      </w:pPr>
      <w:r>
        <w:rPr>
          <w:rFonts w:ascii="Times New Roman" w:hAnsi="Times New Roman"/>
          <w:b/>
          <w:color w:val="2D3748"/>
          <w:sz w:val="24"/>
        </w:rPr>
        <w:t>9. Pediatric Symptom Checklist - PSC-17 (Gardner et al., 1999)</w:t>
      </w:r>
    </w:p>
    <w:p>
      <w:pPr>
        <w:spacing w:line="360" w:lineRule="auto" w:after="40"/>
        <w:jc w:val="both"/>
      </w:pPr>
      <w:r>
        <w:rPr>
          <w:rFonts w:ascii="Times New Roman" w:hAnsi="Times New Roman"/>
          <w:b/>
          <w:color w:val="1A202C"/>
          <w:sz w:val="24"/>
        </w:rPr>
        <w:t xml:space="preserve">Citation: </w:t>
      </w:r>
      <w:r>
        <w:rPr>
          <w:rFonts w:ascii="Times New Roman" w:hAnsi="Times New Roman"/>
          <w:i w:val="0"/>
          <w:color w:val="2D3748"/>
          <w:sz w:val="24"/>
        </w:rPr>
        <w:t>W. Gardner et al., 'The PSC-17: a brief pediatric symptom checklist with psychosocial subscales,' Ambul. Child Health, vol. 5, no. 3, pp. 225–236, 1999.</w:t>
      </w:r>
    </w:p>
    <w:p>
      <w:pPr>
        <w:spacing w:line="360" w:lineRule="auto" w:after="40"/>
        <w:jc w:val="both"/>
      </w:pPr>
      <w:r>
        <w:rPr>
          <w:rFonts w:ascii="Times New Roman" w:hAnsi="Times New Roman"/>
          <w:b/>
          <w:color w:val="1A202C"/>
          <w:sz w:val="24"/>
        </w:rPr>
        <w:t xml:space="preserve">Methodology: </w:t>
      </w:r>
      <w:r>
        <w:rPr>
          <w:rFonts w:ascii="Times New Roman" w:hAnsi="Times New Roman"/>
          <w:i w:val="0"/>
          <w:color w:val="2D3748"/>
          <w:sz w:val="24"/>
        </w:rPr>
        <w:t>Psychometric evaluation and factor analysis across 21,065 pediatric cases aged 4–15 years in primary care settings.</w:t>
      </w:r>
    </w:p>
    <w:p>
      <w:pPr>
        <w:spacing w:line="360" w:lineRule="auto" w:after="40"/>
        <w:jc w:val="both"/>
      </w:pPr>
      <w:r>
        <w:rPr>
          <w:rFonts w:ascii="Times New Roman" w:hAnsi="Times New Roman"/>
          <w:b/>
          <w:color w:val="1A202C"/>
          <w:sz w:val="24"/>
        </w:rPr>
        <w:t xml:space="preserve">Key Findings: </w:t>
      </w:r>
      <w:r>
        <w:rPr>
          <w:rFonts w:ascii="Times New Roman" w:hAnsi="Times New Roman"/>
          <w:i w:val="0"/>
          <w:color w:val="2D3748"/>
          <w:sz w:val="24"/>
        </w:rPr>
        <w:t>Validated a three-factor subscale structure (internalizing, externalizing, attention) that effectively identifies psychosocial impairment.</w:t>
      </w:r>
    </w:p>
    <w:p>
      <w:pPr>
        <w:spacing w:line="360" w:lineRule="auto" w:after="40"/>
        <w:jc w:val="both"/>
      </w:pPr>
      <w:r>
        <w:rPr>
          <w:rFonts w:ascii="Times New Roman" w:hAnsi="Times New Roman"/>
          <w:b/>
          <w:color w:val="1A202C"/>
          <w:sz w:val="24"/>
        </w:rPr>
        <w:t xml:space="preserve">Limitations: </w:t>
      </w:r>
      <w:r>
        <w:rPr>
          <w:rFonts w:ascii="Times New Roman" w:hAnsi="Times New Roman"/>
          <w:i w:val="0"/>
          <w:color w:val="2D3748"/>
          <w:sz w:val="24"/>
        </w:rPr>
        <w:t>Designed as a parent/clinician completed paper screener rather than an interactive child self-report tool.</w:t>
      </w:r>
    </w:p>
    <w:p>
      <w:pPr>
        <w:spacing w:line="360" w:lineRule="auto" w:after="120"/>
        <w:jc w:val="both"/>
      </w:pPr>
      <w:r>
        <w:rPr>
          <w:rFonts w:ascii="Times New Roman" w:hAnsi="Times New Roman"/>
          <w:b/>
          <w:color w:val="1A202C"/>
          <w:sz w:val="24"/>
        </w:rPr>
        <w:t xml:space="preserve">Relevance: </w:t>
      </w:r>
      <w:r>
        <w:rPr>
          <w:rFonts w:ascii="Times New Roman" w:hAnsi="Times New Roman"/>
          <w:i w:val="0"/>
          <w:color w:val="2D3748"/>
          <w:sz w:val="24"/>
        </w:rPr>
        <w:t>Informs the selection of behavioral domains (internalizing emotions, attention, lifestyle) used to structure non-clinical assessment questions.</w:t>
      </w:r>
    </w:p>
    <w:p>
      <w:pPr>
        <w:keepNext/>
        <w:spacing w:before="160" w:after="40"/>
      </w:pPr>
      <w:r>
        <w:rPr>
          <w:rFonts w:ascii="Times New Roman" w:hAnsi="Times New Roman"/>
          <w:b/>
          <w:color w:val="2D3748"/>
          <w:sz w:val="24"/>
        </w:rPr>
        <w:t>10. Privacy and Security in Digital Mental Health (Schueller et al., 2019)</w:t>
      </w:r>
    </w:p>
    <w:p>
      <w:pPr>
        <w:spacing w:line="360" w:lineRule="auto" w:after="40"/>
        <w:jc w:val="both"/>
      </w:pPr>
      <w:r>
        <w:rPr>
          <w:rFonts w:ascii="Times New Roman" w:hAnsi="Times New Roman"/>
          <w:b/>
          <w:color w:val="1A202C"/>
          <w:sz w:val="24"/>
        </w:rPr>
        <w:t xml:space="preserve">Citation: </w:t>
      </w:r>
      <w:r>
        <w:rPr>
          <w:rFonts w:ascii="Times New Roman" w:hAnsi="Times New Roman"/>
          <w:i w:val="0"/>
          <w:color w:val="2D3748"/>
          <w:sz w:val="24"/>
        </w:rPr>
        <w:t>S. M. Schueller, C. M. Armstrong, and M. Neary, 'Privacy and Security in Digital Mental Health,' in Digital Mental Health, Springer, 2019, pp. 77–94.</w:t>
      </w:r>
    </w:p>
    <w:p>
      <w:pPr>
        <w:spacing w:line="360" w:lineRule="auto" w:after="40"/>
        <w:jc w:val="both"/>
      </w:pPr>
      <w:r>
        <w:rPr>
          <w:rFonts w:ascii="Times New Roman" w:hAnsi="Times New Roman"/>
          <w:b/>
          <w:color w:val="1A202C"/>
          <w:sz w:val="24"/>
        </w:rPr>
        <w:t xml:space="preserve">Methodology: </w:t>
      </w:r>
      <w:r>
        <w:rPr>
          <w:rFonts w:ascii="Times New Roman" w:hAnsi="Times New Roman"/>
          <w:i w:val="0"/>
          <w:color w:val="2D3748"/>
          <w:sz w:val="24"/>
        </w:rPr>
        <w:t>Critical review of regulatory standards, consent workflows, and privacy implementations across digital health applications.</w:t>
      </w:r>
    </w:p>
    <w:p>
      <w:pPr>
        <w:spacing w:line="360" w:lineRule="auto" w:after="40"/>
        <w:jc w:val="both"/>
      </w:pPr>
      <w:r>
        <w:rPr>
          <w:rFonts w:ascii="Times New Roman" w:hAnsi="Times New Roman"/>
          <w:b/>
          <w:color w:val="1A202C"/>
          <w:sz w:val="24"/>
        </w:rPr>
        <w:t xml:space="preserve">Key Findings: </w:t>
      </w:r>
      <w:r>
        <w:rPr>
          <w:rFonts w:ascii="Times New Roman" w:hAnsi="Times New Roman"/>
          <w:i w:val="0"/>
          <w:color w:val="2D3748"/>
          <w:sz w:val="24"/>
        </w:rPr>
        <w:t>Emphasized the critical importance of transparent consent, data minimization, secure local handling of sensitive reflections, and clear non-diagnostic boundaries when developing health tools.</w:t>
      </w:r>
    </w:p>
    <w:p>
      <w:pPr>
        <w:spacing w:line="360" w:lineRule="auto" w:after="40"/>
        <w:jc w:val="both"/>
      </w:pPr>
      <w:r>
        <w:rPr>
          <w:rFonts w:ascii="Times New Roman" w:hAnsi="Times New Roman"/>
          <w:b/>
          <w:color w:val="1A202C"/>
          <w:sz w:val="24"/>
        </w:rPr>
        <w:t xml:space="preserve">Limitations: </w:t>
      </w:r>
      <w:r>
        <w:rPr>
          <w:rFonts w:ascii="Times New Roman" w:hAnsi="Times New Roman"/>
          <w:i w:val="0"/>
          <w:color w:val="2D3748"/>
          <w:sz w:val="24"/>
        </w:rPr>
        <w:t>Provides policy and design recommendations rather than software implementation source code.</w:t>
      </w:r>
    </w:p>
    <w:p>
      <w:pPr>
        <w:spacing w:line="360" w:lineRule="auto" w:after="120"/>
        <w:jc w:val="both"/>
      </w:pPr>
      <w:r>
        <w:rPr>
          <w:rFonts w:ascii="Times New Roman" w:hAnsi="Times New Roman"/>
          <w:b/>
          <w:color w:val="1A202C"/>
          <w:sz w:val="24"/>
        </w:rPr>
        <w:t xml:space="preserve">Relevance: </w:t>
      </w:r>
      <w:r>
        <w:rPr>
          <w:rFonts w:ascii="Times New Roman" w:hAnsi="Times New Roman"/>
          <w:i w:val="0"/>
          <w:color w:val="2D3748"/>
          <w:sz w:val="24"/>
        </w:rPr>
        <w:t>Directly guides the ethical, security, and consent architecture of the proposed platform.</w:t>
      </w:r>
    </w:p>
    <w:p>
      <w:pPr>
        <w:keepNext/>
        <w:spacing w:before="240" w:after="80"/>
      </w:pPr>
      <w:r>
        <w:rPr>
          <w:rFonts w:ascii="Times New Roman" w:hAnsi="Times New Roman"/>
          <w:b/>
          <w:color w:val="2B6CB0"/>
          <w:sz w:val="28"/>
        </w:rPr>
        <w:t>1.3 Comparative Analysis Matrix</w:t>
      </w:r>
    </w:p>
    <w:p>
      <w:pPr>
        <w:spacing w:line="360" w:lineRule="auto" w:after="120"/>
        <w:jc w:val="both"/>
      </w:pPr>
      <w:r>
        <w:rPr>
          <w:rFonts w:ascii="Times New Roman" w:hAnsi="Times New Roman"/>
          <w:i w:val="0"/>
          <w:color w:val="2D3748"/>
          <w:sz w:val="24"/>
        </w:rPr>
        <w:t>Table 1 synthesizes the reviewed literature, highlighting target cohorts, primary technologies, and identified limitations across existing studies.</w:t>
      </w:r>
    </w:p>
    <w:tbl>
      <w:tblPr>
        <w:tblW w:type="auto" w:w="0"/>
        <w:jc w:val="center"/>
        <w:tblLayout w:type="fixed"/>
        <w:tblLook w:firstColumn="1" w:firstRow="1" w:lastColumn="0" w:lastRow="0" w:noHBand="0" w:noVBand="1" w:val="04A0"/>
        <w:tblBorders>
          <w:top w:val="single" w:sz="4" w:space="0" w:color="D2D6DC"/>
          <w:bottom w:val="single" w:sz="4" w:space="0" w:color="D2D6DC"/>
          <w:insideH w:val="single" w:sz="4" w:space="0" w:color="D2D6DC"/>
          <w:insideV w:val="single" w:sz="4" w:space="0" w:color="D2D6DC"/>
          <w:left w:val="none"/>
          <w:right w:val="none"/>
        </w:tblBorders>
      </w:tblPr>
      <w:tblGrid>
        <w:gridCol w:w="1805"/>
        <w:gridCol w:w="1805"/>
        <w:gridCol w:w="1805"/>
        <w:gridCol w:w="1805"/>
        <w:gridCol w:w="1805"/>
      </w:tblGrid>
      <w:tr>
        <w:tc>
          <w:tcPr>
            <w:tcW w:type="dxa" w:w="1728"/>
            <w:shd w:fill="1A365D"/>
            <w:tcMar>
              <w:top w:w="80" w:type="dxa"/>
              <w:bottom w:w="80" w:type="dxa"/>
              <w:left w:w="100" w:type="dxa"/>
              <w:right w:w="100" w:type="dxa"/>
            </w:tcMar>
          </w:tcPr>
          <w:p>
            <w:pPr>
              <w:jc w:val="center"/>
            </w:pPr>
            <w:r>
              <w:rPr>
                <w:rFonts w:ascii="Times New Roman" w:hAnsi="Times New Roman"/>
                <w:b/>
                <w:color w:val="FFFFFF"/>
                <w:sz w:val="19"/>
              </w:rPr>
              <w:t>Literature Source</w:t>
            </w:r>
          </w:p>
        </w:tc>
        <w:tc>
          <w:tcPr>
            <w:tcW w:type="dxa" w:w="1728"/>
            <w:shd w:fill="1A365D"/>
            <w:tcMar>
              <w:top w:w="80" w:type="dxa"/>
              <w:bottom w:w="80" w:type="dxa"/>
              <w:left w:w="100" w:type="dxa"/>
              <w:right w:w="100" w:type="dxa"/>
            </w:tcMar>
          </w:tcPr>
          <w:p>
            <w:pPr>
              <w:jc w:val="center"/>
            </w:pPr>
            <w:r>
              <w:rPr>
                <w:rFonts w:ascii="Times New Roman" w:hAnsi="Times New Roman"/>
                <w:b/>
                <w:color w:val="FFFFFF"/>
                <w:sz w:val="19"/>
              </w:rPr>
              <w:t>Focus Domain</w:t>
            </w:r>
          </w:p>
        </w:tc>
        <w:tc>
          <w:tcPr>
            <w:tcW w:type="dxa" w:w="1584"/>
            <w:shd w:fill="1A365D"/>
            <w:tcMar>
              <w:top w:w="80" w:type="dxa"/>
              <w:bottom w:w="80" w:type="dxa"/>
              <w:left w:w="100" w:type="dxa"/>
              <w:right w:w="100" w:type="dxa"/>
            </w:tcMar>
          </w:tcPr>
          <w:p>
            <w:pPr>
              <w:jc w:val="center"/>
            </w:pPr>
            <w:r>
              <w:rPr>
                <w:rFonts w:ascii="Times New Roman" w:hAnsi="Times New Roman"/>
                <w:b/>
                <w:color w:val="FFFFFF"/>
                <w:sz w:val="19"/>
              </w:rPr>
              <w:t>Target Cohort</w:t>
            </w:r>
          </w:p>
        </w:tc>
        <w:tc>
          <w:tcPr>
            <w:tcW w:type="dxa" w:w="1872"/>
            <w:shd w:fill="1A365D"/>
            <w:tcMar>
              <w:top w:w="80" w:type="dxa"/>
              <w:bottom w:w="80" w:type="dxa"/>
              <w:left w:w="100" w:type="dxa"/>
              <w:right w:w="100" w:type="dxa"/>
            </w:tcMar>
          </w:tcPr>
          <w:p>
            <w:pPr>
              <w:jc w:val="center"/>
            </w:pPr>
            <w:r>
              <w:rPr>
                <w:rFonts w:ascii="Times New Roman" w:hAnsi="Times New Roman"/>
                <w:b/>
                <w:color w:val="FFFFFF"/>
                <w:sz w:val="19"/>
              </w:rPr>
              <w:t>Primary Technology</w:t>
            </w:r>
          </w:p>
        </w:tc>
        <w:tc>
          <w:tcPr>
            <w:tcW w:type="dxa" w:w="2117"/>
            <w:shd w:fill="1A365D"/>
            <w:tcMar>
              <w:top w:w="80" w:type="dxa"/>
              <w:bottom w:w="80" w:type="dxa"/>
              <w:left w:w="100" w:type="dxa"/>
              <w:right w:w="100" w:type="dxa"/>
            </w:tcMar>
          </w:tcPr>
          <w:p>
            <w:pPr>
              <w:jc w:val="center"/>
            </w:pPr>
            <w:r>
              <w:rPr>
                <w:rFonts w:ascii="Times New Roman" w:hAnsi="Times New Roman"/>
                <w:b/>
                <w:color w:val="FFFFFF"/>
                <w:sz w:val="19"/>
              </w:rPr>
              <w:t>Identified Limitation</w:t>
            </w:r>
          </w:p>
        </w:tc>
      </w:tr>
      <w:tr>
        <w:tc>
          <w:tcPr>
            <w:tcW w:type="dxa" w:w="1728"/>
            <w:tcMar>
              <w:top w:w="60" w:type="dxa"/>
              <w:bottom w:w="60" w:type="dxa"/>
              <w:left w:w="80" w:type="dxa"/>
              <w:right w:w="80" w:type="dxa"/>
            </w:tcMar>
          </w:tcPr>
          <w:p>
            <w:pPr>
              <w:spacing w:line="276" w:lineRule="auto"/>
            </w:pPr>
            <w:r>
              <w:rPr>
                <w:rFonts w:ascii="Times New Roman" w:hAnsi="Times New Roman"/>
                <w:b/>
                <w:sz w:val="18"/>
              </w:rPr>
              <w:t>WHO (2022)</w:t>
            </w:r>
          </w:p>
        </w:tc>
        <w:tc>
          <w:tcPr>
            <w:tcW w:type="dxa" w:w="1728"/>
            <w:tcMar>
              <w:top w:w="60" w:type="dxa"/>
              <w:bottom w:w="60" w:type="dxa"/>
              <w:left w:w="80" w:type="dxa"/>
              <w:right w:w="80" w:type="dxa"/>
            </w:tcMar>
          </w:tcPr>
          <w:p>
            <w:pPr>
              <w:spacing w:line="276" w:lineRule="auto"/>
            </w:pPr>
            <w:r>
              <w:rPr>
                <w:rFonts w:ascii="Times New Roman" w:hAnsi="Times New Roman"/>
                <w:sz w:val="18"/>
              </w:rPr>
              <w:t>Global Epidemiology</w:t>
            </w:r>
          </w:p>
        </w:tc>
        <w:tc>
          <w:tcPr>
            <w:tcW w:type="dxa" w:w="1584"/>
            <w:tcMar>
              <w:top w:w="60" w:type="dxa"/>
              <w:bottom w:w="60" w:type="dxa"/>
              <w:left w:w="80" w:type="dxa"/>
              <w:right w:w="80" w:type="dxa"/>
            </w:tcMar>
          </w:tcPr>
          <w:p>
            <w:pPr>
              <w:spacing w:line="276" w:lineRule="auto"/>
            </w:pPr>
            <w:r>
              <w:rPr>
                <w:rFonts w:ascii="Times New Roman" w:hAnsi="Times New Roman"/>
                <w:sz w:val="18"/>
              </w:rPr>
              <w:t>Global Youth</w:t>
            </w:r>
          </w:p>
        </w:tc>
        <w:tc>
          <w:tcPr>
            <w:tcW w:type="dxa" w:w="1872"/>
            <w:tcMar>
              <w:top w:w="60" w:type="dxa"/>
              <w:bottom w:w="60" w:type="dxa"/>
              <w:left w:w="80" w:type="dxa"/>
              <w:right w:w="80" w:type="dxa"/>
            </w:tcMar>
          </w:tcPr>
          <w:p>
            <w:pPr>
              <w:spacing w:line="276" w:lineRule="auto"/>
            </w:pPr>
            <w:r>
              <w:rPr>
                <w:rFonts w:ascii="Times New Roman" w:hAnsi="Times New Roman"/>
                <w:sz w:val="18"/>
              </w:rPr>
              <w:t>Meta-Synthesis</w:t>
            </w:r>
          </w:p>
        </w:tc>
        <w:tc>
          <w:tcPr>
            <w:tcW w:type="dxa" w:w="2117"/>
            <w:tcMar>
              <w:top w:w="60" w:type="dxa"/>
              <w:bottom w:w="60" w:type="dxa"/>
              <w:left w:w="80" w:type="dxa"/>
              <w:right w:w="80" w:type="dxa"/>
            </w:tcMar>
          </w:tcPr>
          <w:p>
            <w:pPr>
              <w:spacing w:line="276" w:lineRule="auto"/>
            </w:pPr>
            <w:r>
              <w:rPr>
                <w:rFonts w:ascii="Times New Roman" w:hAnsi="Times New Roman"/>
                <w:sz w:val="18"/>
              </w:rPr>
              <w:t>High-level policy; lacks software architecture</w:t>
            </w:r>
          </w:p>
        </w:tc>
      </w:tr>
      <w:tr>
        <w:tc>
          <w:tcPr>
            <w:tcW w:type="dxa" w:w="1728"/>
            <w:shd w:fill="F7FAFC"/>
            <w:tcMar>
              <w:top w:w="60" w:type="dxa"/>
              <w:bottom w:w="60" w:type="dxa"/>
              <w:left w:w="80" w:type="dxa"/>
              <w:right w:w="80" w:type="dxa"/>
            </w:tcMar>
          </w:tcPr>
          <w:p>
            <w:pPr>
              <w:spacing w:line="276" w:lineRule="auto"/>
            </w:pPr>
            <w:r>
              <w:rPr>
                <w:rFonts w:ascii="Times New Roman" w:hAnsi="Times New Roman"/>
                <w:b/>
                <w:sz w:val="18"/>
              </w:rPr>
              <w:t>Bitsko et al. (2022)</w:t>
            </w:r>
          </w:p>
        </w:tc>
        <w:tc>
          <w:tcPr>
            <w:tcW w:type="dxa" w:w="1728"/>
            <w:shd w:fill="F7FAFC"/>
            <w:tcMar>
              <w:top w:w="60" w:type="dxa"/>
              <w:bottom w:w="60" w:type="dxa"/>
              <w:left w:w="80" w:type="dxa"/>
              <w:right w:w="80" w:type="dxa"/>
            </w:tcMar>
          </w:tcPr>
          <w:p>
            <w:pPr>
              <w:spacing w:line="276" w:lineRule="auto"/>
            </w:pPr>
            <w:r>
              <w:rPr>
                <w:rFonts w:ascii="Times New Roman" w:hAnsi="Times New Roman"/>
                <w:sz w:val="18"/>
              </w:rPr>
              <w:t>Public Surveillance</w:t>
            </w:r>
          </w:p>
        </w:tc>
        <w:tc>
          <w:tcPr>
            <w:tcW w:type="dxa" w:w="1584"/>
            <w:shd w:fill="F7FAFC"/>
            <w:tcMar>
              <w:top w:w="60" w:type="dxa"/>
              <w:bottom w:w="60" w:type="dxa"/>
              <w:left w:w="80" w:type="dxa"/>
              <w:right w:w="80" w:type="dxa"/>
            </w:tcMar>
          </w:tcPr>
          <w:p>
            <w:pPr>
              <w:spacing w:line="276" w:lineRule="auto"/>
            </w:pPr>
            <w:r>
              <w:rPr>
                <w:rFonts w:ascii="Times New Roman" w:hAnsi="Times New Roman"/>
                <w:sz w:val="18"/>
              </w:rPr>
              <w:t>Children (3–17 yrs)</w:t>
            </w:r>
          </w:p>
        </w:tc>
        <w:tc>
          <w:tcPr>
            <w:tcW w:type="dxa" w:w="1872"/>
            <w:shd w:fill="F7FAFC"/>
            <w:tcMar>
              <w:top w:w="60" w:type="dxa"/>
              <w:bottom w:w="60" w:type="dxa"/>
              <w:left w:w="80" w:type="dxa"/>
              <w:right w:w="80" w:type="dxa"/>
            </w:tcMar>
          </w:tcPr>
          <w:p>
            <w:pPr>
              <w:spacing w:line="276" w:lineRule="auto"/>
            </w:pPr>
            <w:r>
              <w:rPr>
                <w:rFonts w:ascii="Times New Roman" w:hAnsi="Times New Roman"/>
                <w:sz w:val="18"/>
              </w:rPr>
              <w:t>Federal Survey Data</w:t>
            </w:r>
          </w:p>
        </w:tc>
        <w:tc>
          <w:tcPr>
            <w:tcW w:type="dxa" w:w="2117"/>
            <w:shd w:fill="F7FAFC"/>
            <w:tcMar>
              <w:top w:w="60" w:type="dxa"/>
              <w:bottom w:w="60" w:type="dxa"/>
              <w:left w:w="80" w:type="dxa"/>
              <w:right w:w="80" w:type="dxa"/>
            </w:tcMar>
          </w:tcPr>
          <w:p>
            <w:pPr>
              <w:spacing w:line="276" w:lineRule="auto"/>
            </w:pPr>
            <w:r>
              <w:rPr>
                <w:rFonts w:ascii="Times New Roman" w:hAnsi="Times New Roman"/>
                <w:sz w:val="18"/>
              </w:rPr>
              <w:t>Retrospective annual data; no real-time tracking</w:t>
            </w:r>
          </w:p>
        </w:tc>
      </w:tr>
      <w:tr>
        <w:tc>
          <w:tcPr>
            <w:tcW w:type="dxa" w:w="1728"/>
            <w:tcMar>
              <w:top w:w="60" w:type="dxa"/>
              <w:bottom w:w="60" w:type="dxa"/>
              <w:left w:w="80" w:type="dxa"/>
              <w:right w:w="80" w:type="dxa"/>
            </w:tcMar>
          </w:tcPr>
          <w:p>
            <w:pPr>
              <w:spacing w:line="276" w:lineRule="auto"/>
            </w:pPr>
            <w:r>
              <w:rPr>
                <w:rFonts w:ascii="Times New Roman" w:hAnsi="Times New Roman"/>
                <w:b/>
                <w:sz w:val="18"/>
              </w:rPr>
              <w:t>Hollis et al. (2017)</w:t>
            </w:r>
          </w:p>
        </w:tc>
        <w:tc>
          <w:tcPr>
            <w:tcW w:type="dxa" w:w="1728"/>
            <w:tcMar>
              <w:top w:w="60" w:type="dxa"/>
              <w:bottom w:w="60" w:type="dxa"/>
              <w:left w:w="80" w:type="dxa"/>
              <w:right w:w="80" w:type="dxa"/>
            </w:tcMar>
          </w:tcPr>
          <w:p>
            <w:pPr>
              <w:spacing w:line="276" w:lineRule="auto"/>
            </w:pPr>
            <w:r>
              <w:rPr>
                <w:rFonts w:ascii="Times New Roman" w:hAnsi="Times New Roman"/>
                <w:sz w:val="18"/>
              </w:rPr>
              <w:t>Digital Health Reviews</w:t>
            </w:r>
          </w:p>
        </w:tc>
        <w:tc>
          <w:tcPr>
            <w:tcW w:type="dxa" w:w="1584"/>
            <w:tcMar>
              <w:top w:w="60" w:type="dxa"/>
              <w:bottom w:w="60" w:type="dxa"/>
              <w:left w:w="80" w:type="dxa"/>
              <w:right w:w="80" w:type="dxa"/>
            </w:tcMar>
          </w:tcPr>
          <w:p>
            <w:pPr>
              <w:spacing w:line="276" w:lineRule="auto"/>
            </w:pPr>
            <w:r>
              <w:rPr>
                <w:rFonts w:ascii="Times New Roman" w:hAnsi="Times New Roman"/>
                <w:sz w:val="18"/>
              </w:rPr>
              <w:t>Children &amp; Youth</w:t>
            </w:r>
          </w:p>
        </w:tc>
        <w:tc>
          <w:tcPr>
            <w:tcW w:type="dxa" w:w="1872"/>
            <w:tcMar>
              <w:top w:w="60" w:type="dxa"/>
              <w:bottom w:w="60" w:type="dxa"/>
              <w:left w:w="80" w:type="dxa"/>
              <w:right w:w="80" w:type="dxa"/>
            </w:tcMar>
          </w:tcPr>
          <w:p>
            <w:pPr>
              <w:spacing w:line="276" w:lineRule="auto"/>
            </w:pPr>
            <w:r>
              <w:rPr>
                <w:rFonts w:ascii="Times New Roman" w:hAnsi="Times New Roman"/>
                <w:sz w:val="18"/>
              </w:rPr>
              <w:t>Meta-Review of RCTs</w:t>
            </w:r>
          </w:p>
        </w:tc>
        <w:tc>
          <w:tcPr>
            <w:tcW w:type="dxa" w:w="2117"/>
            <w:tcMar>
              <w:top w:w="60" w:type="dxa"/>
              <w:bottom w:w="60" w:type="dxa"/>
              <w:left w:w="80" w:type="dxa"/>
              <w:right w:w="80" w:type="dxa"/>
            </w:tcMar>
          </w:tcPr>
          <w:p>
            <w:pPr>
              <w:spacing w:line="276" w:lineRule="auto"/>
            </w:pPr>
            <w:r>
              <w:rPr>
                <w:rFonts w:ascii="Times New Roman" w:hAnsi="Times New Roman"/>
                <w:sz w:val="18"/>
              </w:rPr>
              <w:t>High attrition if interfaces lack engagement</w:t>
            </w:r>
          </w:p>
        </w:tc>
      </w:tr>
      <w:tr>
        <w:tc>
          <w:tcPr>
            <w:tcW w:type="dxa" w:w="1728"/>
            <w:shd w:fill="F7FAFC"/>
            <w:tcMar>
              <w:top w:w="60" w:type="dxa"/>
              <w:bottom w:w="60" w:type="dxa"/>
              <w:left w:w="80" w:type="dxa"/>
              <w:right w:w="80" w:type="dxa"/>
            </w:tcMar>
          </w:tcPr>
          <w:p>
            <w:pPr>
              <w:spacing w:line="276" w:lineRule="auto"/>
            </w:pPr>
            <w:r>
              <w:rPr>
                <w:rFonts w:ascii="Times New Roman" w:hAnsi="Times New Roman"/>
                <w:b/>
                <w:sz w:val="18"/>
              </w:rPr>
              <w:t>Grist et al. (2017)</w:t>
            </w:r>
          </w:p>
        </w:tc>
        <w:tc>
          <w:tcPr>
            <w:tcW w:type="dxa" w:w="1728"/>
            <w:shd w:fill="F7FAFC"/>
            <w:tcMar>
              <w:top w:w="60" w:type="dxa"/>
              <w:bottom w:w="60" w:type="dxa"/>
              <w:left w:w="80" w:type="dxa"/>
              <w:right w:w="80" w:type="dxa"/>
            </w:tcMar>
          </w:tcPr>
          <w:p>
            <w:pPr>
              <w:spacing w:line="276" w:lineRule="auto"/>
            </w:pPr>
            <w:r>
              <w:rPr>
                <w:rFonts w:ascii="Times New Roman" w:hAnsi="Times New Roman"/>
                <w:sz w:val="18"/>
              </w:rPr>
              <w:t>Mobile Apps Review</w:t>
            </w:r>
          </w:p>
        </w:tc>
        <w:tc>
          <w:tcPr>
            <w:tcW w:type="dxa" w:w="1584"/>
            <w:shd w:fill="F7FAFC"/>
            <w:tcMar>
              <w:top w:w="60" w:type="dxa"/>
              <w:bottom w:w="60" w:type="dxa"/>
              <w:left w:w="80" w:type="dxa"/>
              <w:right w:w="80" w:type="dxa"/>
            </w:tcMar>
          </w:tcPr>
          <w:p>
            <w:pPr>
              <w:spacing w:line="276" w:lineRule="auto"/>
            </w:pPr>
            <w:r>
              <w:rPr>
                <w:rFonts w:ascii="Times New Roman" w:hAnsi="Times New Roman"/>
                <w:sz w:val="18"/>
              </w:rPr>
              <w:t>Preadolescents &amp; Youth</w:t>
            </w:r>
          </w:p>
        </w:tc>
        <w:tc>
          <w:tcPr>
            <w:tcW w:type="dxa" w:w="1872"/>
            <w:shd w:fill="F7FAFC"/>
            <w:tcMar>
              <w:top w:w="60" w:type="dxa"/>
              <w:bottom w:w="60" w:type="dxa"/>
              <w:left w:w="80" w:type="dxa"/>
              <w:right w:w="80" w:type="dxa"/>
            </w:tcMar>
          </w:tcPr>
          <w:p>
            <w:pPr>
              <w:spacing w:line="276" w:lineRule="auto"/>
            </w:pPr>
            <w:r>
              <w:rPr>
                <w:rFonts w:ascii="Times New Roman" w:hAnsi="Times New Roman"/>
                <w:sz w:val="18"/>
              </w:rPr>
              <w:t>App Store Review</w:t>
            </w:r>
          </w:p>
        </w:tc>
        <w:tc>
          <w:tcPr>
            <w:tcW w:type="dxa" w:w="2117"/>
            <w:shd w:fill="F7FAFC"/>
            <w:tcMar>
              <w:top w:w="60" w:type="dxa"/>
              <w:bottom w:w="60" w:type="dxa"/>
              <w:left w:w="80" w:type="dxa"/>
              <w:right w:w="80" w:type="dxa"/>
            </w:tcMar>
          </w:tcPr>
          <w:p>
            <w:pPr>
              <w:spacing w:line="276" w:lineRule="auto"/>
            </w:pPr>
            <w:r>
              <w:rPr>
                <w:rFonts w:ascii="Times New Roman" w:hAnsi="Times New Roman"/>
                <w:sz w:val="18"/>
              </w:rPr>
              <w:t>Few apps for preadolescents; limited crisis handling</w:t>
            </w:r>
          </w:p>
        </w:tc>
      </w:tr>
      <w:tr>
        <w:tc>
          <w:tcPr>
            <w:tcW w:type="dxa" w:w="1728"/>
            <w:tcMar>
              <w:top w:w="60" w:type="dxa"/>
              <w:bottom w:w="60" w:type="dxa"/>
              <w:left w:w="80" w:type="dxa"/>
              <w:right w:w="80" w:type="dxa"/>
            </w:tcMar>
          </w:tcPr>
          <w:p>
            <w:pPr>
              <w:spacing w:line="276" w:lineRule="auto"/>
            </w:pPr>
            <w:r>
              <w:rPr>
                <w:rFonts w:ascii="Times New Roman" w:hAnsi="Times New Roman"/>
                <w:b/>
                <w:sz w:val="18"/>
              </w:rPr>
              <w:t>Shatte et al. (2019)</w:t>
            </w:r>
          </w:p>
        </w:tc>
        <w:tc>
          <w:tcPr>
            <w:tcW w:type="dxa" w:w="1728"/>
            <w:tcMar>
              <w:top w:w="60" w:type="dxa"/>
              <w:bottom w:w="60" w:type="dxa"/>
              <w:left w:w="80" w:type="dxa"/>
              <w:right w:w="80" w:type="dxa"/>
            </w:tcMar>
          </w:tcPr>
          <w:p>
            <w:pPr>
              <w:spacing w:line="276" w:lineRule="auto"/>
            </w:pPr>
            <w:r>
              <w:rPr>
                <w:rFonts w:ascii="Times New Roman" w:hAnsi="Times New Roman"/>
                <w:sz w:val="18"/>
              </w:rPr>
              <w:t>ML Scoping Review</w:t>
            </w:r>
          </w:p>
        </w:tc>
        <w:tc>
          <w:tcPr>
            <w:tcW w:type="dxa" w:w="1584"/>
            <w:tcMar>
              <w:top w:w="60" w:type="dxa"/>
              <w:bottom w:w="60" w:type="dxa"/>
              <w:left w:w="80" w:type="dxa"/>
              <w:right w:w="80" w:type="dxa"/>
            </w:tcMar>
          </w:tcPr>
          <w:p>
            <w:pPr>
              <w:spacing w:line="276" w:lineRule="auto"/>
            </w:pPr>
            <w:r>
              <w:rPr>
                <w:rFonts w:ascii="Times New Roman" w:hAnsi="Times New Roman"/>
                <w:sz w:val="18"/>
              </w:rPr>
              <w:t>General Population</w:t>
            </w:r>
          </w:p>
        </w:tc>
        <w:tc>
          <w:tcPr>
            <w:tcW w:type="dxa" w:w="1872"/>
            <w:tcMar>
              <w:top w:w="60" w:type="dxa"/>
              <w:bottom w:w="60" w:type="dxa"/>
              <w:left w:w="80" w:type="dxa"/>
              <w:right w:w="80" w:type="dxa"/>
            </w:tcMar>
          </w:tcPr>
          <w:p>
            <w:pPr>
              <w:spacing w:line="276" w:lineRule="auto"/>
            </w:pPr>
            <w:r>
              <w:rPr>
                <w:rFonts w:ascii="Times New Roman" w:hAnsi="Times New Roman"/>
                <w:sz w:val="18"/>
              </w:rPr>
              <w:t>Scoping Review (RF, SVM)</w:t>
            </w:r>
          </w:p>
        </w:tc>
        <w:tc>
          <w:tcPr>
            <w:tcW w:type="dxa" w:w="2117"/>
            <w:tcMar>
              <w:top w:w="60" w:type="dxa"/>
              <w:bottom w:w="60" w:type="dxa"/>
              <w:left w:w="80" w:type="dxa"/>
              <w:right w:w="80" w:type="dxa"/>
            </w:tcMar>
          </w:tcPr>
          <w:p>
            <w:pPr>
              <w:spacing w:line="276" w:lineRule="auto"/>
            </w:pPr>
            <w:r>
              <w:rPr>
                <w:rFonts w:ascii="Times New Roman" w:hAnsi="Times New Roman"/>
                <w:sz w:val="18"/>
              </w:rPr>
              <w:t>Overfitting risks; predominantly adult datasets</w:t>
            </w:r>
          </w:p>
        </w:tc>
      </w:tr>
      <w:tr>
        <w:tc>
          <w:tcPr>
            <w:tcW w:type="dxa" w:w="1728"/>
            <w:shd w:fill="F7FAFC"/>
            <w:tcMar>
              <w:top w:w="60" w:type="dxa"/>
              <w:bottom w:w="60" w:type="dxa"/>
              <w:left w:w="80" w:type="dxa"/>
              <w:right w:w="80" w:type="dxa"/>
            </w:tcMar>
          </w:tcPr>
          <w:p>
            <w:pPr>
              <w:spacing w:line="276" w:lineRule="auto"/>
            </w:pPr>
            <w:r>
              <w:rPr>
                <w:rFonts w:ascii="Times New Roman" w:hAnsi="Times New Roman"/>
                <w:b/>
                <w:sz w:val="18"/>
              </w:rPr>
              <w:t>Burke et al. (2019)</w:t>
            </w:r>
          </w:p>
        </w:tc>
        <w:tc>
          <w:tcPr>
            <w:tcW w:type="dxa" w:w="1728"/>
            <w:shd w:fill="F7FAFC"/>
            <w:tcMar>
              <w:top w:w="60" w:type="dxa"/>
              <w:bottom w:w="60" w:type="dxa"/>
              <w:left w:w="80" w:type="dxa"/>
              <w:right w:w="80" w:type="dxa"/>
            </w:tcMar>
          </w:tcPr>
          <w:p>
            <w:pPr>
              <w:spacing w:line="276" w:lineRule="auto"/>
            </w:pPr>
            <w:r>
              <w:rPr>
                <w:rFonts w:ascii="Times New Roman" w:hAnsi="Times New Roman"/>
                <w:sz w:val="18"/>
              </w:rPr>
              <w:t>Risk Predictor Modeling</w:t>
            </w:r>
          </w:p>
        </w:tc>
        <w:tc>
          <w:tcPr>
            <w:tcW w:type="dxa" w:w="1584"/>
            <w:shd w:fill="F7FAFC"/>
            <w:tcMar>
              <w:top w:w="60" w:type="dxa"/>
              <w:bottom w:w="60" w:type="dxa"/>
              <w:left w:w="80" w:type="dxa"/>
              <w:right w:w="80" w:type="dxa"/>
            </w:tcMar>
          </w:tcPr>
          <w:p>
            <w:pPr>
              <w:spacing w:line="276" w:lineRule="auto"/>
            </w:pPr>
            <w:r>
              <w:rPr>
                <w:rFonts w:ascii="Times New Roman" w:hAnsi="Times New Roman"/>
                <w:sz w:val="18"/>
              </w:rPr>
              <w:t>Adolescents</w:t>
            </w:r>
          </w:p>
        </w:tc>
        <w:tc>
          <w:tcPr>
            <w:tcW w:type="dxa" w:w="1872"/>
            <w:shd w:fill="F7FAFC"/>
            <w:tcMar>
              <w:top w:w="60" w:type="dxa"/>
              <w:bottom w:w="60" w:type="dxa"/>
              <w:left w:w="80" w:type="dxa"/>
              <w:right w:w="80" w:type="dxa"/>
            </w:tcMar>
          </w:tcPr>
          <w:p>
            <w:pPr>
              <w:spacing w:line="276" w:lineRule="auto"/>
            </w:pPr>
            <w:r>
              <w:rPr>
                <w:rFonts w:ascii="Times New Roman" w:hAnsi="Times New Roman"/>
                <w:sz w:val="18"/>
              </w:rPr>
              <w:t>Decision Trees, RF</w:t>
            </w:r>
          </w:p>
        </w:tc>
        <w:tc>
          <w:tcPr>
            <w:tcW w:type="dxa" w:w="2117"/>
            <w:shd w:fill="F7FAFC"/>
            <w:tcMar>
              <w:top w:w="60" w:type="dxa"/>
              <w:bottom w:w="60" w:type="dxa"/>
              <w:left w:w="80" w:type="dxa"/>
              <w:right w:w="80" w:type="dxa"/>
            </w:tcMar>
          </w:tcPr>
          <w:p>
            <w:pPr>
              <w:spacing w:line="276" w:lineRule="auto"/>
            </w:pPr>
            <w:r>
              <w:rPr>
                <w:rFonts w:ascii="Times New Roman" w:hAnsi="Times New Roman"/>
                <w:sz w:val="18"/>
              </w:rPr>
              <w:t>Confined to high-risk clinical adolescent cohorts</w:t>
            </w:r>
          </w:p>
        </w:tc>
      </w:tr>
      <w:tr>
        <w:tc>
          <w:tcPr>
            <w:tcW w:type="dxa" w:w="1728"/>
            <w:tcMar>
              <w:top w:w="60" w:type="dxa"/>
              <w:bottom w:w="60" w:type="dxa"/>
              <w:left w:w="80" w:type="dxa"/>
              <w:right w:w="80" w:type="dxa"/>
            </w:tcMar>
          </w:tcPr>
          <w:p>
            <w:pPr>
              <w:spacing w:line="276" w:lineRule="auto"/>
            </w:pPr>
            <w:r>
              <w:rPr>
                <w:rFonts w:ascii="Times New Roman" w:hAnsi="Times New Roman"/>
                <w:b/>
                <w:sz w:val="18"/>
              </w:rPr>
              <w:t>Le Glaz et al. (2021)</w:t>
            </w:r>
          </w:p>
        </w:tc>
        <w:tc>
          <w:tcPr>
            <w:tcW w:type="dxa" w:w="1728"/>
            <w:tcMar>
              <w:top w:w="60" w:type="dxa"/>
              <w:bottom w:w="60" w:type="dxa"/>
              <w:left w:w="80" w:type="dxa"/>
              <w:right w:w="80" w:type="dxa"/>
            </w:tcMar>
          </w:tcPr>
          <w:p>
            <w:pPr>
              <w:spacing w:line="276" w:lineRule="auto"/>
            </w:pPr>
            <w:r>
              <w:rPr>
                <w:rFonts w:ascii="Times New Roman" w:hAnsi="Times New Roman"/>
                <w:sz w:val="18"/>
              </w:rPr>
              <w:t>NLP in Mental Health</w:t>
            </w:r>
          </w:p>
        </w:tc>
        <w:tc>
          <w:tcPr>
            <w:tcW w:type="dxa" w:w="1584"/>
            <w:tcMar>
              <w:top w:w="60" w:type="dxa"/>
              <w:bottom w:w="60" w:type="dxa"/>
              <w:left w:w="80" w:type="dxa"/>
              <w:right w:w="80" w:type="dxa"/>
            </w:tcMar>
          </w:tcPr>
          <w:p>
            <w:pPr>
              <w:spacing w:line="276" w:lineRule="auto"/>
            </w:pPr>
            <w:r>
              <w:rPr>
                <w:rFonts w:ascii="Times New Roman" w:hAnsi="Times New Roman"/>
                <w:sz w:val="18"/>
              </w:rPr>
              <w:t>Mixed Cohorts</w:t>
            </w:r>
          </w:p>
        </w:tc>
        <w:tc>
          <w:tcPr>
            <w:tcW w:type="dxa" w:w="1872"/>
            <w:tcMar>
              <w:top w:w="60" w:type="dxa"/>
              <w:bottom w:w="60" w:type="dxa"/>
              <w:left w:w="80" w:type="dxa"/>
              <w:right w:w="80" w:type="dxa"/>
            </w:tcMar>
          </w:tcPr>
          <w:p>
            <w:pPr>
              <w:spacing w:line="276" w:lineRule="auto"/>
            </w:pPr>
            <w:r>
              <w:rPr>
                <w:rFonts w:ascii="Times New Roman" w:hAnsi="Times New Roman"/>
                <w:sz w:val="18"/>
              </w:rPr>
              <w:t>Systematic Review</w:t>
            </w:r>
          </w:p>
        </w:tc>
        <w:tc>
          <w:tcPr>
            <w:tcW w:type="dxa" w:w="2117"/>
            <w:tcMar>
              <w:top w:w="60" w:type="dxa"/>
              <w:bottom w:w="60" w:type="dxa"/>
              <w:left w:w="80" w:type="dxa"/>
              <w:right w:w="80" w:type="dxa"/>
            </w:tcMar>
          </w:tcPr>
          <w:p>
            <w:pPr>
              <w:spacing w:line="276" w:lineRule="auto"/>
            </w:pPr>
            <w:r>
              <w:rPr>
                <w:rFonts w:ascii="Times New Roman" w:hAnsi="Times New Roman"/>
                <w:sz w:val="18"/>
              </w:rPr>
              <w:t>Deep NLP lacks explainability; text-only bias</w:t>
            </w:r>
          </w:p>
        </w:tc>
      </w:tr>
      <w:tr>
        <w:tc>
          <w:tcPr>
            <w:tcW w:type="dxa" w:w="1728"/>
            <w:shd w:fill="F7FAFC"/>
            <w:tcMar>
              <w:top w:w="60" w:type="dxa"/>
              <w:bottom w:w="60" w:type="dxa"/>
              <w:left w:w="80" w:type="dxa"/>
              <w:right w:w="80" w:type="dxa"/>
            </w:tcMar>
          </w:tcPr>
          <w:p>
            <w:pPr>
              <w:spacing w:line="276" w:lineRule="auto"/>
            </w:pPr>
            <w:r>
              <w:rPr>
                <w:rFonts w:ascii="Times New Roman" w:hAnsi="Times New Roman"/>
                <w:b/>
                <w:sz w:val="18"/>
              </w:rPr>
              <w:t>Hutto &amp; Gilbert (2014)</w:t>
            </w:r>
          </w:p>
        </w:tc>
        <w:tc>
          <w:tcPr>
            <w:tcW w:type="dxa" w:w="1728"/>
            <w:shd w:fill="F7FAFC"/>
            <w:tcMar>
              <w:top w:w="60" w:type="dxa"/>
              <w:bottom w:w="60" w:type="dxa"/>
              <w:left w:w="80" w:type="dxa"/>
              <w:right w:w="80" w:type="dxa"/>
            </w:tcMar>
          </w:tcPr>
          <w:p>
            <w:pPr>
              <w:spacing w:line="276" w:lineRule="auto"/>
            </w:pPr>
            <w:r>
              <w:rPr>
                <w:rFonts w:ascii="Times New Roman" w:hAnsi="Times New Roman"/>
                <w:sz w:val="18"/>
              </w:rPr>
              <w:t>Sentiment Analysis</w:t>
            </w:r>
          </w:p>
        </w:tc>
        <w:tc>
          <w:tcPr>
            <w:tcW w:type="dxa" w:w="1584"/>
            <w:shd w:fill="F7FAFC"/>
            <w:tcMar>
              <w:top w:w="60" w:type="dxa"/>
              <w:bottom w:w="60" w:type="dxa"/>
              <w:left w:w="80" w:type="dxa"/>
              <w:right w:w="80" w:type="dxa"/>
            </w:tcMar>
          </w:tcPr>
          <w:p>
            <w:pPr>
              <w:spacing w:line="276" w:lineRule="auto"/>
            </w:pPr>
            <w:r>
              <w:rPr>
                <w:rFonts w:ascii="Times New Roman" w:hAnsi="Times New Roman"/>
                <w:sz w:val="18"/>
              </w:rPr>
              <w:t>Short Digital Text</w:t>
            </w:r>
          </w:p>
        </w:tc>
        <w:tc>
          <w:tcPr>
            <w:tcW w:type="dxa" w:w="1872"/>
            <w:shd w:fill="F7FAFC"/>
            <w:tcMar>
              <w:top w:w="60" w:type="dxa"/>
              <w:bottom w:w="60" w:type="dxa"/>
              <w:left w:w="80" w:type="dxa"/>
              <w:right w:w="80" w:type="dxa"/>
            </w:tcMar>
          </w:tcPr>
          <w:p>
            <w:pPr>
              <w:spacing w:line="276" w:lineRule="auto"/>
            </w:pPr>
            <w:r>
              <w:rPr>
                <w:rFonts w:ascii="Times New Roman" w:hAnsi="Times New Roman"/>
                <w:sz w:val="18"/>
              </w:rPr>
              <w:t>Rule-Based Lexicon (VADER)</w:t>
            </w:r>
          </w:p>
        </w:tc>
        <w:tc>
          <w:tcPr>
            <w:tcW w:type="dxa" w:w="2117"/>
            <w:shd w:fill="F7FAFC"/>
            <w:tcMar>
              <w:top w:w="60" w:type="dxa"/>
              <w:bottom w:w="60" w:type="dxa"/>
              <w:left w:w="80" w:type="dxa"/>
              <w:right w:w="80" w:type="dxa"/>
            </w:tcMar>
          </w:tcPr>
          <w:p>
            <w:pPr>
              <w:spacing w:line="276" w:lineRule="auto"/>
            </w:pPr>
            <w:r>
              <w:rPr>
                <w:rFonts w:ascii="Times New Roman" w:hAnsi="Times New Roman"/>
                <w:sz w:val="18"/>
              </w:rPr>
              <w:t>Measures linguistic valence, not clinical affect</w:t>
            </w:r>
          </w:p>
        </w:tc>
      </w:tr>
      <w:tr>
        <w:tc>
          <w:tcPr>
            <w:tcW w:type="dxa" w:w="1728"/>
            <w:tcMar>
              <w:top w:w="60" w:type="dxa"/>
              <w:bottom w:w="60" w:type="dxa"/>
              <w:left w:w="80" w:type="dxa"/>
              <w:right w:w="80" w:type="dxa"/>
            </w:tcMar>
          </w:tcPr>
          <w:p>
            <w:pPr>
              <w:spacing w:line="276" w:lineRule="auto"/>
            </w:pPr>
            <w:r>
              <w:rPr>
                <w:rFonts w:ascii="Times New Roman" w:hAnsi="Times New Roman"/>
                <w:b/>
                <w:sz w:val="18"/>
              </w:rPr>
              <w:t>Gardner et al. (1999)</w:t>
            </w:r>
          </w:p>
        </w:tc>
        <w:tc>
          <w:tcPr>
            <w:tcW w:type="dxa" w:w="1728"/>
            <w:tcMar>
              <w:top w:w="60" w:type="dxa"/>
              <w:bottom w:w="60" w:type="dxa"/>
              <w:left w:w="80" w:type="dxa"/>
              <w:right w:w="80" w:type="dxa"/>
            </w:tcMar>
          </w:tcPr>
          <w:p>
            <w:pPr>
              <w:spacing w:line="276" w:lineRule="auto"/>
            </w:pPr>
            <w:r>
              <w:rPr>
                <w:rFonts w:ascii="Times New Roman" w:hAnsi="Times New Roman"/>
                <w:sz w:val="18"/>
              </w:rPr>
              <w:t>Pediatric Screener</w:t>
            </w:r>
          </w:p>
        </w:tc>
        <w:tc>
          <w:tcPr>
            <w:tcW w:type="dxa" w:w="1584"/>
            <w:tcMar>
              <w:top w:w="60" w:type="dxa"/>
              <w:bottom w:w="60" w:type="dxa"/>
              <w:left w:w="80" w:type="dxa"/>
              <w:right w:w="80" w:type="dxa"/>
            </w:tcMar>
          </w:tcPr>
          <w:p>
            <w:pPr>
              <w:spacing w:line="276" w:lineRule="auto"/>
            </w:pPr>
            <w:r>
              <w:rPr>
                <w:rFonts w:ascii="Times New Roman" w:hAnsi="Times New Roman"/>
                <w:sz w:val="18"/>
              </w:rPr>
              <w:t>Children (4–15 yrs)</w:t>
            </w:r>
          </w:p>
        </w:tc>
        <w:tc>
          <w:tcPr>
            <w:tcW w:type="dxa" w:w="1872"/>
            <w:tcMar>
              <w:top w:w="60" w:type="dxa"/>
              <w:bottom w:w="60" w:type="dxa"/>
              <w:left w:w="80" w:type="dxa"/>
              <w:right w:w="80" w:type="dxa"/>
            </w:tcMar>
          </w:tcPr>
          <w:p>
            <w:pPr>
              <w:spacing w:line="276" w:lineRule="auto"/>
            </w:pPr>
            <w:r>
              <w:rPr>
                <w:rFonts w:ascii="Times New Roman" w:hAnsi="Times New Roman"/>
                <w:sz w:val="18"/>
              </w:rPr>
              <w:t>Psychometric Factor Analysis</w:t>
            </w:r>
          </w:p>
        </w:tc>
        <w:tc>
          <w:tcPr>
            <w:tcW w:type="dxa" w:w="2117"/>
            <w:tcMar>
              <w:top w:w="60" w:type="dxa"/>
              <w:bottom w:w="60" w:type="dxa"/>
              <w:left w:w="80" w:type="dxa"/>
              <w:right w:w="80" w:type="dxa"/>
            </w:tcMar>
          </w:tcPr>
          <w:p>
            <w:pPr>
              <w:spacing w:line="276" w:lineRule="auto"/>
            </w:pPr>
            <w:r>
              <w:rPr>
                <w:rFonts w:ascii="Times New Roman" w:hAnsi="Times New Roman"/>
                <w:sz w:val="18"/>
              </w:rPr>
              <w:t>Paper-based, clinician/parent completed tool</w:t>
            </w:r>
          </w:p>
        </w:tc>
      </w:tr>
      <w:tr>
        <w:tc>
          <w:tcPr>
            <w:tcW w:type="dxa" w:w="1728"/>
            <w:shd w:fill="F7FAFC"/>
            <w:tcMar>
              <w:top w:w="60" w:type="dxa"/>
              <w:bottom w:w="60" w:type="dxa"/>
              <w:left w:w="80" w:type="dxa"/>
              <w:right w:w="80" w:type="dxa"/>
            </w:tcMar>
          </w:tcPr>
          <w:p>
            <w:pPr>
              <w:spacing w:line="276" w:lineRule="auto"/>
            </w:pPr>
            <w:r>
              <w:rPr>
                <w:rFonts w:ascii="Times New Roman" w:hAnsi="Times New Roman"/>
                <w:b/>
                <w:sz w:val="18"/>
              </w:rPr>
              <w:t>Schueller et al. (2019)</w:t>
            </w:r>
          </w:p>
        </w:tc>
        <w:tc>
          <w:tcPr>
            <w:tcW w:type="dxa" w:w="1728"/>
            <w:shd w:fill="F7FAFC"/>
            <w:tcMar>
              <w:top w:w="60" w:type="dxa"/>
              <w:bottom w:w="60" w:type="dxa"/>
              <w:left w:w="80" w:type="dxa"/>
              <w:right w:w="80" w:type="dxa"/>
            </w:tcMar>
          </w:tcPr>
          <w:p>
            <w:pPr>
              <w:spacing w:line="276" w:lineRule="auto"/>
            </w:pPr>
            <w:r>
              <w:rPr>
                <w:rFonts w:ascii="Times New Roman" w:hAnsi="Times New Roman"/>
                <w:sz w:val="18"/>
              </w:rPr>
              <w:t>Privacy &amp; Safety</w:t>
            </w:r>
          </w:p>
        </w:tc>
        <w:tc>
          <w:tcPr>
            <w:tcW w:type="dxa" w:w="1584"/>
            <w:shd w:fill="F7FAFC"/>
            <w:tcMar>
              <w:top w:w="60" w:type="dxa"/>
              <w:bottom w:w="60" w:type="dxa"/>
              <w:left w:w="80" w:type="dxa"/>
              <w:right w:w="80" w:type="dxa"/>
            </w:tcMar>
          </w:tcPr>
          <w:p>
            <w:pPr>
              <w:spacing w:line="276" w:lineRule="auto"/>
            </w:pPr>
            <w:r>
              <w:rPr>
                <w:rFonts w:ascii="Times New Roman" w:hAnsi="Times New Roman"/>
                <w:sz w:val="18"/>
              </w:rPr>
              <w:t>Digital Health Users</w:t>
            </w:r>
          </w:p>
        </w:tc>
        <w:tc>
          <w:tcPr>
            <w:tcW w:type="dxa" w:w="1872"/>
            <w:shd w:fill="F7FAFC"/>
            <w:tcMar>
              <w:top w:w="60" w:type="dxa"/>
              <w:bottom w:w="60" w:type="dxa"/>
              <w:left w:w="80" w:type="dxa"/>
              <w:right w:w="80" w:type="dxa"/>
            </w:tcMar>
          </w:tcPr>
          <w:p>
            <w:pPr>
              <w:spacing w:line="276" w:lineRule="auto"/>
            </w:pPr>
            <w:r>
              <w:rPr>
                <w:rFonts w:ascii="Times New Roman" w:hAnsi="Times New Roman"/>
                <w:sz w:val="18"/>
              </w:rPr>
              <w:t>Security &amp; Compliance Audit</w:t>
            </w:r>
          </w:p>
        </w:tc>
        <w:tc>
          <w:tcPr>
            <w:tcW w:type="dxa" w:w="2117"/>
            <w:shd w:fill="F7FAFC"/>
            <w:tcMar>
              <w:top w:w="60" w:type="dxa"/>
              <w:bottom w:w="60" w:type="dxa"/>
              <w:left w:w="80" w:type="dxa"/>
              <w:right w:w="80" w:type="dxa"/>
            </w:tcMar>
          </w:tcPr>
          <w:p>
            <w:pPr>
              <w:spacing w:line="276" w:lineRule="auto"/>
            </w:pPr>
            <w:r>
              <w:rPr>
                <w:rFonts w:ascii="Times New Roman" w:hAnsi="Times New Roman"/>
                <w:sz w:val="18"/>
              </w:rPr>
              <w:t>Policy-oriented; lacks software implementation</w:t>
            </w:r>
          </w:p>
        </w:tc>
      </w:tr>
    </w:tbl>
    <w:p>
      <w:pPr>
        <w:spacing w:before="80" w:after="200"/>
        <w:jc w:val="center"/>
      </w:pPr>
      <w:r>
        <w:rPr>
          <w:rFonts w:ascii="Times New Roman" w:hAnsi="Times New Roman"/>
          <w:i/>
          <w:sz w:val="20"/>
        </w:rPr>
        <w:t>Table 1: Literature Comparison Matrix Across Surveyed Studies</w:t>
      </w:r>
    </w:p>
    <w:p>
      <w:pPr>
        <w:keepNext/>
        <w:spacing w:before="240" w:after="80"/>
      </w:pPr>
      <w:r>
        <w:rPr>
          <w:rFonts w:ascii="Times New Roman" w:hAnsi="Times New Roman"/>
          <w:b/>
          <w:color w:val="2B6CB0"/>
          <w:sz w:val="28"/>
        </w:rPr>
        <w:t>1.4 Identified Research Gaps &amp; Problem Statement</w:t>
      </w:r>
    </w:p>
    <w:p>
      <w:pPr>
        <w:spacing w:line="360" w:lineRule="auto" w:after="120"/>
        <w:jc w:val="both"/>
      </w:pPr>
      <w:r>
        <w:rPr>
          <w:rFonts w:ascii="Times New Roman" w:hAnsi="Times New Roman"/>
          <w:i w:val="0"/>
          <w:color w:val="2D3748"/>
          <w:sz w:val="24"/>
        </w:rPr>
        <w:t>Based on the comprehensive literature review, four distinct opportunities and research gaps were identified:</w:t>
      </w:r>
    </w:p>
    <w:p>
      <w:pPr>
        <w:pStyle w:val="ListBullet"/>
        <w:spacing w:line="300" w:lineRule="auto" w:after="80"/>
        <w:jc w:val="both"/>
      </w:pPr>
      <w:r>
        <w:rPr>
          <w:rFonts w:ascii="Times New Roman" w:hAnsi="Times New Roman"/>
          <w:b/>
          <w:color w:val="1A202C"/>
          <w:sz w:val="23"/>
        </w:rPr>
        <w:t xml:space="preserve">Opportunity for Age-Appropriate Interaction: </w:t>
      </w:r>
      <w:r>
        <w:rPr>
          <w:rFonts w:ascii="Times New Roman" w:hAnsi="Times New Roman"/>
          <w:color w:val="2D3748"/>
          <w:sz w:val="23"/>
        </w:rPr>
        <w:t>While digital interventions exist for older adolescents and adults, there remains a distinct scarcity of digital well-being platforms designed specifically for preadolescents using intuitive, visual, and low-cognitive-load interactions.</w:t>
      </w:r>
    </w:p>
    <w:p>
      <w:pPr>
        <w:pStyle w:val="ListBullet"/>
        <w:spacing w:line="300" w:lineRule="auto" w:after="80"/>
        <w:jc w:val="both"/>
      </w:pPr>
      <w:r>
        <w:rPr>
          <w:rFonts w:ascii="Times New Roman" w:hAnsi="Times New Roman"/>
          <w:b/>
          <w:color w:val="1A202C"/>
          <w:sz w:val="23"/>
        </w:rPr>
        <w:t xml:space="preserve">Opportunity for Multi-Modal Data Synthesis: </w:t>
      </w:r>
      <w:r>
        <w:rPr>
          <w:rFonts w:ascii="Times New Roman" w:hAnsi="Times New Roman"/>
          <w:color w:val="2D3748"/>
          <w:sz w:val="23"/>
        </w:rPr>
        <w:t>Existing applications predominantly analyze either structured lifestyle survey questions or unstructured text in isolation. An opportunity exists to synthesize daily emoji mood logs, structured behavioral metrics (sleep, screen time, physical play, academic stress), and optional text sentiment into an integrated assessment pipeline.</w:t>
      </w:r>
    </w:p>
    <w:p>
      <w:pPr>
        <w:pStyle w:val="ListBullet"/>
        <w:spacing w:line="300" w:lineRule="auto" w:after="80"/>
        <w:jc w:val="both"/>
      </w:pPr>
      <w:r>
        <w:rPr>
          <w:rFonts w:ascii="Times New Roman" w:hAnsi="Times New Roman"/>
          <w:b/>
          <w:color w:val="1A202C"/>
          <w:sz w:val="23"/>
        </w:rPr>
        <w:t xml:space="preserve">Opportunity for Continuous Longitudinal Surveillance: </w:t>
      </w:r>
      <w:r>
        <w:rPr>
          <w:rFonts w:ascii="Times New Roman" w:hAnsi="Times New Roman"/>
          <w:color w:val="2D3748"/>
          <w:sz w:val="23"/>
        </w:rPr>
        <w:t>Most pediatric screening tools operate episodically during annual clinic visits or parent surveys. There is a need for lightweight, everyday tracking systems that capture longitudinal behavioral trends and moving averages over time.</w:t>
      </w:r>
    </w:p>
    <w:p>
      <w:pPr>
        <w:pStyle w:val="ListBullet"/>
        <w:spacing w:line="300" w:lineRule="auto" w:after="80"/>
        <w:jc w:val="both"/>
      </w:pPr>
      <w:r>
        <w:rPr>
          <w:rFonts w:ascii="Times New Roman" w:hAnsi="Times New Roman"/>
          <w:b/>
          <w:color w:val="1A202C"/>
          <w:sz w:val="23"/>
        </w:rPr>
        <w:t xml:space="preserve">Opportunity to Bridge Surveillance with Immediate Coping and Referral: </w:t>
      </w:r>
      <w:r>
        <w:rPr>
          <w:rFonts w:ascii="Times New Roman" w:hAnsi="Times New Roman"/>
          <w:color w:val="2D3748"/>
          <w:sz w:val="23"/>
        </w:rPr>
        <w:t>Existing mood tracking applications often record negative emotional states without offering immediate, non-clinical calming tools (e.g., guided breathing pacing) or connecting caregivers to verified, region-specific crisis helplines.</w:t>
      </w:r>
    </w:p>
    <w:p>
      <w:pPr>
        <w:spacing w:line="360" w:lineRule="auto" w:after="240"/>
        <w:jc w:val="both"/>
      </w:pPr>
      <w:r>
        <w:rPr>
          <w:rFonts w:ascii="Times New Roman" w:hAnsi="Times New Roman"/>
          <w:b/>
          <w:color w:val="1A202C"/>
          <w:sz w:val="24"/>
        </w:rPr>
        <w:t xml:space="preserve">Formulation of Problem Statement: </w:t>
      </w:r>
      <w:r>
        <w:rPr>
          <w:rFonts w:ascii="Times New Roman" w:hAnsi="Times New Roman"/>
          <w:i w:val="0"/>
          <w:color w:val="2D3748"/>
          <w:sz w:val="24"/>
        </w:rPr>
        <w:t>Problem Statement: To design, specify, and evaluate an interactive, child-centered software architecture that combines daily mood check-ins, structured lifestyle indicators (sleep, screen time, physical play, academic stress), and natural language sentiment analysis into an integrated surveillance platform—providing non-clinical risk stratification, longitudinal trend visualization, immediate coping support, and verified crisis referral pathways.</w:t>
      </w:r>
    </w:p>
    <w:p>
      <w:r>
        <w:br w:type="page"/>
      </w:r>
    </w:p>
    <w:p>
      <w:pPr>
        <w:keepNext/>
        <w:spacing w:before="320" w:after="120"/>
      </w:pPr>
      <w:r>
        <w:rPr>
          <w:rFonts w:ascii="Times New Roman" w:hAnsi="Times New Roman"/>
          <w:b/>
          <w:color w:val="1A365D"/>
          <w:sz w:val="32"/>
        </w:rPr>
        <w:t>2. Section 2: System Architecture Design</w:t>
      </w:r>
    </w:p>
    <w:p>
      <w:pPr>
        <w:keepNext/>
        <w:spacing w:before="240" w:after="80"/>
      </w:pPr>
      <w:r>
        <w:rPr>
          <w:rFonts w:ascii="Times New Roman" w:hAnsi="Times New Roman"/>
          <w:b/>
          <w:color w:val="2B6CB0"/>
          <w:sz w:val="28"/>
        </w:rPr>
        <w:t>2.1 Design Philosophy &amp; Multi-Tier Architecture</w:t>
      </w:r>
    </w:p>
    <w:p>
      <w:pPr>
        <w:spacing w:line="360" w:lineRule="auto" w:after="120"/>
        <w:jc w:val="both"/>
      </w:pPr>
      <w:r>
        <w:rPr>
          <w:rFonts w:ascii="Times New Roman" w:hAnsi="Times New Roman"/>
          <w:i w:val="0"/>
          <w:color w:val="2D3748"/>
          <w:sz w:val="24"/>
        </w:rPr>
        <w:t>The proposed platform is organized into five decoupled, cohesive architectural layers designed to deliver responsive, privacy-preserving, and non-clinical well-being decision support for children and their caregivers:</w:t>
      </w:r>
    </w:p>
    <w:p>
      <w:pPr>
        <w:pStyle w:val="ListBullet"/>
        <w:spacing w:line="300" w:lineRule="auto" w:after="80"/>
        <w:jc w:val="both"/>
      </w:pPr>
      <w:r>
        <w:rPr>
          <w:rFonts w:ascii="Times New Roman" w:hAnsi="Times New Roman"/>
          <w:b/>
          <w:color w:val="1A202C"/>
          <w:sz w:val="23"/>
        </w:rPr>
        <w:t xml:space="preserve">1. Presentation Layer: </w:t>
      </w:r>
      <w:r>
        <w:rPr>
          <w:rFonts w:ascii="Times New Roman" w:hAnsi="Times New Roman"/>
          <w:color w:val="2D3748"/>
          <w:sz w:val="23"/>
        </w:rPr>
        <w:t>Dual-role responsive interface built with Streamlit, containing the Child Interactive Portal (emoji mood picker, lifestyle sliders, journal, breathing pacer) and Guardian / Educator Dashboard (longitudinal trajectories, heatmaps, alerts).</w:t>
      </w:r>
    </w:p>
    <w:p>
      <w:pPr>
        <w:pStyle w:val="ListBullet"/>
        <w:spacing w:line="300" w:lineRule="auto" w:after="80"/>
        <w:jc w:val="both"/>
      </w:pPr>
      <w:r>
        <w:rPr>
          <w:rFonts w:ascii="Times New Roman" w:hAnsi="Times New Roman"/>
          <w:b/>
          <w:color w:val="1A202C"/>
          <w:sz w:val="23"/>
        </w:rPr>
        <w:t xml:space="preserve">2. Application &amp; Logic Layer: </w:t>
      </w:r>
      <w:r>
        <w:rPr>
          <w:rFonts w:ascii="Times New Roman" w:hAnsi="Times New Roman"/>
          <w:color w:val="2D3748"/>
          <w:sz w:val="23"/>
        </w:rPr>
        <w:t>Orchestrates application logic, input range validation, rule mapping, sentiment scoring invocation, relaxation tool control, and safety referral routing.</w:t>
      </w:r>
    </w:p>
    <w:p>
      <w:pPr>
        <w:pStyle w:val="ListBullet"/>
        <w:spacing w:line="300" w:lineRule="auto" w:after="80"/>
        <w:jc w:val="both"/>
      </w:pPr>
      <w:r>
        <w:rPr>
          <w:rFonts w:ascii="Times New Roman" w:hAnsi="Times New Roman"/>
          <w:b/>
          <w:color w:val="1A202C"/>
          <w:sz w:val="23"/>
        </w:rPr>
        <w:t xml:space="preserve">3. ML &amp; NLP Intelligence Layer (Proposed): </w:t>
      </w:r>
      <w:r>
        <w:rPr>
          <w:rFonts w:ascii="Times New Roman" w:hAnsi="Times New Roman"/>
          <w:color w:val="2D3748"/>
          <w:sz w:val="23"/>
        </w:rPr>
        <w:t>Executes feature scaling (StandardScaler), proposed supervised multi-class risk classification (Random Forest / Gradient Boosting), feature attribution explainability, and lexicon-based sentiment analysis.</w:t>
      </w:r>
    </w:p>
    <w:p>
      <w:pPr>
        <w:pStyle w:val="ListBullet"/>
        <w:spacing w:line="300" w:lineRule="auto" w:after="80"/>
        <w:jc w:val="both"/>
      </w:pPr>
      <w:r>
        <w:rPr>
          <w:rFonts w:ascii="Times New Roman" w:hAnsi="Times New Roman"/>
          <w:b/>
          <w:color w:val="1A202C"/>
          <w:sz w:val="23"/>
        </w:rPr>
        <w:t xml:space="preserve">4. Data &amp; Persistence Layer (Proposed): </w:t>
      </w:r>
      <w:r>
        <w:rPr>
          <w:rFonts w:ascii="Times New Roman" w:hAnsi="Times New Roman"/>
          <w:color w:val="2D3748"/>
          <w:sz w:val="23"/>
        </w:rPr>
        <w:t>Manages tabular training datasets, serialized model artifacts, verified crisis contact catalogs, and ephemeral session history.</w:t>
      </w:r>
    </w:p>
    <w:p>
      <w:pPr>
        <w:pStyle w:val="ListBullet"/>
        <w:spacing w:line="300" w:lineRule="auto" w:after="80"/>
        <w:jc w:val="both"/>
      </w:pPr>
      <w:r>
        <w:rPr>
          <w:rFonts w:ascii="Times New Roman" w:hAnsi="Times New Roman"/>
          <w:b/>
          <w:color w:val="1A202C"/>
          <w:sz w:val="23"/>
        </w:rPr>
        <w:t xml:space="preserve">5. External Support &amp; Referral Layer: </w:t>
      </w:r>
      <w:r>
        <w:rPr>
          <w:rFonts w:ascii="Times New Roman" w:hAnsi="Times New Roman"/>
          <w:color w:val="2D3748"/>
          <w:sz w:val="23"/>
        </w:rPr>
        <w:t>Connects users with verified Indian national crisis helplines (Childline 1098, Tele-MANAS 14416) and guidance on seeking professional clinical consultations.</w:t>
      </w:r>
    </w:p>
    <w:p>
      <w:pPr>
        <w:keepNext/>
        <w:spacing w:before="240" w:after="80"/>
      </w:pPr>
      <w:r>
        <w:rPr>
          <w:rFonts w:ascii="Times New Roman" w:hAnsi="Times New Roman"/>
          <w:b/>
          <w:color w:val="2B6CB0"/>
          <w:sz w:val="28"/>
        </w:rPr>
        <w:t>2.2 System Architecture Diagram</w:t>
      </w:r>
    </w:p>
    <w:p>
      <w:pPr>
        <w:spacing w:line="360" w:lineRule="auto" w:after="120"/>
        <w:jc w:val="both"/>
      </w:pPr>
      <w:r>
        <w:rPr>
          <w:rFonts w:ascii="Times New Roman" w:hAnsi="Times New Roman"/>
          <w:i w:val="0"/>
          <w:color w:val="2D3748"/>
          <w:sz w:val="24"/>
        </w:rPr>
        <w:t>Figure 1 illustrates the multi-tier architectural layout, showing component interactions from child input ingestion to guardian analytics and verified crisis referral.</w:t>
      </w:r>
    </w:p>
    <w:p>
      <w:pPr>
        <w:spacing w:before="160" w:after="80"/>
        <w:jc w:val="center"/>
      </w:pPr>
      <w:r>
        <w:drawing>
          <wp:inline xmlns:a="http://schemas.openxmlformats.org/drawingml/2006/main" xmlns:pic="http://schemas.openxmlformats.org/drawingml/2006/picture">
            <wp:extent cx="5303520" cy="5839229"/>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11"/>
                    <a:stretch>
                      <a:fillRect/>
                    </a:stretch>
                  </pic:blipFill>
                  <pic:spPr>
                    <a:xfrm>
                      <a:off x="0" y="0"/>
                      <a:ext cx="5303520" cy="5839229"/>
                    </a:xfrm>
                    <a:prstGeom prst="rect"/>
                  </pic:spPr>
                </pic:pic>
              </a:graphicData>
            </a:graphic>
          </wp:inline>
        </w:drawing>
      </w:r>
    </w:p>
    <w:p>
      <w:pPr>
        <w:spacing w:after="240"/>
        <w:jc w:val="center"/>
      </w:pPr>
      <w:r>
        <w:rPr>
          <w:rFonts w:ascii="Times New Roman" w:hAnsi="Times New Roman"/>
          <w:i/>
          <w:sz w:val="20"/>
        </w:rPr>
        <w:t>Figure 1: System Architecture of the Proposed Mental Health and Well-being Surveillance Platform</w:t>
      </w:r>
    </w:p>
    <w:p>
      <w:pPr>
        <w:keepNext/>
        <w:spacing w:before="240" w:after="80"/>
      </w:pPr>
      <w:r>
        <w:rPr>
          <w:rFonts w:ascii="Times New Roman" w:hAnsi="Times New Roman"/>
          <w:b/>
          <w:color w:val="2B6CB0"/>
          <w:sz w:val="28"/>
        </w:rPr>
        <w:t>2.3 Component Input / Output Specifications</w:t>
      </w:r>
    </w:p>
    <w:p>
      <w:pPr>
        <w:spacing w:line="360" w:lineRule="auto" w:after="120"/>
        <w:jc w:val="both"/>
      </w:pPr>
      <w:r>
        <w:rPr>
          <w:rFonts w:ascii="Times New Roman" w:hAnsi="Times New Roman"/>
          <w:i w:val="0"/>
          <w:color w:val="2D3748"/>
          <w:sz w:val="24"/>
        </w:rPr>
        <w:t>Table 2 defines the precise data formats, transformations, and output schemas across the primary architectural components.</w:t>
      </w:r>
    </w:p>
    <w:tbl>
      <w:tblPr>
        <w:tblW w:type="auto" w:w="0"/>
        <w:jc w:val="center"/>
        <w:tblLayout w:type="fixed"/>
        <w:tblLook w:firstColumn="1" w:firstRow="1" w:lastColumn="0" w:lastRow="0" w:noHBand="0" w:noVBand="1" w:val="04A0"/>
        <w:tblBorders>
          <w:top w:val="single" w:sz="4" w:space="0" w:color="D2D6DC"/>
          <w:bottom w:val="single" w:sz="4" w:space="0" w:color="D2D6DC"/>
          <w:insideH w:val="single" w:sz="4" w:space="0" w:color="D2D6DC"/>
          <w:insideV w:val="single" w:sz="4" w:space="0" w:color="D2D6DC"/>
          <w:left w:val="none"/>
          <w:right w:val="none"/>
        </w:tblBorders>
      </w:tblPr>
      <w:tblGrid>
        <w:gridCol w:w="2256"/>
        <w:gridCol w:w="2256"/>
        <w:gridCol w:w="2256"/>
        <w:gridCol w:w="2256"/>
      </w:tblGrid>
      <w:tr>
        <w:tc>
          <w:tcPr>
            <w:tcW w:type="dxa" w:w="2016"/>
            <w:shd w:fill="1A365D"/>
            <w:tcMar>
              <w:top w:w="80" w:type="dxa"/>
              <w:bottom w:w="80" w:type="dxa"/>
              <w:left w:w="100" w:type="dxa"/>
              <w:right w:w="100" w:type="dxa"/>
            </w:tcMar>
          </w:tcPr>
          <w:p>
            <w:pPr>
              <w:jc w:val="center"/>
            </w:pPr>
            <w:r>
              <w:rPr>
                <w:rFonts w:ascii="Times New Roman" w:hAnsi="Times New Roman"/>
                <w:b/>
                <w:color w:val="FFFFFF"/>
                <w:sz w:val="19"/>
              </w:rPr>
              <w:t>Component</w:t>
            </w:r>
          </w:p>
        </w:tc>
        <w:tc>
          <w:tcPr>
            <w:tcW w:type="dxa" w:w="2160"/>
            <w:shd w:fill="1A365D"/>
            <w:tcMar>
              <w:top w:w="80" w:type="dxa"/>
              <w:bottom w:w="80" w:type="dxa"/>
              <w:left w:w="100" w:type="dxa"/>
              <w:right w:w="100" w:type="dxa"/>
            </w:tcMar>
          </w:tcPr>
          <w:p>
            <w:pPr>
              <w:jc w:val="center"/>
            </w:pPr>
            <w:r>
              <w:rPr>
                <w:rFonts w:ascii="Times New Roman" w:hAnsi="Times New Roman"/>
                <w:b/>
                <w:color w:val="FFFFFF"/>
                <w:sz w:val="19"/>
              </w:rPr>
              <w:t>Input Data &amp; Type</w:t>
            </w:r>
          </w:p>
        </w:tc>
        <w:tc>
          <w:tcPr>
            <w:tcW w:type="dxa" w:w="2448"/>
            <w:shd w:fill="1A365D"/>
            <w:tcMar>
              <w:top w:w="80" w:type="dxa"/>
              <w:bottom w:w="80" w:type="dxa"/>
              <w:left w:w="100" w:type="dxa"/>
              <w:right w:w="100" w:type="dxa"/>
            </w:tcMar>
          </w:tcPr>
          <w:p>
            <w:pPr>
              <w:jc w:val="center"/>
            </w:pPr>
            <w:r>
              <w:rPr>
                <w:rFonts w:ascii="Times New Roman" w:hAnsi="Times New Roman"/>
                <w:b/>
                <w:color w:val="FFFFFF"/>
                <w:sz w:val="19"/>
              </w:rPr>
              <w:t>Processing Logic</w:t>
            </w:r>
          </w:p>
        </w:tc>
        <w:tc>
          <w:tcPr>
            <w:tcW w:type="dxa" w:w="2405"/>
            <w:shd w:fill="1A365D"/>
            <w:tcMar>
              <w:top w:w="80" w:type="dxa"/>
              <w:bottom w:w="80" w:type="dxa"/>
              <w:left w:w="100" w:type="dxa"/>
              <w:right w:w="100" w:type="dxa"/>
            </w:tcMar>
          </w:tcPr>
          <w:p>
            <w:pPr>
              <w:jc w:val="center"/>
            </w:pPr>
            <w:r>
              <w:rPr>
                <w:rFonts w:ascii="Times New Roman" w:hAnsi="Times New Roman"/>
                <w:b/>
                <w:color w:val="FFFFFF"/>
                <w:sz w:val="19"/>
              </w:rPr>
              <w:t>Output Data &amp; Type</w:t>
            </w:r>
          </w:p>
        </w:tc>
      </w:tr>
      <w:tr>
        <w:tc>
          <w:tcPr>
            <w:tcW w:type="dxa" w:w="2016"/>
            <w:tcMar>
              <w:top w:w="60" w:type="dxa"/>
              <w:bottom w:w="60" w:type="dxa"/>
              <w:left w:w="80" w:type="dxa"/>
              <w:right w:w="80" w:type="dxa"/>
            </w:tcMar>
          </w:tcPr>
          <w:p>
            <w:pPr>
              <w:spacing w:line="276" w:lineRule="auto"/>
            </w:pPr>
            <w:r>
              <w:rPr>
                <w:rFonts w:ascii="Times New Roman" w:hAnsi="Times New Roman"/>
                <w:b/>
                <w:sz w:val="18"/>
              </w:rPr>
              <w:t>Child Check-in UI</w:t>
            </w:r>
          </w:p>
        </w:tc>
        <w:tc>
          <w:tcPr>
            <w:tcW w:type="dxa" w:w="2160"/>
            <w:tcMar>
              <w:top w:w="60" w:type="dxa"/>
              <w:bottom w:w="60" w:type="dxa"/>
              <w:left w:w="80" w:type="dxa"/>
              <w:right w:w="80" w:type="dxa"/>
            </w:tcMar>
          </w:tcPr>
          <w:p>
            <w:pPr>
              <w:spacing w:line="276" w:lineRule="auto"/>
            </w:pPr>
            <w:r>
              <w:rPr>
                <w:rFonts w:ascii="Times New Roman" w:hAnsi="Times New Roman"/>
                <w:sz w:val="18"/>
              </w:rPr>
              <w:t>User taps &amp; sliders (int, float)</w:t>
            </w:r>
          </w:p>
        </w:tc>
        <w:tc>
          <w:tcPr>
            <w:tcW w:type="dxa" w:w="2448"/>
            <w:tcMar>
              <w:top w:w="60" w:type="dxa"/>
              <w:bottom w:w="60" w:type="dxa"/>
              <w:left w:w="80" w:type="dxa"/>
              <w:right w:w="80" w:type="dxa"/>
            </w:tcMar>
          </w:tcPr>
          <w:p>
            <w:pPr>
              <w:spacing w:line="276" w:lineRule="auto"/>
            </w:pPr>
            <w:r>
              <w:rPr>
                <w:rFonts w:ascii="Times New Roman" w:hAnsi="Times New Roman"/>
                <w:sz w:val="18"/>
              </w:rPr>
              <w:t>Validates bounds, updates UI state</w:t>
            </w:r>
          </w:p>
        </w:tc>
        <w:tc>
          <w:tcPr>
            <w:tcW w:type="dxa" w:w="2405"/>
            <w:tcMar>
              <w:top w:w="60" w:type="dxa"/>
              <w:bottom w:w="60" w:type="dxa"/>
              <w:left w:w="80" w:type="dxa"/>
              <w:right w:w="80" w:type="dxa"/>
            </w:tcMar>
          </w:tcPr>
          <w:p>
            <w:pPr>
              <w:spacing w:line="276" w:lineRule="auto"/>
            </w:pPr>
            <w:r>
              <w:rPr>
                <w:rFonts w:ascii="Times New Roman" w:hAnsi="Times New Roman"/>
                <w:sz w:val="18"/>
              </w:rPr>
              <w:t>Structured check-in payload tuple</w:t>
            </w:r>
          </w:p>
        </w:tc>
      </w:tr>
      <w:tr>
        <w:tc>
          <w:tcPr>
            <w:tcW w:type="dxa" w:w="2016"/>
            <w:shd w:fill="F7FAFC"/>
            <w:tcMar>
              <w:top w:w="60" w:type="dxa"/>
              <w:bottom w:w="60" w:type="dxa"/>
              <w:left w:w="80" w:type="dxa"/>
              <w:right w:w="80" w:type="dxa"/>
            </w:tcMar>
          </w:tcPr>
          <w:p>
            <w:pPr>
              <w:spacing w:line="276" w:lineRule="auto"/>
            </w:pPr>
            <w:r>
              <w:rPr>
                <w:rFonts w:ascii="Times New Roman" w:hAnsi="Times New Roman"/>
                <w:b/>
                <w:sz w:val="18"/>
              </w:rPr>
              <w:t>Assessment Engine</w:t>
            </w:r>
          </w:p>
        </w:tc>
        <w:tc>
          <w:tcPr>
            <w:tcW w:type="dxa" w:w="2160"/>
            <w:shd w:fill="F7FAFC"/>
            <w:tcMar>
              <w:top w:w="60" w:type="dxa"/>
              <w:bottom w:w="60" w:type="dxa"/>
              <w:left w:w="80" w:type="dxa"/>
              <w:right w:w="80" w:type="dxa"/>
            </w:tcMar>
          </w:tcPr>
          <w:p>
            <w:pPr>
              <w:spacing w:line="276" w:lineRule="auto"/>
            </w:pPr>
            <w:r>
              <w:rPr>
                <w:rFonts w:ascii="Times New Roman" w:hAnsi="Times New Roman"/>
                <w:sz w:val="18"/>
              </w:rPr>
              <w:t>Feature tuple (X1, ..., Xk)</w:t>
            </w:r>
          </w:p>
        </w:tc>
        <w:tc>
          <w:tcPr>
            <w:tcW w:type="dxa" w:w="2448"/>
            <w:shd w:fill="F7FAFC"/>
            <w:tcMar>
              <w:top w:w="60" w:type="dxa"/>
              <w:bottom w:w="60" w:type="dxa"/>
              <w:left w:w="80" w:type="dxa"/>
              <w:right w:w="80" w:type="dxa"/>
            </w:tcMar>
          </w:tcPr>
          <w:p>
            <w:pPr>
              <w:spacing w:line="276" w:lineRule="auto"/>
            </w:pPr>
            <w:r>
              <w:rPr>
                <w:rFonts w:ascii="Times New Roman" w:hAnsi="Times New Roman"/>
                <w:sz w:val="18"/>
              </w:rPr>
              <w:t>Cleans values, checks bounds</w:t>
            </w:r>
          </w:p>
        </w:tc>
        <w:tc>
          <w:tcPr>
            <w:tcW w:type="dxa" w:w="2405"/>
            <w:shd w:fill="F7FAFC"/>
            <w:tcMar>
              <w:top w:w="60" w:type="dxa"/>
              <w:bottom w:w="60" w:type="dxa"/>
              <w:left w:w="80" w:type="dxa"/>
              <w:right w:w="80" w:type="dxa"/>
            </w:tcMar>
          </w:tcPr>
          <w:p>
            <w:pPr>
              <w:spacing w:line="276" w:lineRule="auto"/>
            </w:pPr>
            <w:r>
              <w:rPr>
                <w:rFonts w:ascii="Times New Roman" w:hAnsi="Times New Roman"/>
                <w:sz w:val="18"/>
              </w:rPr>
              <w:t>Standardized numerical feature array</w:t>
            </w:r>
          </w:p>
        </w:tc>
      </w:tr>
      <w:tr>
        <w:tc>
          <w:tcPr>
            <w:tcW w:type="dxa" w:w="2016"/>
            <w:tcMar>
              <w:top w:w="60" w:type="dxa"/>
              <w:bottom w:w="60" w:type="dxa"/>
              <w:left w:w="80" w:type="dxa"/>
              <w:right w:w="80" w:type="dxa"/>
            </w:tcMar>
          </w:tcPr>
          <w:p>
            <w:pPr>
              <w:spacing w:line="276" w:lineRule="auto"/>
            </w:pPr>
            <w:r>
              <w:rPr>
                <w:rFonts w:ascii="Times New Roman" w:hAnsi="Times New Roman"/>
                <w:b/>
                <w:sz w:val="18"/>
              </w:rPr>
              <w:t>NLP Sentiment Engine</w:t>
            </w:r>
          </w:p>
        </w:tc>
        <w:tc>
          <w:tcPr>
            <w:tcW w:type="dxa" w:w="2160"/>
            <w:tcMar>
              <w:top w:w="60" w:type="dxa"/>
              <w:bottom w:w="60" w:type="dxa"/>
              <w:left w:w="80" w:type="dxa"/>
              <w:right w:w="80" w:type="dxa"/>
            </w:tcMar>
          </w:tcPr>
          <w:p>
            <w:pPr>
              <w:spacing w:line="276" w:lineRule="auto"/>
            </w:pPr>
            <w:r>
              <w:rPr>
                <w:rFonts w:ascii="Times New Roman" w:hAnsi="Times New Roman"/>
                <w:sz w:val="18"/>
              </w:rPr>
              <w:t>Raw text string (str)</w:t>
            </w:r>
          </w:p>
        </w:tc>
        <w:tc>
          <w:tcPr>
            <w:tcW w:type="dxa" w:w="2448"/>
            <w:tcMar>
              <w:top w:w="60" w:type="dxa"/>
              <w:bottom w:w="60" w:type="dxa"/>
              <w:left w:w="80" w:type="dxa"/>
              <w:right w:w="80" w:type="dxa"/>
            </w:tcMar>
          </w:tcPr>
          <w:p>
            <w:pPr>
              <w:spacing w:line="276" w:lineRule="auto"/>
            </w:pPr>
            <w:r>
              <w:rPr>
                <w:rFonts w:ascii="Times New Roman" w:hAnsi="Times New Roman"/>
                <w:sz w:val="18"/>
              </w:rPr>
              <w:t>Tokenization, lexicon valence scoring</w:t>
            </w:r>
          </w:p>
        </w:tc>
        <w:tc>
          <w:tcPr>
            <w:tcW w:type="dxa" w:w="2405"/>
            <w:tcMar>
              <w:top w:w="60" w:type="dxa"/>
              <w:bottom w:w="60" w:type="dxa"/>
              <w:left w:w="80" w:type="dxa"/>
              <w:right w:w="80" w:type="dxa"/>
            </w:tcMar>
          </w:tcPr>
          <w:p>
            <w:pPr>
              <w:spacing w:line="276" w:lineRule="auto"/>
            </w:pPr>
            <w:r>
              <w:rPr>
                <w:rFonts w:ascii="Times New Roman" w:hAnsi="Times New Roman"/>
                <w:sz w:val="18"/>
              </w:rPr>
              <w:t>Compound score [-1.0, +1.0], Tone tag</w:t>
            </w:r>
          </w:p>
        </w:tc>
      </w:tr>
      <w:tr>
        <w:tc>
          <w:tcPr>
            <w:tcW w:type="dxa" w:w="2016"/>
            <w:shd w:fill="F7FAFC"/>
            <w:tcMar>
              <w:top w:w="60" w:type="dxa"/>
              <w:bottom w:w="60" w:type="dxa"/>
              <w:left w:w="80" w:type="dxa"/>
              <w:right w:w="80" w:type="dxa"/>
            </w:tcMar>
          </w:tcPr>
          <w:p>
            <w:pPr>
              <w:spacing w:line="276" w:lineRule="auto"/>
            </w:pPr>
            <w:r>
              <w:rPr>
                <w:rFonts w:ascii="Times New Roman" w:hAnsi="Times New Roman"/>
                <w:b/>
                <w:sz w:val="18"/>
              </w:rPr>
              <w:t>ML Classifier (Proposed)</w:t>
            </w:r>
          </w:p>
        </w:tc>
        <w:tc>
          <w:tcPr>
            <w:tcW w:type="dxa" w:w="2160"/>
            <w:shd w:fill="F7FAFC"/>
            <w:tcMar>
              <w:top w:w="60" w:type="dxa"/>
              <w:bottom w:w="60" w:type="dxa"/>
              <w:left w:w="80" w:type="dxa"/>
              <w:right w:w="80" w:type="dxa"/>
            </w:tcMar>
          </w:tcPr>
          <w:p>
            <w:pPr>
              <w:spacing w:line="276" w:lineRule="auto"/>
            </w:pPr>
            <w:r>
              <w:rPr>
                <w:rFonts w:ascii="Times New Roman" w:hAnsi="Times New Roman"/>
                <w:sz w:val="18"/>
              </w:rPr>
              <w:t>Scaled feature vector X_scaled</w:t>
            </w:r>
          </w:p>
        </w:tc>
        <w:tc>
          <w:tcPr>
            <w:tcW w:type="dxa" w:w="2448"/>
            <w:shd w:fill="F7FAFC"/>
            <w:tcMar>
              <w:top w:w="60" w:type="dxa"/>
              <w:bottom w:w="60" w:type="dxa"/>
              <w:left w:w="80" w:type="dxa"/>
              <w:right w:w="80" w:type="dxa"/>
            </w:tcMar>
          </w:tcPr>
          <w:p>
            <w:pPr>
              <w:spacing w:line="276" w:lineRule="auto"/>
            </w:pPr>
            <w:r>
              <w:rPr>
                <w:rFonts w:ascii="Times New Roman" w:hAnsi="Times New Roman"/>
                <w:sz w:val="18"/>
              </w:rPr>
              <w:t>Supervised tree classification inference</w:t>
            </w:r>
          </w:p>
        </w:tc>
        <w:tc>
          <w:tcPr>
            <w:tcW w:type="dxa" w:w="2405"/>
            <w:shd w:fill="F7FAFC"/>
            <w:tcMar>
              <w:top w:w="60" w:type="dxa"/>
              <w:bottom w:w="60" w:type="dxa"/>
              <w:left w:w="80" w:type="dxa"/>
              <w:right w:w="80" w:type="dxa"/>
            </w:tcMar>
          </w:tcPr>
          <w:p>
            <w:pPr>
              <w:spacing w:line="276" w:lineRule="auto"/>
            </w:pPr>
            <w:r>
              <w:rPr>
                <w:rFonts w:ascii="Times New Roman" w:hAnsi="Times New Roman"/>
                <w:sz w:val="18"/>
              </w:rPr>
              <w:t>Predicted Risk Tier {0, 1, 2}, Probabilities</w:t>
            </w:r>
          </w:p>
        </w:tc>
      </w:tr>
      <w:tr>
        <w:tc>
          <w:tcPr>
            <w:tcW w:type="dxa" w:w="2016"/>
            <w:tcMar>
              <w:top w:w="60" w:type="dxa"/>
              <w:bottom w:w="60" w:type="dxa"/>
              <w:left w:w="80" w:type="dxa"/>
              <w:right w:w="80" w:type="dxa"/>
            </w:tcMar>
          </w:tcPr>
          <w:p>
            <w:pPr>
              <w:spacing w:line="276" w:lineRule="auto"/>
            </w:pPr>
            <w:r>
              <w:rPr>
                <w:rFonts w:ascii="Times New Roman" w:hAnsi="Times New Roman"/>
                <w:b/>
                <w:sz w:val="18"/>
              </w:rPr>
              <w:t>Coping Toolkit</w:t>
            </w:r>
          </w:p>
        </w:tc>
        <w:tc>
          <w:tcPr>
            <w:tcW w:type="dxa" w:w="2160"/>
            <w:tcMar>
              <w:top w:w="60" w:type="dxa"/>
              <w:bottom w:w="60" w:type="dxa"/>
              <w:left w:w="80" w:type="dxa"/>
              <w:right w:w="80" w:type="dxa"/>
            </w:tcMar>
          </w:tcPr>
          <w:p>
            <w:pPr>
              <w:spacing w:line="276" w:lineRule="auto"/>
            </w:pPr>
            <w:r>
              <w:rPr>
                <w:rFonts w:ascii="Times New Roman" w:hAnsi="Times New Roman"/>
                <w:sz w:val="18"/>
              </w:rPr>
              <w:t>Selected mood, Risk tier</w:t>
            </w:r>
          </w:p>
        </w:tc>
        <w:tc>
          <w:tcPr>
            <w:tcW w:type="dxa" w:w="2448"/>
            <w:tcMar>
              <w:top w:w="60" w:type="dxa"/>
              <w:bottom w:w="60" w:type="dxa"/>
              <w:left w:w="80" w:type="dxa"/>
              <w:right w:w="80" w:type="dxa"/>
            </w:tcMar>
          </w:tcPr>
          <w:p>
            <w:pPr>
              <w:spacing w:line="276" w:lineRule="auto"/>
            </w:pPr>
            <w:r>
              <w:rPr>
                <w:rFonts w:ascii="Times New Roman" w:hAnsi="Times New Roman"/>
                <w:sz w:val="18"/>
              </w:rPr>
              <w:t>Rule-based calming activity matcher</w:t>
            </w:r>
          </w:p>
        </w:tc>
        <w:tc>
          <w:tcPr>
            <w:tcW w:type="dxa" w:w="2405"/>
            <w:tcMar>
              <w:top w:w="60" w:type="dxa"/>
              <w:bottom w:w="60" w:type="dxa"/>
              <w:left w:w="80" w:type="dxa"/>
              <w:right w:w="80" w:type="dxa"/>
            </w:tcMar>
          </w:tcPr>
          <w:p>
            <w:pPr>
              <w:spacing w:line="276" w:lineRule="auto"/>
            </w:pPr>
            <w:r>
              <w:rPr>
                <w:rFonts w:ascii="Times New Roman" w:hAnsi="Times New Roman"/>
                <w:sz w:val="18"/>
              </w:rPr>
              <w:t>4-7-8 timer config, Affirmation card</w:t>
            </w:r>
          </w:p>
        </w:tc>
      </w:tr>
      <w:tr>
        <w:tc>
          <w:tcPr>
            <w:tcW w:type="dxa" w:w="2016"/>
            <w:shd w:fill="F7FAFC"/>
            <w:tcMar>
              <w:top w:w="60" w:type="dxa"/>
              <w:bottom w:w="60" w:type="dxa"/>
              <w:left w:w="80" w:type="dxa"/>
              <w:right w:w="80" w:type="dxa"/>
            </w:tcMar>
          </w:tcPr>
          <w:p>
            <w:pPr>
              <w:spacing w:line="276" w:lineRule="auto"/>
            </w:pPr>
            <w:r>
              <w:rPr>
                <w:rFonts w:ascii="Times New Roman" w:hAnsi="Times New Roman"/>
                <w:b/>
                <w:sz w:val="18"/>
              </w:rPr>
              <w:t>Triage Router</w:t>
            </w:r>
          </w:p>
        </w:tc>
        <w:tc>
          <w:tcPr>
            <w:tcW w:type="dxa" w:w="2160"/>
            <w:shd w:fill="F7FAFC"/>
            <w:tcMar>
              <w:top w:w="60" w:type="dxa"/>
              <w:bottom w:w="60" w:type="dxa"/>
              <w:left w:w="80" w:type="dxa"/>
              <w:right w:w="80" w:type="dxa"/>
            </w:tcMar>
          </w:tcPr>
          <w:p>
            <w:pPr>
              <w:spacing w:line="276" w:lineRule="auto"/>
            </w:pPr>
            <w:r>
              <w:rPr>
                <w:rFonts w:ascii="Times New Roman" w:hAnsi="Times New Roman"/>
                <w:sz w:val="18"/>
              </w:rPr>
              <w:t>Risk tier &gt;= 2 or crisis flag</w:t>
            </w:r>
          </w:p>
        </w:tc>
        <w:tc>
          <w:tcPr>
            <w:tcW w:type="dxa" w:w="2448"/>
            <w:shd w:fill="F7FAFC"/>
            <w:tcMar>
              <w:top w:w="60" w:type="dxa"/>
              <w:bottom w:w="60" w:type="dxa"/>
              <w:left w:w="80" w:type="dxa"/>
              <w:right w:w="80" w:type="dxa"/>
            </w:tcMar>
          </w:tcPr>
          <w:p>
            <w:pPr>
              <w:spacing w:line="276" w:lineRule="auto"/>
            </w:pPr>
            <w:r>
              <w:rPr>
                <w:rFonts w:ascii="Times New Roman" w:hAnsi="Times New Roman"/>
                <w:sz w:val="18"/>
              </w:rPr>
              <w:t>Evaluates alert threshold conditions</w:t>
            </w:r>
          </w:p>
        </w:tc>
        <w:tc>
          <w:tcPr>
            <w:tcW w:type="dxa" w:w="2405"/>
            <w:shd w:fill="F7FAFC"/>
            <w:tcMar>
              <w:top w:w="60" w:type="dxa"/>
              <w:bottom w:w="60" w:type="dxa"/>
              <w:left w:w="80" w:type="dxa"/>
              <w:right w:w="80" w:type="dxa"/>
            </w:tcMar>
          </w:tcPr>
          <w:p>
            <w:pPr>
              <w:spacing w:line="276" w:lineRule="auto"/>
            </w:pPr>
            <w:r>
              <w:rPr>
                <w:rFonts w:ascii="Times New Roman" w:hAnsi="Times New Roman"/>
                <w:sz w:val="18"/>
              </w:rPr>
              <w:t>Priority crisis banner, Hotline directory</w:t>
            </w:r>
          </w:p>
        </w:tc>
      </w:tr>
      <w:tr>
        <w:tc>
          <w:tcPr>
            <w:tcW w:type="dxa" w:w="2016"/>
            <w:tcMar>
              <w:top w:w="60" w:type="dxa"/>
              <w:bottom w:w="60" w:type="dxa"/>
              <w:left w:w="80" w:type="dxa"/>
              <w:right w:w="80" w:type="dxa"/>
            </w:tcMar>
          </w:tcPr>
          <w:p>
            <w:pPr>
              <w:spacing w:line="276" w:lineRule="auto"/>
            </w:pPr>
            <w:r>
              <w:rPr>
                <w:rFonts w:ascii="Times New Roman" w:hAnsi="Times New Roman"/>
                <w:b/>
                <w:sz w:val="18"/>
              </w:rPr>
              <w:t>Longitudinal Visualizer</w:t>
            </w:r>
          </w:p>
        </w:tc>
        <w:tc>
          <w:tcPr>
            <w:tcW w:type="dxa" w:w="2160"/>
            <w:tcMar>
              <w:top w:w="60" w:type="dxa"/>
              <w:bottom w:w="60" w:type="dxa"/>
              <w:left w:w="80" w:type="dxa"/>
              <w:right w:w="80" w:type="dxa"/>
            </w:tcMar>
          </w:tcPr>
          <w:p>
            <w:pPr>
              <w:spacing w:line="276" w:lineRule="auto"/>
            </w:pPr>
            <w:r>
              <w:rPr>
                <w:rFonts w:ascii="Times New Roman" w:hAnsi="Times New Roman"/>
                <w:sz w:val="18"/>
              </w:rPr>
              <w:t>Historical check-in time series</w:t>
            </w:r>
          </w:p>
        </w:tc>
        <w:tc>
          <w:tcPr>
            <w:tcW w:type="dxa" w:w="2448"/>
            <w:tcMar>
              <w:top w:w="60" w:type="dxa"/>
              <w:bottom w:w="60" w:type="dxa"/>
              <w:left w:w="80" w:type="dxa"/>
              <w:right w:w="80" w:type="dxa"/>
            </w:tcMar>
          </w:tcPr>
          <w:p>
            <w:pPr>
              <w:spacing w:line="276" w:lineRule="auto"/>
            </w:pPr>
            <w:r>
              <w:rPr>
                <w:rFonts w:ascii="Times New Roman" w:hAnsi="Times New Roman"/>
                <w:sz w:val="18"/>
              </w:rPr>
              <w:t>Calculates 7-day rolling averages</w:t>
            </w:r>
          </w:p>
        </w:tc>
        <w:tc>
          <w:tcPr>
            <w:tcW w:type="dxa" w:w="2405"/>
            <w:tcMar>
              <w:top w:w="60" w:type="dxa"/>
              <w:bottom w:w="60" w:type="dxa"/>
              <w:left w:w="80" w:type="dxa"/>
              <w:right w:w="80" w:type="dxa"/>
            </w:tcMar>
          </w:tcPr>
          <w:p>
            <w:pPr>
              <w:spacing w:line="276" w:lineRule="auto"/>
            </w:pPr>
            <w:r>
              <w:rPr>
                <w:rFonts w:ascii="Times New Roman" w:hAnsi="Times New Roman"/>
                <w:sz w:val="18"/>
              </w:rPr>
              <w:t>Interactive trend &amp; correlation plots</w:t>
            </w:r>
          </w:p>
        </w:tc>
      </w:tr>
    </w:tbl>
    <w:p>
      <w:pPr>
        <w:spacing w:before="80" w:after="200"/>
        <w:jc w:val="center"/>
      </w:pPr>
      <w:r>
        <w:rPr>
          <w:rFonts w:ascii="Times New Roman" w:hAnsi="Times New Roman"/>
          <w:i/>
          <w:sz w:val="20"/>
        </w:rPr>
        <w:t>Table 2: Input / Output Specifications Across System Components</w:t>
      </w:r>
    </w:p>
    <w:p>
      <w:pPr>
        <w:keepNext/>
        <w:spacing w:before="240" w:after="80"/>
      </w:pPr>
      <w:r>
        <w:rPr>
          <w:rFonts w:ascii="Times New Roman" w:hAnsi="Times New Roman"/>
          <w:b/>
          <w:color w:val="2B6CB0"/>
          <w:sz w:val="28"/>
        </w:rPr>
        <w:t>2.4 Data Flow Modeling</w:t>
      </w:r>
    </w:p>
    <w:p>
      <w:pPr>
        <w:spacing w:line="360" w:lineRule="auto" w:after="120"/>
        <w:jc w:val="both"/>
      </w:pPr>
      <w:r>
        <w:rPr>
          <w:rFonts w:ascii="Times New Roman" w:hAnsi="Times New Roman"/>
          <w:i w:val="0"/>
          <w:color w:val="2D3748"/>
          <w:sz w:val="24"/>
        </w:rPr>
        <w:t>Figure 2 details the end-to-end data flow from child interaction through dual-modality processing, risk tier synthesis, and role-based output delivery.</w:t>
      </w:r>
    </w:p>
    <w:p>
      <w:pPr>
        <w:spacing w:before="160" w:after="80"/>
        <w:jc w:val="center"/>
      </w:pPr>
      <w:r>
        <w:drawing>
          <wp:inline xmlns:a="http://schemas.openxmlformats.org/drawingml/2006/main" xmlns:pic="http://schemas.openxmlformats.org/drawingml/2006/picture">
            <wp:extent cx="5303520" cy="4232102"/>
            <wp:docPr id="2" name="Picture 2"/>
            <wp:cNvGraphicFramePr>
              <a:graphicFrameLocks noChangeAspect="1"/>
            </wp:cNvGraphicFramePr>
            <a:graphic>
              <a:graphicData uri="http://schemas.openxmlformats.org/drawingml/2006/picture">
                <pic:pic>
                  <pic:nvPicPr>
                    <pic:cNvPr id="0" name="fig2_dataflow.png"/>
                    <pic:cNvPicPr/>
                  </pic:nvPicPr>
                  <pic:blipFill>
                    <a:blip r:embed="rId12"/>
                    <a:stretch>
                      <a:fillRect/>
                    </a:stretch>
                  </pic:blipFill>
                  <pic:spPr>
                    <a:xfrm>
                      <a:off x="0" y="0"/>
                      <a:ext cx="5303520" cy="4232102"/>
                    </a:xfrm>
                    <a:prstGeom prst="rect"/>
                  </pic:spPr>
                </pic:pic>
              </a:graphicData>
            </a:graphic>
          </wp:inline>
        </w:drawing>
      </w:r>
    </w:p>
    <w:p>
      <w:pPr>
        <w:spacing w:after="240"/>
        <w:jc w:val="center"/>
      </w:pPr>
      <w:r>
        <w:rPr>
          <w:rFonts w:ascii="Times New Roman" w:hAnsi="Times New Roman"/>
          <w:i/>
          <w:sz w:val="20"/>
        </w:rPr>
        <w:t>Figure 2: Data Flow of the Proposed System</w:t>
      </w:r>
    </w:p>
    <w:p>
      <w:pPr>
        <w:keepNext/>
        <w:spacing w:before="240" w:after="80"/>
      </w:pPr>
      <w:r>
        <w:rPr>
          <w:rFonts w:ascii="Times New Roman" w:hAnsi="Times New Roman"/>
          <w:b/>
          <w:color w:val="2B6CB0"/>
          <w:sz w:val="28"/>
        </w:rPr>
        <w:t>2.5 Privacy, Security, Consent, and Child Safety Protocols</w:t>
      </w:r>
    </w:p>
    <w:p>
      <w:pPr>
        <w:spacing w:line="360" w:lineRule="auto" w:after="120"/>
        <w:jc w:val="both"/>
      </w:pPr>
      <w:r>
        <w:rPr>
          <w:rFonts w:ascii="Times New Roman" w:hAnsi="Times New Roman"/>
          <w:i w:val="0"/>
          <w:color w:val="2D3748"/>
          <w:sz w:val="24"/>
        </w:rPr>
        <w:t>Because this system targets pediatric users in India, the architectural design incorporates rigorous privacy-by-design principles informed by Section 9 of the Digital Personal Data Protection Act, 2023 (DPDP Act 2023):</w:t>
      </w:r>
    </w:p>
    <w:p>
      <w:pPr>
        <w:pStyle w:val="ListBullet"/>
        <w:spacing w:line="300" w:lineRule="auto" w:after="80"/>
        <w:jc w:val="both"/>
      </w:pPr>
      <w:r>
        <w:rPr>
          <w:rFonts w:ascii="Times New Roman" w:hAnsi="Times New Roman"/>
          <w:b/>
          <w:color w:val="1A202C"/>
          <w:sz w:val="23"/>
        </w:rPr>
        <w:t xml:space="preserve">Data Minimization: </w:t>
      </w:r>
      <w:r>
        <w:rPr>
          <w:rFonts w:ascii="Times New Roman" w:hAnsi="Times New Roman"/>
          <w:color w:val="2D3748"/>
          <w:sz w:val="23"/>
        </w:rPr>
        <w:t>The platform does not collect, transmit, or store personally identifiable information (PII) such as full names, residential addresses, phone numbers, or school IDs. User sessions utilize ephemeral, anonymized tokens.</w:t>
      </w:r>
    </w:p>
    <w:p>
      <w:pPr>
        <w:pStyle w:val="ListBullet"/>
        <w:spacing w:line="300" w:lineRule="auto" w:after="80"/>
        <w:jc w:val="both"/>
      </w:pPr>
      <w:r>
        <w:rPr>
          <w:rFonts w:ascii="Times New Roman" w:hAnsi="Times New Roman"/>
          <w:b/>
          <w:color w:val="1A202C"/>
          <w:sz w:val="23"/>
        </w:rPr>
        <w:t xml:space="preserve">Verifiable Parental Consent: </w:t>
      </w:r>
      <w:r>
        <w:rPr>
          <w:rFonts w:ascii="Times New Roman" w:hAnsi="Times New Roman"/>
          <w:color w:val="2D3748"/>
          <w:sz w:val="23"/>
        </w:rPr>
        <w:t>In accordance with Indian statutory requirements for minors, the system is designed with a guardian onboarding workflow to ensure informed parental consent prior to child usage.</w:t>
      </w:r>
    </w:p>
    <w:p>
      <w:pPr>
        <w:pStyle w:val="ListBullet"/>
        <w:spacing w:line="300" w:lineRule="auto" w:after="80"/>
        <w:jc w:val="both"/>
      </w:pPr>
      <w:r>
        <w:rPr>
          <w:rFonts w:ascii="Times New Roman" w:hAnsi="Times New Roman"/>
          <w:b/>
          <w:color w:val="1A202C"/>
          <w:sz w:val="23"/>
        </w:rPr>
        <w:t xml:space="preserve">Purpose Limitation: </w:t>
      </w:r>
      <w:r>
        <w:rPr>
          <w:rFonts w:ascii="Times New Roman" w:hAnsi="Times New Roman"/>
          <w:color w:val="2D3748"/>
          <w:sz w:val="23"/>
        </w:rPr>
        <w:t>All captured lifestyle and mood metrics are utilized strictly for real-time well-being tracking, trend visualization, and immediate non-clinical psychoeducation.</w:t>
      </w:r>
    </w:p>
    <w:p>
      <w:pPr>
        <w:pStyle w:val="ListBullet"/>
        <w:spacing w:line="300" w:lineRule="auto" w:after="80"/>
        <w:jc w:val="both"/>
      </w:pPr>
      <w:r>
        <w:rPr>
          <w:rFonts w:ascii="Times New Roman" w:hAnsi="Times New Roman"/>
          <w:b/>
          <w:color w:val="1A202C"/>
          <w:sz w:val="23"/>
        </w:rPr>
        <w:t xml:space="preserve">Local Processing: </w:t>
      </w:r>
      <w:r>
        <w:rPr>
          <w:rFonts w:ascii="Times New Roman" w:hAnsi="Times New Roman"/>
          <w:color w:val="2D3748"/>
          <w:sz w:val="23"/>
        </w:rPr>
        <w:t>Machine learning inference and natural language sentiment scoring operate locally within the application session, ensuring personal diary reflections are not transmitted to external commercial APIs.</w:t>
      </w:r>
    </w:p>
    <w:p>
      <w:pPr>
        <w:pStyle w:val="ListBullet"/>
        <w:spacing w:line="300" w:lineRule="auto" w:after="80"/>
        <w:jc w:val="both"/>
      </w:pPr>
      <w:r>
        <w:rPr>
          <w:rFonts w:ascii="Times New Roman" w:hAnsi="Times New Roman"/>
          <w:b/>
          <w:color w:val="1A202C"/>
          <w:sz w:val="23"/>
        </w:rPr>
        <w:t xml:space="preserve">Non-Stigmatizing Communication: </w:t>
      </w:r>
      <w:r>
        <w:rPr>
          <w:rFonts w:ascii="Times New Roman" w:hAnsi="Times New Roman"/>
          <w:color w:val="2D3748"/>
          <w:sz w:val="23"/>
        </w:rPr>
        <w:t>All interface feedback presented to children uses supportive, encouraging, and non-pathologizing language to reinforce emotional awareness without inducing anxiety.</w:t>
      </w:r>
    </w:p>
    <w:p>
      <w:r>
        <w:br w:type="page"/>
      </w:r>
    </w:p>
    <w:p>
      <w:pPr>
        <w:keepNext/>
        <w:spacing w:before="320" w:after="120"/>
      </w:pPr>
      <w:r>
        <w:rPr>
          <w:rFonts w:ascii="Times New Roman" w:hAnsi="Times New Roman"/>
          <w:b/>
          <w:color w:val="1A365D"/>
          <w:sz w:val="32"/>
        </w:rPr>
        <w:t>3. Section 3: Expected System Outputs</w:t>
      </w:r>
    </w:p>
    <w:p>
      <w:pPr>
        <w:keepNext/>
        <w:spacing w:before="240" w:after="80"/>
      </w:pPr>
      <w:r>
        <w:rPr>
          <w:rFonts w:ascii="Times New Roman" w:hAnsi="Times New Roman"/>
          <w:b/>
          <w:color w:val="2B6CB0"/>
          <w:sz w:val="28"/>
        </w:rPr>
        <w:t>3.1 Functional Output Deliverables</w:t>
      </w:r>
    </w:p>
    <w:p>
      <w:pPr>
        <w:spacing w:line="360" w:lineRule="auto" w:after="120"/>
        <w:jc w:val="both"/>
      </w:pPr>
      <w:r>
        <w:rPr>
          <w:rFonts w:ascii="Times New Roman" w:hAnsi="Times New Roman"/>
          <w:i w:val="0"/>
          <w:color w:val="2D3748"/>
          <w:sz w:val="24"/>
        </w:rPr>
        <w:t>The completed platform is expected to deliver structured, user-friendly, and actionable outputs across both user roles:</w:t>
      </w:r>
    </w:p>
    <w:p>
      <w:pPr>
        <w:pStyle w:val="ListBullet"/>
        <w:spacing w:line="300" w:lineRule="auto" w:after="80"/>
        <w:jc w:val="both"/>
      </w:pPr>
      <w:r>
        <w:rPr>
          <w:rFonts w:ascii="Times New Roman" w:hAnsi="Times New Roman"/>
          <w:b/>
          <w:color w:val="1A202C"/>
          <w:sz w:val="23"/>
        </w:rPr>
        <w:t xml:space="preserve">1. Child Well-being Daily Check-in: </w:t>
      </w:r>
      <w:r>
        <w:rPr>
          <w:rFonts w:ascii="Times New Roman" w:hAnsi="Times New Roman"/>
          <w:color w:val="2D3748"/>
          <w:sz w:val="23"/>
        </w:rPr>
        <w:t>An interactive single-tap emoji grid representing six primary affective states (Joyful, Calm, Neutral, Worried, Sad, Frustrated) alongside intuitive sliders for sleep (4–12 hrs), screen time (0–8 hrs), physical play (0–4 hrs), and perceived school stress (1–5 scale).</w:t>
      </w:r>
    </w:p>
    <w:p>
      <w:pPr>
        <w:pStyle w:val="ListBullet"/>
        <w:spacing w:line="300" w:lineRule="auto" w:after="80"/>
        <w:jc w:val="both"/>
      </w:pPr>
      <w:r>
        <w:rPr>
          <w:rFonts w:ascii="Times New Roman" w:hAnsi="Times New Roman"/>
          <w:b/>
          <w:color w:val="1A202C"/>
          <w:sz w:val="23"/>
        </w:rPr>
        <w:t xml:space="preserve">2. NLP Sentiment Analysis Indicators: </w:t>
      </w:r>
      <w:r>
        <w:rPr>
          <w:rFonts w:ascii="Times New Roman" w:hAnsi="Times New Roman"/>
          <w:color w:val="2D3748"/>
          <w:sz w:val="23"/>
        </w:rPr>
        <w:t>A continuous polarity index ranging from -1.0 (Negative) to +1.0 (Positive) and affective tone tags derived from optional child journal reflections, operating strictly as a measure of linguistic sentiment rather than psychiatric diagnosis.</w:t>
      </w:r>
    </w:p>
    <w:p>
      <w:pPr>
        <w:pStyle w:val="ListBullet"/>
        <w:spacing w:line="300" w:lineRule="auto" w:after="80"/>
        <w:jc w:val="both"/>
      </w:pPr>
      <w:r>
        <w:rPr>
          <w:rFonts w:ascii="Times New Roman" w:hAnsi="Times New Roman"/>
          <w:b/>
          <w:color w:val="1A202C"/>
          <w:sz w:val="23"/>
        </w:rPr>
        <w:t xml:space="preserve">3. Supervised ML Risk Stratification: </w:t>
      </w:r>
      <w:r>
        <w:rPr>
          <w:rFonts w:ascii="Times New Roman" w:hAnsi="Times New Roman"/>
          <w:color w:val="2D3748"/>
          <w:sz w:val="23"/>
        </w:rPr>
        <w:t>Multi-class categorization into Low Risk / Healthy (Tier 0), Moderate Risk / Monitoring (Tier 1), or Elevated Risk / Action Advised (Tier 2), accompanied by class probabilities and contributing lifestyle factor attributions.</w:t>
      </w:r>
    </w:p>
    <w:p>
      <w:pPr>
        <w:pStyle w:val="ListBullet"/>
        <w:spacing w:line="300" w:lineRule="auto" w:after="80"/>
        <w:jc w:val="both"/>
      </w:pPr>
      <w:r>
        <w:rPr>
          <w:rFonts w:ascii="Times New Roman" w:hAnsi="Times New Roman"/>
          <w:b/>
          <w:color w:val="1A202C"/>
          <w:sz w:val="23"/>
        </w:rPr>
        <w:t xml:space="preserve">4. Longitudinal Trend Analytics: </w:t>
      </w:r>
      <w:r>
        <w:rPr>
          <w:rFonts w:ascii="Times New Roman" w:hAnsi="Times New Roman"/>
          <w:color w:val="2D3748"/>
          <w:sz w:val="23"/>
        </w:rPr>
        <w:t>Interactive time-series line charts displaying daily mood scores, 7-day rolling averages, mood frequency distribution bar charts, and lifestyle correlation scatter plots.</w:t>
      </w:r>
    </w:p>
    <w:p>
      <w:pPr>
        <w:pStyle w:val="ListBullet"/>
        <w:spacing w:line="300" w:lineRule="auto" w:after="80"/>
        <w:jc w:val="both"/>
      </w:pPr>
      <w:r>
        <w:rPr>
          <w:rFonts w:ascii="Times New Roman" w:hAnsi="Times New Roman"/>
          <w:b/>
          <w:color w:val="1A202C"/>
          <w:sz w:val="23"/>
        </w:rPr>
        <w:t xml:space="preserve">5. Psychoeducational Coping Toolkit: </w:t>
      </w:r>
      <w:r>
        <w:rPr>
          <w:rFonts w:ascii="Times New Roman" w:hAnsi="Times New Roman"/>
          <w:color w:val="2D3748"/>
          <w:sz w:val="23"/>
        </w:rPr>
        <w:t>Interactive visual 4-7-8 breathing pacing circle, guided 5-4-3-2-1 sensory grounding prompts, and dynamic positive affirmation cards.</w:t>
      </w:r>
    </w:p>
    <w:p>
      <w:pPr>
        <w:pStyle w:val="ListBullet"/>
        <w:spacing w:line="300" w:lineRule="auto" w:after="80"/>
        <w:jc w:val="both"/>
      </w:pPr>
      <w:r>
        <w:rPr>
          <w:rFonts w:ascii="Times New Roman" w:hAnsi="Times New Roman"/>
          <w:b/>
          <w:color w:val="1A202C"/>
          <w:sz w:val="23"/>
        </w:rPr>
        <w:t xml:space="preserve">6. Guardian / Educator Dashboard: </w:t>
      </w:r>
      <w:r>
        <w:rPr>
          <w:rFonts w:ascii="Times New Roman" w:hAnsi="Times New Roman"/>
          <w:color w:val="2D3748"/>
          <w:sz w:val="23"/>
        </w:rPr>
        <w:t>High-level longitudinal summary scorecards and persistent distress alerts (&gt;= 3 consecutive low days) displayed without exposing private child journal text.</w:t>
      </w:r>
    </w:p>
    <w:p>
      <w:pPr>
        <w:pStyle w:val="ListBullet"/>
        <w:spacing w:line="300" w:lineRule="auto" w:after="80"/>
        <w:jc w:val="both"/>
      </w:pPr>
      <w:r>
        <w:rPr>
          <w:rFonts w:ascii="Times New Roman" w:hAnsi="Times New Roman"/>
          <w:b/>
          <w:color w:val="1A202C"/>
          <w:sz w:val="23"/>
        </w:rPr>
        <w:t xml:space="preserve">7. Verified Crisis Referral Resources: </w:t>
      </w:r>
      <w:r>
        <w:rPr>
          <w:rFonts w:ascii="Times New Roman" w:hAnsi="Times New Roman"/>
          <w:color w:val="2D3748"/>
          <w:sz w:val="23"/>
        </w:rPr>
        <w:t>Direct access to verified Indian national crisis helplines, including Childline 1098 (24/7 toll-free emergency phone service for children under Mission Vatsalya) and Tele-MANAS 14416 / 1800-891-4416 (24/7 toll-free tele-mental health counseling led by NIMHANS).</w:t>
      </w:r>
    </w:p>
    <w:p>
      <w:pPr>
        <w:keepNext/>
        <w:spacing w:before="240" w:after="80"/>
      </w:pPr>
      <w:r>
        <w:rPr>
          <w:rFonts w:ascii="Times New Roman" w:hAnsi="Times New Roman"/>
          <w:b/>
          <w:color w:val="2B6CB0"/>
          <w:sz w:val="28"/>
        </w:rPr>
        <w:t>3.2 Non-Diagnostic Clinical Disclaimer</w:t>
      </w:r>
    </w:p>
    <w:tbl>
      <w:tblPr>
        <w:tblW w:type="auto" w:w="0"/>
        <w:jc w:val="center"/>
        <w:tblLayout w:type="fixed"/>
        <w:tblLook w:firstColumn="1" w:firstRow="1" w:lastColumn="0" w:lastRow="0" w:noHBand="0" w:noVBand="1" w:val="04A0"/>
      </w:tblPr>
      <w:tblGrid>
        <w:gridCol w:w="9029"/>
      </w:tblGrid>
      <w:tr>
        <w:tc>
          <w:tcPr>
            <w:tcW w:type="dxa" w:w="9026"/>
            <w:shd w:fill="F7FAFC"/>
            <w:tcMar>
              <w:top w:w="140" w:type="dxa"/>
              <w:bottom w:w="140" w:type="dxa"/>
              <w:left w:w="200" w:type="dxa"/>
              <w:right w:w="200" w:type="dxa"/>
            </w:tcMar>
            <w:tcBorders>
              <w:top w:val="single" w:sz="6" w:space="0" w:color="CBD5E0"/>
              <w:left w:val="single" w:sz="18" w:space="0" w:color="2B6CB0"/>
              <w:bottom w:val="single" w:sz="6" w:space="0" w:color="CBD5E0"/>
              <w:right w:val="single" w:sz="6" w:space="0" w:color="CBD5E0"/>
            </w:tcBorders>
          </w:tcPr>
          <w:p>
            <w:pPr>
              <w:spacing w:after="80" w:line="276" w:lineRule="auto"/>
            </w:pPr>
            <w:r>
              <w:rPr>
                <w:rFonts w:ascii="Times New Roman" w:hAnsi="Times New Roman"/>
                <w:b/>
                <w:color w:val="1A365D"/>
                <w:sz w:val="23"/>
              </w:rPr>
              <w:t>MEDICAL AND ETHICAL NOTICE</w:t>
            </w:r>
          </w:p>
          <w:p>
            <w:pPr>
              <w:spacing w:after="60" w:line="276" w:lineRule="auto"/>
              <w:jc w:val="both"/>
            </w:pPr>
            <w:r>
              <w:rPr>
                <w:rFonts w:ascii="Times New Roman" w:hAnsi="Times New Roman"/>
                <w:color w:val="2D3748"/>
                <w:sz w:val="21"/>
              </w:rPr>
              <w:t>This software platform is an academic engineering research prototype developed solely for early well-being surveillance, longitudinal tracking, and non-clinical psychoeducational decision support among children and adolescents.</w:t>
            </w:r>
          </w:p>
          <w:p>
            <w:pPr>
              <w:spacing w:after="60" w:line="276" w:lineRule="auto"/>
              <w:jc w:val="both"/>
            </w:pPr>
            <w:r>
              <w:rPr>
                <w:rFonts w:ascii="Times New Roman" w:hAnsi="Times New Roman"/>
                <w:color w:val="2D3748"/>
                <w:sz w:val="21"/>
              </w:rPr>
              <w:t>1. NON-DIAGNOSTIC NATURE: This software is not a medical diagnostic device and does not provide clinical psychiatric diagnoses. It does not diagnose clinical conditions such as Major Depressive Disorder, Generalized Anxiety Disorder, or Attention-Deficit/Hyperactivity Disorder.</w:t>
            </w:r>
          </w:p>
          <w:p>
            <w:pPr>
              <w:spacing w:after="60" w:line="276" w:lineRule="auto"/>
              <w:jc w:val="both"/>
            </w:pPr>
            <w:r>
              <w:rPr>
                <w:rFonts w:ascii="Times New Roman" w:hAnsi="Times New Roman"/>
                <w:color w:val="2D3748"/>
                <w:sz w:val="21"/>
              </w:rPr>
              <w:t>2. ESTIMATION AND DECISION SUPPORT ONLY: All generated risk tiers, sentiment scores, and behavioral indicators represent computational approximations based on self-reported inputs. They are intended solely as non-clinical decision-support indicators for caregivers and educators.</w:t>
            </w:r>
          </w:p>
          <w:p>
            <w:pPr>
              <w:spacing w:after="60" w:line="276" w:lineRule="auto"/>
              <w:jc w:val="both"/>
            </w:pPr>
            <w:r>
              <w:rPr>
                <w:rFonts w:ascii="Times New Roman" w:hAnsi="Times New Roman"/>
                <w:color w:val="2D3748"/>
                <w:sz w:val="21"/>
              </w:rPr>
              <w:t>3. PROFESSIONAL EVALUATION REQUIRED: This platform does not substitute for professional medical advice, psychiatric evaluation, or clinical therapy. If a child exhibits persistent emotional distress, behavioral anomalies, or acute crisis, consultation with a qualified pediatrician, licensed child psychologist, or healthcare professional is mandatory.</w:t>
            </w:r>
          </w:p>
          <w:p>
            <w:pPr>
              <w:spacing w:after="60" w:line="276" w:lineRule="auto"/>
              <w:jc w:val="both"/>
            </w:pPr>
            <w:r>
              <w:rPr>
                <w:rFonts w:ascii="Times New Roman" w:hAnsi="Times New Roman"/>
                <w:color w:val="2D3748"/>
                <w:sz w:val="21"/>
              </w:rPr>
              <w:t>4. EMERGENCY ASSISTANCE: In acute or life-threatening situations, caregivers must contact emergency medical services or verified national child helplines (such as Child Helpline 1098 or Tele-MANAS 14416 in India) immediately.</w:t>
            </w:r>
          </w:p>
        </w:tc>
      </w:tr>
    </w:tbl>
    <w:p>
      <w:pPr>
        <w:spacing w:after="120"/>
      </w:pPr>
    </w:p>
    <w:p>
      <w:r>
        <w:br w:type="page"/>
      </w:r>
    </w:p>
    <w:p>
      <w:pPr>
        <w:keepNext/>
        <w:spacing w:before="320" w:after="120"/>
      </w:pPr>
      <w:r>
        <w:rPr>
          <w:rFonts w:ascii="Times New Roman" w:hAnsi="Times New Roman"/>
          <w:b/>
          <w:color w:val="1A365D"/>
          <w:sz w:val="32"/>
        </w:rPr>
        <w:t>4. Section 4: Project Timeline &amp; Gantt Chart</w:t>
      </w:r>
    </w:p>
    <w:p>
      <w:pPr>
        <w:keepNext/>
        <w:spacing w:before="240" w:after="80"/>
      </w:pPr>
      <w:r>
        <w:rPr>
          <w:rFonts w:ascii="Times New Roman" w:hAnsi="Times New Roman"/>
          <w:b/>
          <w:color w:val="2B6CB0"/>
          <w:sz w:val="28"/>
        </w:rPr>
        <w:t>4.1 Work Breakdown Structure (WBS)</w:t>
      </w:r>
    </w:p>
    <w:p>
      <w:pPr>
        <w:spacing w:line="360" w:lineRule="auto" w:after="120"/>
        <w:jc w:val="both"/>
      </w:pPr>
      <w:r>
        <w:rPr>
          <w:rFonts w:ascii="Times New Roman" w:hAnsi="Times New Roman"/>
          <w:i w:val="0"/>
          <w:color w:val="2D3748"/>
          <w:sz w:val="24"/>
        </w:rPr>
        <w:t>Table 3 outlines the 24-week major project lifecycle across Phase 1 (Analysis, Design &amp; Scaffolding) and Phase 2 (Implementation, Integration, Testing &amp; Defense).</w:t>
      </w:r>
    </w:p>
    <w:tbl>
      <w:tblPr>
        <w:tblW w:type="auto" w:w="0"/>
        <w:jc w:val="center"/>
        <w:tblLayout w:type="fixed"/>
        <w:tblLook w:firstColumn="1" w:firstRow="1" w:lastColumn="0" w:lastRow="0" w:noHBand="0" w:noVBand="1" w:val="04A0"/>
        <w:tblBorders>
          <w:top w:val="single" w:sz="4" w:space="0" w:color="D2D6DC"/>
          <w:bottom w:val="single" w:sz="4" w:space="0" w:color="D2D6DC"/>
          <w:insideH w:val="single" w:sz="4" w:space="0" w:color="D2D6DC"/>
          <w:insideV w:val="single" w:sz="4" w:space="0" w:color="D2D6DC"/>
          <w:left w:val="none"/>
          <w:right w:val="none"/>
        </w:tblBorders>
      </w:tblPr>
      <w:tblGrid>
        <w:gridCol w:w="1805"/>
        <w:gridCol w:w="1805"/>
        <w:gridCol w:w="1805"/>
        <w:gridCol w:w="1805"/>
        <w:gridCol w:w="1805"/>
      </w:tblGrid>
      <w:tr>
        <w:tc>
          <w:tcPr>
            <w:tcW w:type="dxa" w:w="1296"/>
            <w:shd w:fill="1A365D"/>
            <w:tcMar>
              <w:top w:w="80" w:type="dxa"/>
              <w:bottom w:w="80" w:type="dxa"/>
              <w:left w:w="100" w:type="dxa"/>
              <w:right w:w="100" w:type="dxa"/>
            </w:tcMar>
          </w:tcPr>
          <w:p>
            <w:pPr>
              <w:jc w:val="center"/>
            </w:pPr>
            <w:r>
              <w:rPr>
                <w:rFonts w:ascii="Times New Roman" w:hAnsi="Times New Roman"/>
                <w:b/>
                <w:color w:val="FFFFFF"/>
                <w:sz w:val="19"/>
              </w:rPr>
              <w:t>Task ID</w:t>
            </w:r>
          </w:p>
        </w:tc>
        <w:tc>
          <w:tcPr>
            <w:tcW w:type="dxa" w:w="3168"/>
            <w:shd w:fill="1A365D"/>
            <w:tcMar>
              <w:top w:w="80" w:type="dxa"/>
              <w:bottom w:w="80" w:type="dxa"/>
              <w:left w:w="100" w:type="dxa"/>
              <w:right w:w="100" w:type="dxa"/>
            </w:tcMar>
          </w:tcPr>
          <w:p>
            <w:pPr>
              <w:jc w:val="center"/>
            </w:pPr>
            <w:r>
              <w:rPr>
                <w:rFonts w:ascii="Times New Roman" w:hAnsi="Times New Roman"/>
                <w:b/>
                <w:color w:val="FFFFFF"/>
                <w:sz w:val="19"/>
              </w:rPr>
              <w:t>Task Description</w:t>
            </w:r>
          </w:p>
        </w:tc>
        <w:tc>
          <w:tcPr>
            <w:tcW w:type="dxa" w:w="1296"/>
            <w:shd w:fill="1A365D"/>
            <w:tcMar>
              <w:top w:w="80" w:type="dxa"/>
              <w:bottom w:w="80" w:type="dxa"/>
              <w:left w:w="100" w:type="dxa"/>
              <w:right w:w="100" w:type="dxa"/>
            </w:tcMar>
          </w:tcPr>
          <w:p>
            <w:pPr>
              <w:jc w:val="center"/>
            </w:pPr>
            <w:r>
              <w:rPr>
                <w:rFonts w:ascii="Times New Roman" w:hAnsi="Times New Roman"/>
                <w:b/>
                <w:color w:val="FFFFFF"/>
                <w:sz w:val="19"/>
              </w:rPr>
              <w:t>Phase</w:t>
            </w:r>
          </w:p>
        </w:tc>
        <w:tc>
          <w:tcPr>
            <w:tcW w:type="dxa" w:w="1152"/>
            <w:shd w:fill="1A365D"/>
            <w:tcMar>
              <w:top w:w="80" w:type="dxa"/>
              <w:bottom w:w="80" w:type="dxa"/>
              <w:left w:w="100" w:type="dxa"/>
              <w:right w:w="100" w:type="dxa"/>
            </w:tcMar>
          </w:tcPr>
          <w:p>
            <w:pPr>
              <w:jc w:val="center"/>
            </w:pPr>
            <w:r>
              <w:rPr>
                <w:rFonts w:ascii="Times New Roman" w:hAnsi="Times New Roman"/>
                <w:b/>
                <w:color w:val="FFFFFF"/>
                <w:sz w:val="19"/>
              </w:rPr>
              <w:t>Weeks</w:t>
            </w:r>
          </w:p>
        </w:tc>
        <w:tc>
          <w:tcPr>
            <w:tcW w:type="dxa" w:w="2117"/>
            <w:shd w:fill="1A365D"/>
            <w:tcMar>
              <w:top w:w="80" w:type="dxa"/>
              <w:bottom w:w="80" w:type="dxa"/>
              <w:left w:w="100" w:type="dxa"/>
              <w:right w:w="100" w:type="dxa"/>
            </w:tcMar>
          </w:tcPr>
          <w:p>
            <w:pPr>
              <w:jc w:val="center"/>
            </w:pPr>
            <w:r>
              <w:rPr>
                <w:rFonts w:ascii="Times New Roman" w:hAnsi="Times New Roman"/>
                <w:b/>
                <w:color w:val="FFFFFF"/>
                <w:sz w:val="19"/>
              </w:rPr>
              <w:t>Deliverable</w:t>
            </w:r>
          </w:p>
        </w:tc>
      </w:tr>
      <w:tr>
        <w:tc>
          <w:tcPr>
            <w:tcW w:type="dxa" w:w="1296"/>
            <w:tcMar>
              <w:top w:w="50" w:type="dxa"/>
              <w:bottom w:w="50" w:type="dxa"/>
              <w:left w:w="70" w:type="dxa"/>
              <w:right w:w="70" w:type="dxa"/>
            </w:tcMar>
          </w:tcPr>
          <w:p>
            <w:pPr>
              <w:spacing w:line="276" w:lineRule="auto"/>
            </w:pPr>
            <w:r>
              <w:rPr>
                <w:rFonts w:ascii="Times New Roman" w:hAnsi="Times New Roman"/>
                <w:b/>
                <w:sz w:val="17"/>
              </w:rPr>
              <w:t>T1.1</w:t>
            </w:r>
          </w:p>
        </w:tc>
        <w:tc>
          <w:tcPr>
            <w:tcW w:type="dxa" w:w="3168"/>
            <w:tcMar>
              <w:top w:w="50" w:type="dxa"/>
              <w:bottom w:w="50" w:type="dxa"/>
              <w:left w:w="70" w:type="dxa"/>
              <w:right w:w="70" w:type="dxa"/>
            </w:tcMar>
          </w:tcPr>
          <w:p>
            <w:pPr>
              <w:spacing w:line="276" w:lineRule="auto"/>
            </w:pPr>
            <w:r>
              <w:rPr>
                <w:rFonts w:ascii="Times New Roman" w:hAnsi="Times New Roman"/>
                <w:sz w:val="17"/>
              </w:rPr>
              <w:t>Problem Formulation &amp; Scope Definition</w:t>
            </w:r>
          </w:p>
        </w:tc>
        <w:tc>
          <w:tcPr>
            <w:tcW w:type="dxa" w:w="1296"/>
            <w:tcMar>
              <w:top w:w="50" w:type="dxa"/>
              <w:bottom w:w="50" w:type="dxa"/>
              <w:left w:w="70" w:type="dxa"/>
              <w:right w:w="70" w:type="dxa"/>
            </w:tcMar>
          </w:tcPr>
          <w:p>
            <w:pPr>
              <w:spacing w:line="276" w:lineRule="auto"/>
            </w:pPr>
            <w:r>
              <w:rPr>
                <w:rFonts w:ascii="Times New Roman" w:hAnsi="Times New Roman"/>
                <w:sz w:val="17"/>
              </w:rPr>
              <w:t>Phase 1</w:t>
            </w:r>
          </w:p>
        </w:tc>
        <w:tc>
          <w:tcPr>
            <w:tcW w:type="dxa" w:w="1152"/>
            <w:tcMar>
              <w:top w:w="50" w:type="dxa"/>
              <w:bottom w:w="50" w:type="dxa"/>
              <w:left w:w="70" w:type="dxa"/>
              <w:right w:w="70" w:type="dxa"/>
            </w:tcMar>
          </w:tcPr>
          <w:p>
            <w:pPr>
              <w:spacing w:line="276" w:lineRule="auto"/>
            </w:pPr>
            <w:r>
              <w:rPr>
                <w:rFonts w:ascii="Times New Roman" w:hAnsi="Times New Roman"/>
                <w:sz w:val="17"/>
              </w:rPr>
              <w:t>W1–W2</w:t>
            </w:r>
          </w:p>
        </w:tc>
        <w:tc>
          <w:tcPr>
            <w:tcW w:type="dxa" w:w="2117"/>
            <w:tcMar>
              <w:top w:w="50" w:type="dxa"/>
              <w:bottom w:w="50" w:type="dxa"/>
              <w:left w:w="70" w:type="dxa"/>
              <w:right w:w="70" w:type="dxa"/>
            </w:tcMar>
          </w:tcPr>
          <w:p>
            <w:pPr>
              <w:spacing w:line="276" w:lineRule="auto"/>
            </w:pPr>
            <w:r>
              <w:rPr>
                <w:rFonts w:ascii="Times New Roman" w:hAnsi="Times New Roman"/>
                <w:sz w:val="17"/>
              </w:rPr>
              <w:t>Problem Statement Document</w:t>
            </w:r>
          </w:p>
        </w:tc>
      </w:tr>
      <w:tr>
        <w:tc>
          <w:tcPr>
            <w:tcW w:type="dxa" w:w="1296"/>
            <w:shd w:fill="F7FAFC"/>
            <w:tcMar>
              <w:top w:w="50" w:type="dxa"/>
              <w:bottom w:w="50" w:type="dxa"/>
              <w:left w:w="70" w:type="dxa"/>
              <w:right w:w="70" w:type="dxa"/>
            </w:tcMar>
          </w:tcPr>
          <w:p>
            <w:pPr>
              <w:spacing w:line="276" w:lineRule="auto"/>
            </w:pPr>
            <w:r>
              <w:rPr>
                <w:rFonts w:ascii="Times New Roman" w:hAnsi="Times New Roman"/>
                <w:b/>
                <w:sz w:val="17"/>
              </w:rPr>
              <w:t>T1.2</w:t>
            </w:r>
          </w:p>
        </w:tc>
        <w:tc>
          <w:tcPr>
            <w:tcW w:type="dxa" w:w="3168"/>
            <w:shd w:fill="F7FAFC"/>
            <w:tcMar>
              <w:top w:w="50" w:type="dxa"/>
              <w:bottom w:w="50" w:type="dxa"/>
              <w:left w:w="70" w:type="dxa"/>
              <w:right w:w="70" w:type="dxa"/>
            </w:tcMar>
          </w:tcPr>
          <w:p>
            <w:pPr>
              <w:spacing w:line="276" w:lineRule="auto"/>
            </w:pPr>
            <w:r>
              <w:rPr>
                <w:rFonts w:ascii="Times New Roman" w:hAnsi="Times New Roman"/>
                <w:sz w:val="17"/>
              </w:rPr>
              <w:t>Literature Review &amp; Research Gap Analysis</w:t>
            </w:r>
          </w:p>
        </w:tc>
        <w:tc>
          <w:tcPr>
            <w:tcW w:type="dxa" w:w="1296"/>
            <w:shd w:fill="F7FAFC"/>
            <w:tcMar>
              <w:top w:w="50" w:type="dxa"/>
              <w:bottom w:w="50" w:type="dxa"/>
              <w:left w:w="70" w:type="dxa"/>
              <w:right w:w="70" w:type="dxa"/>
            </w:tcMar>
          </w:tcPr>
          <w:p>
            <w:pPr>
              <w:spacing w:line="276" w:lineRule="auto"/>
            </w:pPr>
            <w:r>
              <w:rPr>
                <w:rFonts w:ascii="Times New Roman" w:hAnsi="Times New Roman"/>
                <w:sz w:val="17"/>
              </w:rPr>
              <w:t>Phase 1</w:t>
            </w:r>
          </w:p>
        </w:tc>
        <w:tc>
          <w:tcPr>
            <w:tcW w:type="dxa" w:w="1152"/>
            <w:shd w:fill="F7FAFC"/>
            <w:tcMar>
              <w:top w:w="50" w:type="dxa"/>
              <w:bottom w:w="50" w:type="dxa"/>
              <w:left w:w="70" w:type="dxa"/>
              <w:right w:w="70" w:type="dxa"/>
            </w:tcMar>
          </w:tcPr>
          <w:p>
            <w:pPr>
              <w:spacing w:line="276" w:lineRule="auto"/>
            </w:pPr>
            <w:r>
              <w:rPr>
                <w:rFonts w:ascii="Times New Roman" w:hAnsi="Times New Roman"/>
                <w:sz w:val="17"/>
              </w:rPr>
              <w:t>W2–W4</w:t>
            </w:r>
          </w:p>
        </w:tc>
        <w:tc>
          <w:tcPr>
            <w:tcW w:type="dxa" w:w="2117"/>
            <w:shd w:fill="F7FAFC"/>
            <w:tcMar>
              <w:top w:w="50" w:type="dxa"/>
              <w:bottom w:w="50" w:type="dxa"/>
              <w:left w:w="70" w:type="dxa"/>
              <w:right w:w="70" w:type="dxa"/>
            </w:tcMar>
          </w:tcPr>
          <w:p>
            <w:pPr>
              <w:spacing w:line="276" w:lineRule="auto"/>
            </w:pPr>
            <w:r>
              <w:rPr>
                <w:rFonts w:ascii="Times New Roman" w:hAnsi="Times New Roman"/>
                <w:sz w:val="17"/>
              </w:rPr>
              <w:t>Literature Survey Matrix</w:t>
            </w:r>
          </w:p>
        </w:tc>
      </w:tr>
      <w:tr>
        <w:tc>
          <w:tcPr>
            <w:tcW w:type="dxa" w:w="1296"/>
            <w:tcMar>
              <w:top w:w="50" w:type="dxa"/>
              <w:bottom w:w="50" w:type="dxa"/>
              <w:left w:w="70" w:type="dxa"/>
              <w:right w:w="70" w:type="dxa"/>
            </w:tcMar>
          </w:tcPr>
          <w:p>
            <w:pPr>
              <w:spacing w:line="276" w:lineRule="auto"/>
            </w:pPr>
            <w:r>
              <w:rPr>
                <w:rFonts w:ascii="Times New Roman" w:hAnsi="Times New Roman"/>
                <w:b/>
                <w:sz w:val="17"/>
              </w:rPr>
              <w:t>T1.3</w:t>
            </w:r>
          </w:p>
        </w:tc>
        <w:tc>
          <w:tcPr>
            <w:tcW w:type="dxa" w:w="3168"/>
            <w:tcMar>
              <w:top w:w="50" w:type="dxa"/>
              <w:bottom w:w="50" w:type="dxa"/>
              <w:left w:w="70" w:type="dxa"/>
              <w:right w:w="70" w:type="dxa"/>
            </w:tcMar>
          </w:tcPr>
          <w:p>
            <w:pPr>
              <w:spacing w:line="276" w:lineRule="auto"/>
            </w:pPr>
            <w:r>
              <w:rPr>
                <w:rFonts w:ascii="Times New Roman" w:hAnsi="Times New Roman"/>
                <w:sz w:val="17"/>
              </w:rPr>
              <w:t>System Requirements &amp; Privacy Modeling</w:t>
            </w:r>
          </w:p>
        </w:tc>
        <w:tc>
          <w:tcPr>
            <w:tcW w:type="dxa" w:w="1296"/>
            <w:tcMar>
              <w:top w:w="50" w:type="dxa"/>
              <w:bottom w:w="50" w:type="dxa"/>
              <w:left w:w="70" w:type="dxa"/>
              <w:right w:w="70" w:type="dxa"/>
            </w:tcMar>
          </w:tcPr>
          <w:p>
            <w:pPr>
              <w:spacing w:line="276" w:lineRule="auto"/>
            </w:pPr>
            <w:r>
              <w:rPr>
                <w:rFonts w:ascii="Times New Roman" w:hAnsi="Times New Roman"/>
                <w:sz w:val="17"/>
              </w:rPr>
              <w:t>Phase 1</w:t>
            </w:r>
          </w:p>
        </w:tc>
        <w:tc>
          <w:tcPr>
            <w:tcW w:type="dxa" w:w="1152"/>
            <w:tcMar>
              <w:top w:w="50" w:type="dxa"/>
              <w:bottom w:w="50" w:type="dxa"/>
              <w:left w:w="70" w:type="dxa"/>
              <w:right w:w="70" w:type="dxa"/>
            </w:tcMar>
          </w:tcPr>
          <w:p>
            <w:pPr>
              <w:spacing w:line="276" w:lineRule="auto"/>
            </w:pPr>
            <w:r>
              <w:rPr>
                <w:rFonts w:ascii="Times New Roman" w:hAnsi="Times New Roman"/>
                <w:sz w:val="17"/>
              </w:rPr>
              <w:t>W4–W5</w:t>
            </w:r>
          </w:p>
        </w:tc>
        <w:tc>
          <w:tcPr>
            <w:tcW w:type="dxa" w:w="2117"/>
            <w:tcMar>
              <w:top w:w="50" w:type="dxa"/>
              <w:bottom w:w="50" w:type="dxa"/>
              <w:left w:w="70" w:type="dxa"/>
              <w:right w:w="70" w:type="dxa"/>
            </w:tcMar>
          </w:tcPr>
          <w:p>
            <w:pPr>
              <w:spacing w:line="276" w:lineRule="auto"/>
            </w:pPr>
            <w:r>
              <w:rPr>
                <w:rFonts w:ascii="Times New Roman" w:hAnsi="Times New Roman"/>
                <w:sz w:val="17"/>
              </w:rPr>
              <w:t>SRS &amp; Privacy Framework</w:t>
            </w:r>
          </w:p>
        </w:tc>
      </w:tr>
      <w:tr>
        <w:tc>
          <w:tcPr>
            <w:tcW w:type="dxa" w:w="1296"/>
            <w:shd w:fill="F7FAFC"/>
            <w:tcMar>
              <w:top w:w="50" w:type="dxa"/>
              <w:bottom w:w="50" w:type="dxa"/>
              <w:left w:w="70" w:type="dxa"/>
              <w:right w:w="70" w:type="dxa"/>
            </w:tcMar>
          </w:tcPr>
          <w:p>
            <w:pPr>
              <w:spacing w:line="276" w:lineRule="auto"/>
            </w:pPr>
            <w:r>
              <w:rPr>
                <w:rFonts w:ascii="Times New Roman" w:hAnsi="Times New Roman"/>
                <w:b/>
                <w:sz w:val="17"/>
              </w:rPr>
              <w:t>T1.4</w:t>
            </w:r>
          </w:p>
        </w:tc>
        <w:tc>
          <w:tcPr>
            <w:tcW w:type="dxa" w:w="3168"/>
            <w:shd w:fill="F7FAFC"/>
            <w:tcMar>
              <w:top w:w="50" w:type="dxa"/>
              <w:bottom w:w="50" w:type="dxa"/>
              <w:left w:w="70" w:type="dxa"/>
              <w:right w:w="70" w:type="dxa"/>
            </w:tcMar>
          </w:tcPr>
          <w:p>
            <w:pPr>
              <w:spacing w:line="276" w:lineRule="auto"/>
            </w:pPr>
            <w:r>
              <w:rPr>
                <w:rFonts w:ascii="Times New Roman" w:hAnsi="Times New Roman"/>
                <w:sz w:val="17"/>
              </w:rPr>
              <w:t>Multi-Tier Architecture &amp; DFD Design</w:t>
            </w:r>
          </w:p>
        </w:tc>
        <w:tc>
          <w:tcPr>
            <w:tcW w:type="dxa" w:w="1296"/>
            <w:shd w:fill="F7FAFC"/>
            <w:tcMar>
              <w:top w:w="50" w:type="dxa"/>
              <w:bottom w:w="50" w:type="dxa"/>
              <w:left w:w="70" w:type="dxa"/>
              <w:right w:w="70" w:type="dxa"/>
            </w:tcMar>
          </w:tcPr>
          <w:p>
            <w:pPr>
              <w:spacing w:line="276" w:lineRule="auto"/>
            </w:pPr>
            <w:r>
              <w:rPr>
                <w:rFonts w:ascii="Times New Roman" w:hAnsi="Times New Roman"/>
                <w:sz w:val="17"/>
              </w:rPr>
              <w:t>Phase 1</w:t>
            </w:r>
          </w:p>
        </w:tc>
        <w:tc>
          <w:tcPr>
            <w:tcW w:type="dxa" w:w="1152"/>
            <w:shd w:fill="F7FAFC"/>
            <w:tcMar>
              <w:top w:w="50" w:type="dxa"/>
              <w:bottom w:w="50" w:type="dxa"/>
              <w:left w:w="70" w:type="dxa"/>
              <w:right w:w="70" w:type="dxa"/>
            </w:tcMar>
          </w:tcPr>
          <w:p>
            <w:pPr>
              <w:spacing w:line="276" w:lineRule="auto"/>
            </w:pPr>
            <w:r>
              <w:rPr>
                <w:rFonts w:ascii="Times New Roman" w:hAnsi="Times New Roman"/>
                <w:sz w:val="17"/>
              </w:rPr>
              <w:t>W5–W7</w:t>
            </w:r>
          </w:p>
        </w:tc>
        <w:tc>
          <w:tcPr>
            <w:tcW w:type="dxa" w:w="2117"/>
            <w:shd w:fill="F7FAFC"/>
            <w:tcMar>
              <w:top w:w="50" w:type="dxa"/>
              <w:bottom w:w="50" w:type="dxa"/>
              <w:left w:w="70" w:type="dxa"/>
              <w:right w:w="70" w:type="dxa"/>
            </w:tcMar>
          </w:tcPr>
          <w:p>
            <w:pPr>
              <w:spacing w:line="276" w:lineRule="auto"/>
            </w:pPr>
            <w:r>
              <w:rPr>
                <w:rFonts w:ascii="Times New Roman" w:hAnsi="Times New Roman"/>
                <w:sz w:val="17"/>
              </w:rPr>
              <w:t>Architecture Blueprint</w:t>
            </w:r>
          </w:p>
        </w:tc>
      </w:tr>
      <w:tr>
        <w:tc>
          <w:tcPr>
            <w:tcW w:type="dxa" w:w="1296"/>
            <w:tcMar>
              <w:top w:w="50" w:type="dxa"/>
              <w:bottom w:w="50" w:type="dxa"/>
              <w:left w:w="70" w:type="dxa"/>
              <w:right w:w="70" w:type="dxa"/>
            </w:tcMar>
          </w:tcPr>
          <w:p>
            <w:pPr>
              <w:spacing w:line="276" w:lineRule="auto"/>
            </w:pPr>
            <w:r>
              <w:rPr>
                <w:rFonts w:ascii="Times New Roman" w:hAnsi="Times New Roman"/>
                <w:b/>
                <w:sz w:val="17"/>
              </w:rPr>
              <w:t>T1.5</w:t>
            </w:r>
          </w:p>
        </w:tc>
        <w:tc>
          <w:tcPr>
            <w:tcW w:type="dxa" w:w="3168"/>
            <w:tcMar>
              <w:top w:w="50" w:type="dxa"/>
              <w:bottom w:w="50" w:type="dxa"/>
              <w:left w:w="70" w:type="dxa"/>
              <w:right w:w="70" w:type="dxa"/>
            </w:tcMar>
          </w:tcPr>
          <w:p>
            <w:pPr>
              <w:spacing w:line="276" w:lineRule="auto"/>
            </w:pPr>
            <w:r>
              <w:rPr>
                <w:rFonts w:ascii="Times New Roman" w:hAnsi="Times New Roman"/>
                <w:sz w:val="17"/>
              </w:rPr>
              <w:t>Feature Engineering &amp; Dataset Schema</w:t>
            </w:r>
          </w:p>
        </w:tc>
        <w:tc>
          <w:tcPr>
            <w:tcW w:type="dxa" w:w="1296"/>
            <w:tcMar>
              <w:top w:w="50" w:type="dxa"/>
              <w:bottom w:w="50" w:type="dxa"/>
              <w:left w:w="70" w:type="dxa"/>
              <w:right w:w="70" w:type="dxa"/>
            </w:tcMar>
          </w:tcPr>
          <w:p>
            <w:pPr>
              <w:spacing w:line="276" w:lineRule="auto"/>
            </w:pPr>
            <w:r>
              <w:rPr>
                <w:rFonts w:ascii="Times New Roman" w:hAnsi="Times New Roman"/>
                <w:sz w:val="17"/>
              </w:rPr>
              <w:t>Phase 1</w:t>
            </w:r>
          </w:p>
        </w:tc>
        <w:tc>
          <w:tcPr>
            <w:tcW w:type="dxa" w:w="1152"/>
            <w:tcMar>
              <w:top w:w="50" w:type="dxa"/>
              <w:bottom w:w="50" w:type="dxa"/>
              <w:left w:w="70" w:type="dxa"/>
              <w:right w:w="70" w:type="dxa"/>
            </w:tcMar>
          </w:tcPr>
          <w:p>
            <w:pPr>
              <w:spacing w:line="276" w:lineRule="auto"/>
            </w:pPr>
            <w:r>
              <w:rPr>
                <w:rFonts w:ascii="Times New Roman" w:hAnsi="Times New Roman"/>
                <w:sz w:val="17"/>
              </w:rPr>
              <w:t>W7–W9</w:t>
            </w:r>
          </w:p>
        </w:tc>
        <w:tc>
          <w:tcPr>
            <w:tcW w:type="dxa" w:w="2117"/>
            <w:tcMar>
              <w:top w:w="50" w:type="dxa"/>
              <w:bottom w:w="50" w:type="dxa"/>
              <w:left w:w="70" w:type="dxa"/>
              <w:right w:w="70" w:type="dxa"/>
            </w:tcMar>
          </w:tcPr>
          <w:p>
            <w:pPr>
              <w:spacing w:line="276" w:lineRule="auto"/>
            </w:pPr>
            <w:r>
              <w:rPr>
                <w:rFonts w:ascii="Times New Roman" w:hAnsi="Times New Roman"/>
                <w:sz w:val="17"/>
              </w:rPr>
              <w:t>Dataset Specification</w:t>
            </w:r>
          </w:p>
        </w:tc>
      </w:tr>
      <w:tr>
        <w:tc>
          <w:tcPr>
            <w:tcW w:type="dxa" w:w="1296"/>
            <w:shd w:fill="F7FAFC"/>
            <w:tcMar>
              <w:top w:w="50" w:type="dxa"/>
              <w:bottom w:w="50" w:type="dxa"/>
              <w:left w:w="70" w:type="dxa"/>
              <w:right w:w="70" w:type="dxa"/>
            </w:tcMar>
          </w:tcPr>
          <w:p>
            <w:pPr>
              <w:spacing w:line="276" w:lineRule="auto"/>
            </w:pPr>
            <w:r>
              <w:rPr>
                <w:rFonts w:ascii="Times New Roman" w:hAnsi="Times New Roman"/>
                <w:b/>
                <w:sz w:val="17"/>
              </w:rPr>
              <w:t>T1.6</w:t>
            </w:r>
          </w:p>
        </w:tc>
        <w:tc>
          <w:tcPr>
            <w:tcW w:type="dxa" w:w="3168"/>
            <w:shd w:fill="F7FAFC"/>
            <w:tcMar>
              <w:top w:w="50" w:type="dxa"/>
              <w:bottom w:w="50" w:type="dxa"/>
              <w:left w:w="70" w:type="dxa"/>
              <w:right w:w="70" w:type="dxa"/>
            </w:tcMar>
          </w:tcPr>
          <w:p>
            <w:pPr>
              <w:spacing w:line="276" w:lineRule="auto"/>
            </w:pPr>
            <w:r>
              <w:rPr>
                <w:rFonts w:ascii="Times New Roman" w:hAnsi="Times New Roman"/>
                <w:sz w:val="17"/>
              </w:rPr>
              <w:t>Preliminary ML/NLP Pipeline Scaffolding</w:t>
            </w:r>
          </w:p>
        </w:tc>
        <w:tc>
          <w:tcPr>
            <w:tcW w:type="dxa" w:w="1296"/>
            <w:shd w:fill="F7FAFC"/>
            <w:tcMar>
              <w:top w:w="50" w:type="dxa"/>
              <w:bottom w:w="50" w:type="dxa"/>
              <w:left w:w="70" w:type="dxa"/>
              <w:right w:w="70" w:type="dxa"/>
            </w:tcMar>
          </w:tcPr>
          <w:p>
            <w:pPr>
              <w:spacing w:line="276" w:lineRule="auto"/>
            </w:pPr>
            <w:r>
              <w:rPr>
                <w:rFonts w:ascii="Times New Roman" w:hAnsi="Times New Roman"/>
                <w:sz w:val="17"/>
              </w:rPr>
              <w:t>Phase 1</w:t>
            </w:r>
          </w:p>
        </w:tc>
        <w:tc>
          <w:tcPr>
            <w:tcW w:type="dxa" w:w="1152"/>
            <w:shd w:fill="F7FAFC"/>
            <w:tcMar>
              <w:top w:w="50" w:type="dxa"/>
              <w:bottom w:w="50" w:type="dxa"/>
              <w:left w:w="70" w:type="dxa"/>
              <w:right w:w="70" w:type="dxa"/>
            </w:tcMar>
          </w:tcPr>
          <w:p>
            <w:pPr>
              <w:spacing w:line="276" w:lineRule="auto"/>
            </w:pPr>
            <w:r>
              <w:rPr>
                <w:rFonts w:ascii="Times New Roman" w:hAnsi="Times New Roman"/>
                <w:sz w:val="17"/>
              </w:rPr>
              <w:t>W9–W10</w:t>
            </w:r>
          </w:p>
        </w:tc>
        <w:tc>
          <w:tcPr>
            <w:tcW w:type="dxa" w:w="2117"/>
            <w:shd w:fill="F7FAFC"/>
            <w:tcMar>
              <w:top w:w="50" w:type="dxa"/>
              <w:bottom w:w="50" w:type="dxa"/>
              <w:left w:w="70" w:type="dxa"/>
              <w:right w:w="70" w:type="dxa"/>
            </w:tcMar>
          </w:tcPr>
          <w:p>
            <w:pPr>
              <w:spacing w:line="276" w:lineRule="auto"/>
            </w:pPr>
            <w:r>
              <w:rPr>
                <w:rFonts w:ascii="Times New Roman" w:hAnsi="Times New Roman"/>
                <w:sz w:val="17"/>
              </w:rPr>
              <w:t>Baseline Pipeline Architecture</w:t>
            </w:r>
          </w:p>
        </w:tc>
      </w:tr>
      <w:tr>
        <w:tc>
          <w:tcPr>
            <w:tcW w:type="dxa" w:w="1296"/>
            <w:tcMar>
              <w:top w:w="50" w:type="dxa"/>
              <w:bottom w:w="50" w:type="dxa"/>
              <w:left w:w="70" w:type="dxa"/>
              <w:right w:w="70" w:type="dxa"/>
            </w:tcMar>
          </w:tcPr>
          <w:p>
            <w:pPr>
              <w:spacing w:line="276" w:lineRule="auto"/>
            </w:pPr>
            <w:r>
              <w:rPr>
                <w:rFonts w:ascii="Times New Roman" w:hAnsi="Times New Roman"/>
                <w:b/>
                <w:sz w:val="17"/>
              </w:rPr>
              <w:t>T1.7</w:t>
            </w:r>
          </w:p>
        </w:tc>
        <w:tc>
          <w:tcPr>
            <w:tcW w:type="dxa" w:w="3168"/>
            <w:tcMar>
              <w:top w:w="50" w:type="dxa"/>
              <w:bottom w:w="50" w:type="dxa"/>
              <w:left w:w="70" w:type="dxa"/>
              <w:right w:w="70" w:type="dxa"/>
            </w:tcMar>
          </w:tcPr>
          <w:p>
            <w:pPr>
              <w:spacing w:line="276" w:lineRule="auto"/>
            </w:pPr>
            <w:r>
              <w:rPr>
                <w:rFonts w:ascii="Times New Roman" w:hAnsi="Times New Roman"/>
                <w:sz w:val="17"/>
              </w:rPr>
              <w:t>Phase 1 Report Compilation &amp; Defense</w:t>
            </w:r>
          </w:p>
        </w:tc>
        <w:tc>
          <w:tcPr>
            <w:tcW w:type="dxa" w:w="1296"/>
            <w:tcMar>
              <w:top w:w="50" w:type="dxa"/>
              <w:bottom w:w="50" w:type="dxa"/>
              <w:left w:w="70" w:type="dxa"/>
              <w:right w:w="70" w:type="dxa"/>
            </w:tcMar>
          </w:tcPr>
          <w:p>
            <w:pPr>
              <w:spacing w:line="276" w:lineRule="auto"/>
            </w:pPr>
            <w:r>
              <w:rPr>
                <w:rFonts w:ascii="Times New Roman" w:hAnsi="Times New Roman"/>
                <w:sz w:val="17"/>
              </w:rPr>
              <w:t>Phase 1</w:t>
            </w:r>
          </w:p>
        </w:tc>
        <w:tc>
          <w:tcPr>
            <w:tcW w:type="dxa" w:w="1152"/>
            <w:tcMar>
              <w:top w:w="50" w:type="dxa"/>
              <w:bottom w:w="50" w:type="dxa"/>
              <w:left w:w="70" w:type="dxa"/>
              <w:right w:w="70" w:type="dxa"/>
            </w:tcMar>
          </w:tcPr>
          <w:p>
            <w:pPr>
              <w:spacing w:line="276" w:lineRule="auto"/>
            </w:pPr>
            <w:r>
              <w:rPr>
                <w:rFonts w:ascii="Times New Roman" w:hAnsi="Times New Roman"/>
                <w:sz w:val="17"/>
              </w:rPr>
              <w:t>W11–W12</w:t>
            </w:r>
          </w:p>
        </w:tc>
        <w:tc>
          <w:tcPr>
            <w:tcW w:type="dxa" w:w="2117"/>
            <w:tcMar>
              <w:top w:w="50" w:type="dxa"/>
              <w:bottom w:w="50" w:type="dxa"/>
              <w:left w:w="70" w:type="dxa"/>
              <w:right w:w="70" w:type="dxa"/>
            </w:tcMar>
          </w:tcPr>
          <w:p>
            <w:pPr>
              <w:spacing w:line="276" w:lineRule="auto"/>
            </w:pPr>
            <w:r>
              <w:rPr>
                <w:rFonts w:ascii="Times New Roman" w:hAnsi="Times New Roman"/>
                <w:sz w:val="17"/>
              </w:rPr>
              <w:t>Phase 1 Report &amp; Defense</w:t>
            </w:r>
          </w:p>
        </w:tc>
      </w:tr>
      <w:tr>
        <w:tc>
          <w:tcPr>
            <w:tcW w:type="dxa" w:w="1296"/>
            <w:shd w:fill="F7FAFC"/>
            <w:tcMar>
              <w:top w:w="50" w:type="dxa"/>
              <w:bottom w:w="50" w:type="dxa"/>
              <w:left w:w="70" w:type="dxa"/>
              <w:right w:w="70" w:type="dxa"/>
            </w:tcMar>
          </w:tcPr>
          <w:p>
            <w:pPr>
              <w:spacing w:line="276" w:lineRule="auto"/>
            </w:pPr>
            <w:r>
              <w:rPr>
                <w:rFonts w:ascii="Times New Roman" w:hAnsi="Times New Roman"/>
                <w:b/>
                <w:sz w:val="17"/>
              </w:rPr>
              <w:t>T2.1</w:t>
            </w:r>
          </w:p>
        </w:tc>
        <w:tc>
          <w:tcPr>
            <w:tcW w:type="dxa" w:w="3168"/>
            <w:shd w:fill="F7FAFC"/>
            <w:tcMar>
              <w:top w:w="50" w:type="dxa"/>
              <w:bottom w:w="50" w:type="dxa"/>
              <w:left w:w="70" w:type="dxa"/>
              <w:right w:w="70" w:type="dxa"/>
            </w:tcMar>
          </w:tcPr>
          <w:p>
            <w:pPr>
              <w:spacing w:line="276" w:lineRule="auto"/>
            </w:pPr>
            <w:r>
              <w:rPr>
                <w:rFonts w:ascii="Times New Roman" w:hAnsi="Times New Roman"/>
                <w:sz w:val="17"/>
              </w:rPr>
              <w:t>Dataset Curation, Cleaning &amp; Validation</w:t>
            </w:r>
          </w:p>
        </w:tc>
        <w:tc>
          <w:tcPr>
            <w:tcW w:type="dxa" w:w="1296"/>
            <w:shd w:fill="F7FAFC"/>
            <w:tcMar>
              <w:top w:w="50" w:type="dxa"/>
              <w:bottom w:w="50" w:type="dxa"/>
              <w:left w:w="70" w:type="dxa"/>
              <w:right w:w="70" w:type="dxa"/>
            </w:tcMar>
          </w:tcPr>
          <w:p>
            <w:pPr>
              <w:spacing w:line="276" w:lineRule="auto"/>
            </w:pPr>
            <w:r>
              <w:rPr>
                <w:rFonts w:ascii="Times New Roman" w:hAnsi="Times New Roman"/>
                <w:sz w:val="17"/>
              </w:rPr>
              <w:t>Phase 2</w:t>
            </w:r>
          </w:p>
        </w:tc>
        <w:tc>
          <w:tcPr>
            <w:tcW w:type="dxa" w:w="1152"/>
            <w:shd w:fill="F7FAFC"/>
            <w:tcMar>
              <w:top w:w="50" w:type="dxa"/>
              <w:bottom w:w="50" w:type="dxa"/>
              <w:left w:w="70" w:type="dxa"/>
              <w:right w:w="70" w:type="dxa"/>
            </w:tcMar>
          </w:tcPr>
          <w:p>
            <w:pPr>
              <w:spacing w:line="276" w:lineRule="auto"/>
            </w:pPr>
            <w:r>
              <w:rPr>
                <w:rFonts w:ascii="Times New Roman" w:hAnsi="Times New Roman"/>
                <w:sz w:val="17"/>
              </w:rPr>
              <w:t>W13–W14</w:t>
            </w:r>
          </w:p>
        </w:tc>
        <w:tc>
          <w:tcPr>
            <w:tcW w:type="dxa" w:w="2117"/>
            <w:shd w:fill="F7FAFC"/>
            <w:tcMar>
              <w:top w:w="50" w:type="dxa"/>
              <w:bottom w:w="50" w:type="dxa"/>
              <w:left w:w="70" w:type="dxa"/>
              <w:right w:w="70" w:type="dxa"/>
            </w:tcMar>
          </w:tcPr>
          <w:p>
            <w:pPr>
              <w:spacing w:line="276" w:lineRule="auto"/>
            </w:pPr>
            <w:r>
              <w:rPr>
                <w:rFonts w:ascii="Times New Roman" w:hAnsi="Times New Roman"/>
                <w:sz w:val="17"/>
              </w:rPr>
              <w:t>Validated Training Dataset</w:t>
            </w:r>
          </w:p>
        </w:tc>
      </w:tr>
      <w:tr>
        <w:tc>
          <w:tcPr>
            <w:tcW w:type="dxa" w:w="1296"/>
            <w:tcMar>
              <w:top w:w="50" w:type="dxa"/>
              <w:bottom w:w="50" w:type="dxa"/>
              <w:left w:w="70" w:type="dxa"/>
              <w:right w:w="70" w:type="dxa"/>
            </w:tcMar>
          </w:tcPr>
          <w:p>
            <w:pPr>
              <w:spacing w:line="276" w:lineRule="auto"/>
            </w:pPr>
            <w:r>
              <w:rPr>
                <w:rFonts w:ascii="Times New Roman" w:hAnsi="Times New Roman"/>
                <w:b/>
                <w:sz w:val="17"/>
              </w:rPr>
              <w:t>T2.2</w:t>
            </w:r>
          </w:p>
        </w:tc>
        <w:tc>
          <w:tcPr>
            <w:tcW w:type="dxa" w:w="3168"/>
            <w:tcMar>
              <w:top w:w="50" w:type="dxa"/>
              <w:bottom w:w="50" w:type="dxa"/>
              <w:left w:w="70" w:type="dxa"/>
              <w:right w:w="70" w:type="dxa"/>
            </w:tcMar>
          </w:tcPr>
          <w:p>
            <w:pPr>
              <w:spacing w:line="276" w:lineRule="auto"/>
            </w:pPr>
            <w:r>
              <w:rPr>
                <w:rFonts w:ascii="Times New Roman" w:hAnsi="Times New Roman"/>
                <w:sz w:val="17"/>
              </w:rPr>
              <w:t>Supervised ML Model Training &amp; Tuning</w:t>
            </w:r>
          </w:p>
        </w:tc>
        <w:tc>
          <w:tcPr>
            <w:tcW w:type="dxa" w:w="1296"/>
            <w:tcMar>
              <w:top w:w="50" w:type="dxa"/>
              <w:bottom w:w="50" w:type="dxa"/>
              <w:left w:w="70" w:type="dxa"/>
              <w:right w:w="70" w:type="dxa"/>
            </w:tcMar>
          </w:tcPr>
          <w:p>
            <w:pPr>
              <w:spacing w:line="276" w:lineRule="auto"/>
            </w:pPr>
            <w:r>
              <w:rPr>
                <w:rFonts w:ascii="Times New Roman" w:hAnsi="Times New Roman"/>
                <w:sz w:val="17"/>
              </w:rPr>
              <w:t>Phase 2</w:t>
            </w:r>
          </w:p>
        </w:tc>
        <w:tc>
          <w:tcPr>
            <w:tcW w:type="dxa" w:w="1152"/>
            <w:tcMar>
              <w:top w:w="50" w:type="dxa"/>
              <w:bottom w:w="50" w:type="dxa"/>
              <w:left w:w="70" w:type="dxa"/>
              <w:right w:w="70" w:type="dxa"/>
            </w:tcMar>
          </w:tcPr>
          <w:p>
            <w:pPr>
              <w:spacing w:line="276" w:lineRule="auto"/>
            </w:pPr>
            <w:r>
              <w:rPr>
                <w:rFonts w:ascii="Times New Roman" w:hAnsi="Times New Roman"/>
                <w:sz w:val="17"/>
              </w:rPr>
              <w:t>W15–W16</w:t>
            </w:r>
          </w:p>
        </w:tc>
        <w:tc>
          <w:tcPr>
            <w:tcW w:type="dxa" w:w="2117"/>
            <w:tcMar>
              <w:top w:w="50" w:type="dxa"/>
              <w:bottom w:w="50" w:type="dxa"/>
              <w:left w:w="70" w:type="dxa"/>
              <w:right w:w="70" w:type="dxa"/>
            </w:tcMar>
          </w:tcPr>
          <w:p>
            <w:pPr>
              <w:spacing w:line="276" w:lineRule="auto"/>
            </w:pPr>
            <w:r>
              <w:rPr>
                <w:rFonts w:ascii="Times New Roman" w:hAnsi="Times New Roman"/>
                <w:sz w:val="17"/>
              </w:rPr>
              <w:t>Trained Model Artifacts</w:t>
            </w:r>
          </w:p>
        </w:tc>
      </w:tr>
      <w:tr>
        <w:tc>
          <w:tcPr>
            <w:tcW w:type="dxa" w:w="1296"/>
            <w:shd w:fill="F7FAFC"/>
            <w:tcMar>
              <w:top w:w="50" w:type="dxa"/>
              <w:bottom w:w="50" w:type="dxa"/>
              <w:left w:w="70" w:type="dxa"/>
              <w:right w:w="70" w:type="dxa"/>
            </w:tcMar>
          </w:tcPr>
          <w:p>
            <w:pPr>
              <w:spacing w:line="276" w:lineRule="auto"/>
            </w:pPr>
            <w:r>
              <w:rPr>
                <w:rFonts w:ascii="Times New Roman" w:hAnsi="Times New Roman"/>
                <w:b/>
                <w:sz w:val="17"/>
              </w:rPr>
              <w:t>T2.3</w:t>
            </w:r>
          </w:p>
        </w:tc>
        <w:tc>
          <w:tcPr>
            <w:tcW w:type="dxa" w:w="3168"/>
            <w:shd w:fill="F7FAFC"/>
            <w:tcMar>
              <w:top w:w="50" w:type="dxa"/>
              <w:bottom w:w="50" w:type="dxa"/>
              <w:left w:w="70" w:type="dxa"/>
              <w:right w:w="70" w:type="dxa"/>
            </w:tcMar>
          </w:tcPr>
          <w:p>
            <w:pPr>
              <w:spacing w:line="276" w:lineRule="auto"/>
            </w:pPr>
            <w:r>
              <w:rPr>
                <w:rFonts w:ascii="Times New Roman" w:hAnsi="Times New Roman"/>
                <w:sz w:val="17"/>
              </w:rPr>
              <w:t>NLP Sentiment Engine Implementation</w:t>
            </w:r>
          </w:p>
        </w:tc>
        <w:tc>
          <w:tcPr>
            <w:tcW w:type="dxa" w:w="1296"/>
            <w:shd w:fill="F7FAFC"/>
            <w:tcMar>
              <w:top w:w="50" w:type="dxa"/>
              <w:bottom w:w="50" w:type="dxa"/>
              <w:left w:w="70" w:type="dxa"/>
              <w:right w:w="70" w:type="dxa"/>
            </w:tcMar>
          </w:tcPr>
          <w:p>
            <w:pPr>
              <w:spacing w:line="276" w:lineRule="auto"/>
            </w:pPr>
            <w:r>
              <w:rPr>
                <w:rFonts w:ascii="Times New Roman" w:hAnsi="Times New Roman"/>
                <w:sz w:val="17"/>
              </w:rPr>
              <w:t>Phase 2</w:t>
            </w:r>
          </w:p>
        </w:tc>
        <w:tc>
          <w:tcPr>
            <w:tcW w:type="dxa" w:w="1152"/>
            <w:shd w:fill="F7FAFC"/>
            <w:tcMar>
              <w:top w:w="50" w:type="dxa"/>
              <w:bottom w:w="50" w:type="dxa"/>
              <w:left w:w="70" w:type="dxa"/>
              <w:right w:w="70" w:type="dxa"/>
            </w:tcMar>
          </w:tcPr>
          <w:p>
            <w:pPr>
              <w:spacing w:line="276" w:lineRule="auto"/>
            </w:pPr>
            <w:r>
              <w:rPr>
                <w:rFonts w:ascii="Times New Roman" w:hAnsi="Times New Roman"/>
                <w:sz w:val="17"/>
              </w:rPr>
              <w:t>W17–W18</w:t>
            </w:r>
          </w:p>
        </w:tc>
        <w:tc>
          <w:tcPr>
            <w:tcW w:type="dxa" w:w="2117"/>
            <w:shd w:fill="F7FAFC"/>
            <w:tcMar>
              <w:top w:w="50" w:type="dxa"/>
              <w:bottom w:w="50" w:type="dxa"/>
              <w:left w:w="70" w:type="dxa"/>
              <w:right w:w="70" w:type="dxa"/>
            </w:tcMar>
          </w:tcPr>
          <w:p>
            <w:pPr>
              <w:spacing w:line="276" w:lineRule="auto"/>
            </w:pPr>
            <w:r>
              <w:rPr>
                <w:rFonts w:ascii="Times New Roman" w:hAnsi="Times New Roman"/>
                <w:sz w:val="17"/>
              </w:rPr>
              <w:t>Working Sentiment Module</w:t>
            </w:r>
          </w:p>
        </w:tc>
      </w:tr>
      <w:tr>
        <w:tc>
          <w:tcPr>
            <w:tcW w:type="dxa" w:w="1296"/>
            <w:tcMar>
              <w:top w:w="50" w:type="dxa"/>
              <w:bottom w:w="50" w:type="dxa"/>
              <w:left w:w="70" w:type="dxa"/>
              <w:right w:w="70" w:type="dxa"/>
            </w:tcMar>
          </w:tcPr>
          <w:p>
            <w:pPr>
              <w:spacing w:line="276" w:lineRule="auto"/>
            </w:pPr>
            <w:r>
              <w:rPr>
                <w:rFonts w:ascii="Times New Roman" w:hAnsi="Times New Roman"/>
                <w:b/>
                <w:sz w:val="17"/>
              </w:rPr>
              <w:t>T2.4</w:t>
            </w:r>
          </w:p>
        </w:tc>
        <w:tc>
          <w:tcPr>
            <w:tcW w:type="dxa" w:w="3168"/>
            <w:tcMar>
              <w:top w:w="50" w:type="dxa"/>
              <w:bottom w:w="50" w:type="dxa"/>
              <w:left w:w="70" w:type="dxa"/>
              <w:right w:w="70" w:type="dxa"/>
            </w:tcMar>
          </w:tcPr>
          <w:p>
            <w:pPr>
              <w:spacing w:line="276" w:lineRule="auto"/>
            </w:pPr>
            <w:r>
              <w:rPr>
                <w:rFonts w:ascii="Times New Roman" w:hAnsi="Times New Roman"/>
                <w:sz w:val="17"/>
              </w:rPr>
              <w:t>Frontend Development (Child &amp; Parent UI)</w:t>
            </w:r>
          </w:p>
        </w:tc>
        <w:tc>
          <w:tcPr>
            <w:tcW w:type="dxa" w:w="1296"/>
            <w:tcMar>
              <w:top w:w="50" w:type="dxa"/>
              <w:bottom w:w="50" w:type="dxa"/>
              <w:left w:w="70" w:type="dxa"/>
              <w:right w:w="70" w:type="dxa"/>
            </w:tcMar>
          </w:tcPr>
          <w:p>
            <w:pPr>
              <w:spacing w:line="276" w:lineRule="auto"/>
            </w:pPr>
            <w:r>
              <w:rPr>
                <w:rFonts w:ascii="Times New Roman" w:hAnsi="Times New Roman"/>
                <w:sz w:val="17"/>
              </w:rPr>
              <w:t>Phase 2</w:t>
            </w:r>
          </w:p>
        </w:tc>
        <w:tc>
          <w:tcPr>
            <w:tcW w:type="dxa" w:w="1152"/>
            <w:tcMar>
              <w:top w:w="50" w:type="dxa"/>
              <w:bottom w:w="50" w:type="dxa"/>
              <w:left w:w="70" w:type="dxa"/>
              <w:right w:w="70" w:type="dxa"/>
            </w:tcMar>
          </w:tcPr>
          <w:p>
            <w:pPr>
              <w:spacing w:line="276" w:lineRule="auto"/>
            </w:pPr>
            <w:r>
              <w:rPr>
                <w:rFonts w:ascii="Times New Roman" w:hAnsi="Times New Roman"/>
                <w:sz w:val="17"/>
              </w:rPr>
              <w:t>W19–W20</w:t>
            </w:r>
          </w:p>
        </w:tc>
        <w:tc>
          <w:tcPr>
            <w:tcW w:type="dxa" w:w="2117"/>
            <w:tcMar>
              <w:top w:w="50" w:type="dxa"/>
              <w:bottom w:w="50" w:type="dxa"/>
              <w:left w:w="70" w:type="dxa"/>
              <w:right w:w="70" w:type="dxa"/>
            </w:tcMar>
          </w:tcPr>
          <w:p>
            <w:pPr>
              <w:spacing w:line="276" w:lineRule="auto"/>
            </w:pPr>
            <w:r>
              <w:rPr>
                <w:rFonts w:ascii="Times New Roman" w:hAnsi="Times New Roman"/>
                <w:sz w:val="17"/>
              </w:rPr>
              <w:t>Multi-Role Streamlit App</w:t>
            </w:r>
          </w:p>
        </w:tc>
      </w:tr>
      <w:tr>
        <w:tc>
          <w:tcPr>
            <w:tcW w:type="dxa" w:w="1296"/>
            <w:shd w:fill="F7FAFC"/>
            <w:tcMar>
              <w:top w:w="50" w:type="dxa"/>
              <w:bottom w:w="50" w:type="dxa"/>
              <w:left w:w="70" w:type="dxa"/>
              <w:right w:w="70" w:type="dxa"/>
            </w:tcMar>
          </w:tcPr>
          <w:p>
            <w:pPr>
              <w:spacing w:line="276" w:lineRule="auto"/>
            </w:pPr>
            <w:r>
              <w:rPr>
                <w:rFonts w:ascii="Times New Roman" w:hAnsi="Times New Roman"/>
                <w:b/>
                <w:sz w:val="17"/>
              </w:rPr>
              <w:t>T2.5</w:t>
            </w:r>
          </w:p>
        </w:tc>
        <w:tc>
          <w:tcPr>
            <w:tcW w:type="dxa" w:w="3168"/>
            <w:shd w:fill="F7FAFC"/>
            <w:tcMar>
              <w:top w:w="50" w:type="dxa"/>
              <w:bottom w:w="50" w:type="dxa"/>
              <w:left w:w="70" w:type="dxa"/>
              <w:right w:w="70" w:type="dxa"/>
            </w:tcMar>
          </w:tcPr>
          <w:p>
            <w:pPr>
              <w:spacing w:line="276" w:lineRule="auto"/>
            </w:pPr>
            <w:r>
              <w:rPr>
                <w:rFonts w:ascii="Times New Roman" w:hAnsi="Times New Roman"/>
                <w:sz w:val="17"/>
              </w:rPr>
              <w:t>Coping Toolkit &amp; Crisis Referral Hub</w:t>
            </w:r>
          </w:p>
        </w:tc>
        <w:tc>
          <w:tcPr>
            <w:tcW w:type="dxa" w:w="1296"/>
            <w:shd w:fill="F7FAFC"/>
            <w:tcMar>
              <w:top w:w="50" w:type="dxa"/>
              <w:bottom w:w="50" w:type="dxa"/>
              <w:left w:w="70" w:type="dxa"/>
              <w:right w:w="70" w:type="dxa"/>
            </w:tcMar>
          </w:tcPr>
          <w:p>
            <w:pPr>
              <w:spacing w:line="276" w:lineRule="auto"/>
            </w:pPr>
            <w:r>
              <w:rPr>
                <w:rFonts w:ascii="Times New Roman" w:hAnsi="Times New Roman"/>
                <w:sz w:val="17"/>
              </w:rPr>
              <w:t>Phase 2</w:t>
            </w:r>
          </w:p>
        </w:tc>
        <w:tc>
          <w:tcPr>
            <w:tcW w:type="dxa" w:w="1152"/>
            <w:shd w:fill="F7FAFC"/>
            <w:tcMar>
              <w:top w:w="50" w:type="dxa"/>
              <w:bottom w:w="50" w:type="dxa"/>
              <w:left w:w="70" w:type="dxa"/>
              <w:right w:w="70" w:type="dxa"/>
            </w:tcMar>
          </w:tcPr>
          <w:p>
            <w:pPr>
              <w:spacing w:line="276" w:lineRule="auto"/>
            </w:pPr>
            <w:r>
              <w:rPr>
                <w:rFonts w:ascii="Times New Roman" w:hAnsi="Times New Roman"/>
                <w:sz w:val="17"/>
              </w:rPr>
              <w:t>W20–W21</w:t>
            </w:r>
          </w:p>
        </w:tc>
        <w:tc>
          <w:tcPr>
            <w:tcW w:type="dxa" w:w="2117"/>
            <w:shd w:fill="F7FAFC"/>
            <w:tcMar>
              <w:top w:w="50" w:type="dxa"/>
              <w:bottom w:w="50" w:type="dxa"/>
              <w:left w:w="70" w:type="dxa"/>
              <w:right w:w="70" w:type="dxa"/>
            </w:tcMar>
          </w:tcPr>
          <w:p>
            <w:pPr>
              <w:spacing w:line="276" w:lineRule="auto"/>
            </w:pPr>
            <w:r>
              <w:rPr>
                <w:rFonts w:ascii="Times New Roman" w:hAnsi="Times New Roman"/>
                <w:sz w:val="17"/>
              </w:rPr>
              <w:t>Interactive Coping Tools</w:t>
            </w:r>
          </w:p>
        </w:tc>
      </w:tr>
      <w:tr>
        <w:tc>
          <w:tcPr>
            <w:tcW w:type="dxa" w:w="1296"/>
            <w:tcMar>
              <w:top w:w="50" w:type="dxa"/>
              <w:bottom w:w="50" w:type="dxa"/>
              <w:left w:w="70" w:type="dxa"/>
              <w:right w:w="70" w:type="dxa"/>
            </w:tcMar>
          </w:tcPr>
          <w:p>
            <w:pPr>
              <w:spacing w:line="276" w:lineRule="auto"/>
            </w:pPr>
            <w:r>
              <w:rPr>
                <w:rFonts w:ascii="Times New Roman" w:hAnsi="Times New Roman"/>
                <w:b/>
                <w:sz w:val="17"/>
              </w:rPr>
              <w:t>T2.6</w:t>
            </w:r>
          </w:p>
        </w:tc>
        <w:tc>
          <w:tcPr>
            <w:tcW w:type="dxa" w:w="3168"/>
            <w:tcMar>
              <w:top w:w="50" w:type="dxa"/>
              <w:bottom w:w="50" w:type="dxa"/>
              <w:left w:w="70" w:type="dxa"/>
              <w:right w:w="70" w:type="dxa"/>
            </w:tcMar>
          </w:tcPr>
          <w:p>
            <w:pPr>
              <w:spacing w:line="276" w:lineRule="auto"/>
            </w:pPr>
            <w:r>
              <w:rPr>
                <w:rFonts w:ascii="Times New Roman" w:hAnsi="Times New Roman"/>
                <w:sz w:val="17"/>
              </w:rPr>
              <w:t>System Integration &amp; Usability Testing</w:t>
            </w:r>
          </w:p>
        </w:tc>
        <w:tc>
          <w:tcPr>
            <w:tcW w:type="dxa" w:w="1296"/>
            <w:tcMar>
              <w:top w:w="50" w:type="dxa"/>
              <w:bottom w:w="50" w:type="dxa"/>
              <w:left w:w="70" w:type="dxa"/>
              <w:right w:w="70" w:type="dxa"/>
            </w:tcMar>
          </w:tcPr>
          <w:p>
            <w:pPr>
              <w:spacing w:line="276" w:lineRule="auto"/>
            </w:pPr>
            <w:r>
              <w:rPr>
                <w:rFonts w:ascii="Times New Roman" w:hAnsi="Times New Roman"/>
                <w:sz w:val="17"/>
              </w:rPr>
              <w:t>Phase 2</w:t>
            </w:r>
          </w:p>
        </w:tc>
        <w:tc>
          <w:tcPr>
            <w:tcW w:type="dxa" w:w="1152"/>
            <w:tcMar>
              <w:top w:w="50" w:type="dxa"/>
              <w:bottom w:w="50" w:type="dxa"/>
              <w:left w:w="70" w:type="dxa"/>
              <w:right w:w="70" w:type="dxa"/>
            </w:tcMar>
          </w:tcPr>
          <w:p>
            <w:pPr>
              <w:spacing w:line="276" w:lineRule="auto"/>
            </w:pPr>
            <w:r>
              <w:rPr>
                <w:rFonts w:ascii="Times New Roman" w:hAnsi="Times New Roman"/>
                <w:sz w:val="17"/>
              </w:rPr>
              <w:t>W21–W22</w:t>
            </w:r>
          </w:p>
        </w:tc>
        <w:tc>
          <w:tcPr>
            <w:tcW w:type="dxa" w:w="2117"/>
            <w:tcMar>
              <w:top w:w="50" w:type="dxa"/>
              <w:bottom w:w="50" w:type="dxa"/>
              <w:left w:w="70" w:type="dxa"/>
              <w:right w:w="70" w:type="dxa"/>
            </w:tcMar>
          </w:tcPr>
          <w:p>
            <w:pPr>
              <w:spacing w:line="276" w:lineRule="auto"/>
            </w:pPr>
            <w:r>
              <w:rPr>
                <w:rFonts w:ascii="Times New Roman" w:hAnsi="Times New Roman"/>
                <w:sz w:val="17"/>
              </w:rPr>
              <w:t>Integration Test Logs</w:t>
            </w:r>
          </w:p>
        </w:tc>
      </w:tr>
      <w:tr>
        <w:tc>
          <w:tcPr>
            <w:tcW w:type="dxa" w:w="1296"/>
            <w:shd w:fill="F7FAFC"/>
            <w:tcMar>
              <w:top w:w="50" w:type="dxa"/>
              <w:bottom w:w="50" w:type="dxa"/>
              <w:left w:w="70" w:type="dxa"/>
              <w:right w:w="70" w:type="dxa"/>
            </w:tcMar>
          </w:tcPr>
          <w:p>
            <w:pPr>
              <w:spacing w:line="276" w:lineRule="auto"/>
            </w:pPr>
            <w:r>
              <w:rPr>
                <w:rFonts w:ascii="Times New Roman" w:hAnsi="Times New Roman"/>
                <w:b/>
                <w:sz w:val="17"/>
              </w:rPr>
              <w:t>T2.7</w:t>
            </w:r>
          </w:p>
        </w:tc>
        <w:tc>
          <w:tcPr>
            <w:tcW w:type="dxa" w:w="3168"/>
            <w:shd w:fill="F7FAFC"/>
            <w:tcMar>
              <w:top w:w="50" w:type="dxa"/>
              <w:bottom w:w="50" w:type="dxa"/>
              <w:left w:w="70" w:type="dxa"/>
              <w:right w:w="70" w:type="dxa"/>
            </w:tcMar>
          </w:tcPr>
          <w:p>
            <w:pPr>
              <w:spacing w:line="276" w:lineRule="auto"/>
            </w:pPr>
            <w:r>
              <w:rPr>
                <w:rFonts w:ascii="Times New Roman" w:hAnsi="Times New Roman"/>
                <w:sz w:val="17"/>
              </w:rPr>
              <w:t>Final Project Thesis &amp; Major Defense</w:t>
            </w:r>
          </w:p>
        </w:tc>
        <w:tc>
          <w:tcPr>
            <w:tcW w:type="dxa" w:w="1296"/>
            <w:shd w:fill="F7FAFC"/>
            <w:tcMar>
              <w:top w:w="50" w:type="dxa"/>
              <w:bottom w:w="50" w:type="dxa"/>
              <w:left w:w="70" w:type="dxa"/>
              <w:right w:w="70" w:type="dxa"/>
            </w:tcMar>
          </w:tcPr>
          <w:p>
            <w:pPr>
              <w:spacing w:line="276" w:lineRule="auto"/>
            </w:pPr>
            <w:r>
              <w:rPr>
                <w:rFonts w:ascii="Times New Roman" w:hAnsi="Times New Roman"/>
                <w:sz w:val="17"/>
              </w:rPr>
              <w:t>Phase 2</w:t>
            </w:r>
          </w:p>
        </w:tc>
        <w:tc>
          <w:tcPr>
            <w:tcW w:type="dxa" w:w="1152"/>
            <w:shd w:fill="F7FAFC"/>
            <w:tcMar>
              <w:top w:w="50" w:type="dxa"/>
              <w:bottom w:w="50" w:type="dxa"/>
              <w:left w:w="70" w:type="dxa"/>
              <w:right w:w="70" w:type="dxa"/>
            </w:tcMar>
          </w:tcPr>
          <w:p>
            <w:pPr>
              <w:spacing w:line="276" w:lineRule="auto"/>
            </w:pPr>
            <w:r>
              <w:rPr>
                <w:rFonts w:ascii="Times New Roman" w:hAnsi="Times New Roman"/>
                <w:sz w:val="17"/>
              </w:rPr>
              <w:t>W23–W24</w:t>
            </w:r>
          </w:p>
        </w:tc>
        <w:tc>
          <w:tcPr>
            <w:tcW w:type="dxa" w:w="2117"/>
            <w:shd w:fill="F7FAFC"/>
            <w:tcMar>
              <w:top w:w="50" w:type="dxa"/>
              <w:bottom w:w="50" w:type="dxa"/>
              <w:left w:w="70" w:type="dxa"/>
              <w:right w:w="70" w:type="dxa"/>
            </w:tcMar>
          </w:tcPr>
          <w:p>
            <w:pPr>
              <w:spacing w:line="276" w:lineRule="auto"/>
            </w:pPr>
            <w:r>
              <w:rPr>
                <w:rFonts w:ascii="Times New Roman" w:hAnsi="Times New Roman"/>
                <w:sz w:val="17"/>
              </w:rPr>
              <w:t>Final B.Tech Thesis &amp; Demo</w:t>
            </w:r>
          </w:p>
        </w:tc>
      </w:tr>
    </w:tbl>
    <w:p>
      <w:pPr>
        <w:spacing w:before="80" w:after="200"/>
        <w:jc w:val="center"/>
      </w:pPr>
      <w:r>
        <w:rPr>
          <w:rFonts w:ascii="Times New Roman" w:hAnsi="Times New Roman"/>
          <w:i/>
          <w:sz w:val="20"/>
        </w:rPr>
        <w:t>Table 3: Work Breakdown Structure (WBS) Across Major Project Lifecycle</w:t>
      </w:r>
    </w:p>
    <w:p>
      <w:pPr>
        <w:keepNext/>
        <w:spacing w:before="240" w:after="80"/>
      </w:pPr>
      <w:r>
        <w:rPr>
          <w:rFonts w:ascii="Times New Roman" w:hAnsi="Times New Roman"/>
          <w:b/>
          <w:color w:val="2B6CB0"/>
          <w:sz w:val="28"/>
        </w:rPr>
        <w:t>4.2 Project Timeline &amp; Milestones</w:t>
      </w:r>
    </w:p>
    <w:p>
      <w:pPr>
        <w:spacing w:line="360" w:lineRule="auto" w:after="120"/>
        <w:jc w:val="both"/>
      </w:pPr>
      <w:r>
        <w:rPr>
          <w:rFonts w:ascii="Times New Roman" w:hAnsi="Times New Roman"/>
          <w:i w:val="0"/>
          <w:color w:val="2D3748"/>
          <w:sz w:val="24"/>
        </w:rPr>
        <w:t>Table 4 outlines the sequential academic milestones across the six-month project schedule.</w:t>
      </w:r>
    </w:p>
    <w:tbl>
      <w:tblPr>
        <w:tblW w:type="auto" w:w="0"/>
        <w:jc w:val="center"/>
        <w:tblLayout w:type="fixed"/>
        <w:tblLook w:firstColumn="1" w:firstRow="1" w:lastColumn="0" w:lastRow="0" w:noHBand="0" w:noVBand="1" w:val="04A0"/>
        <w:tblBorders>
          <w:top w:val="single" w:sz="4" w:space="0" w:color="D2D6DC"/>
          <w:bottom w:val="single" w:sz="4" w:space="0" w:color="D2D6DC"/>
          <w:insideH w:val="single" w:sz="4" w:space="0" w:color="D2D6DC"/>
          <w:insideV w:val="single" w:sz="4" w:space="0" w:color="D2D6DC"/>
          <w:left w:val="none"/>
          <w:right w:val="none"/>
        </w:tblBorders>
      </w:tblPr>
      <w:tblGrid>
        <w:gridCol w:w="3009"/>
        <w:gridCol w:w="3009"/>
        <w:gridCol w:w="3009"/>
      </w:tblGrid>
      <w:tr>
        <w:tc>
          <w:tcPr>
            <w:tcW w:type="dxa" w:w="2160"/>
            <w:shd w:fill="1A365D"/>
            <w:tcMar>
              <w:top w:w="80" w:type="dxa"/>
              <w:bottom w:w="80" w:type="dxa"/>
              <w:left w:w="100" w:type="dxa"/>
              <w:right w:w="100" w:type="dxa"/>
            </w:tcMar>
          </w:tcPr>
          <w:p>
            <w:pPr>
              <w:jc w:val="center"/>
            </w:pPr>
            <w:r>
              <w:rPr>
                <w:rFonts w:ascii="Times New Roman" w:hAnsi="Times New Roman"/>
                <w:b/>
                <w:color w:val="FFFFFF"/>
                <w:sz w:val="19"/>
              </w:rPr>
              <w:t>Timeline</w:t>
            </w:r>
          </w:p>
        </w:tc>
        <w:tc>
          <w:tcPr>
            <w:tcW w:type="dxa" w:w="3312"/>
            <w:shd w:fill="1A365D"/>
            <w:tcMar>
              <w:top w:w="80" w:type="dxa"/>
              <w:bottom w:w="80" w:type="dxa"/>
              <w:left w:w="100" w:type="dxa"/>
              <w:right w:w="100" w:type="dxa"/>
            </w:tcMar>
          </w:tcPr>
          <w:p>
            <w:pPr>
              <w:jc w:val="center"/>
            </w:pPr>
            <w:r>
              <w:rPr>
                <w:rFonts w:ascii="Times New Roman" w:hAnsi="Times New Roman"/>
                <w:b/>
                <w:color w:val="FFFFFF"/>
                <w:sz w:val="19"/>
              </w:rPr>
              <w:t>Milestone Focus</w:t>
            </w:r>
          </w:p>
        </w:tc>
        <w:tc>
          <w:tcPr>
            <w:tcW w:type="dxa" w:w="3557"/>
            <w:shd w:fill="1A365D"/>
            <w:tcMar>
              <w:top w:w="80" w:type="dxa"/>
              <w:bottom w:w="80" w:type="dxa"/>
              <w:left w:w="100" w:type="dxa"/>
              <w:right w:w="100" w:type="dxa"/>
            </w:tcMar>
          </w:tcPr>
          <w:p>
            <w:pPr>
              <w:jc w:val="center"/>
            </w:pPr>
            <w:r>
              <w:rPr>
                <w:rFonts w:ascii="Times New Roman" w:hAnsi="Times New Roman"/>
                <w:b/>
                <w:color w:val="FFFFFF"/>
                <w:sz w:val="19"/>
              </w:rPr>
              <w:t>Key Academic Deliverable</w:t>
            </w:r>
          </w:p>
        </w:tc>
      </w:tr>
      <w:tr>
        <w:tc>
          <w:tcPr>
            <w:tcW w:type="dxa" w:w="2160"/>
            <w:tcMar>
              <w:top w:w="60" w:type="dxa"/>
              <w:bottom w:w="60" w:type="dxa"/>
              <w:left w:w="80" w:type="dxa"/>
              <w:right w:w="80" w:type="dxa"/>
            </w:tcMar>
          </w:tcPr>
          <w:p>
            <w:pPr>
              <w:spacing w:line="276" w:lineRule="auto"/>
            </w:pPr>
            <w:r>
              <w:rPr>
                <w:rFonts w:ascii="Times New Roman" w:hAnsi="Times New Roman"/>
                <w:b/>
                <w:sz w:val="18"/>
              </w:rPr>
              <w:t>Month 1 (Weeks 1–4)</w:t>
            </w:r>
          </w:p>
        </w:tc>
        <w:tc>
          <w:tcPr>
            <w:tcW w:type="dxa" w:w="3312"/>
            <w:tcMar>
              <w:top w:w="60" w:type="dxa"/>
              <w:bottom w:w="60" w:type="dxa"/>
              <w:left w:w="80" w:type="dxa"/>
              <w:right w:w="80" w:type="dxa"/>
            </w:tcMar>
          </w:tcPr>
          <w:p>
            <w:pPr>
              <w:spacing w:line="276" w:lineRule="auto"/>
            </w:pPr>
            <w:r>
              <w:rPr>
                <w:rFonts w:ascii="Times New Roman" w:hAnsi="Times New Roman"/>
                <w:sz w:val="18"/>
              </w:rPr>
              <w:t>Literature Review &amp; Problem Definition</w:t>
            </w:r>
          </w:p>
        </w:tc>
        <w:tc>
          <w:tcPr>
            <w:tcW w:type="dxa" w:w="3557"/>
            <w:tcMar>
              <w:top w:w="60" w:type="dxa"/>
              <w:bottom w:w="60" w:type="dxa"/>
              <w:left w:w="80" w:type="dxa"/>
              <w:right w:w="80" w:type="dxa"/>
            </w:tcMar>
          </w:tcPr>
          <w:p>
            <w:pPr>
              <w:spacing w:line="276" w:lineRule="auto"/>
            </w:pPr>
            <w:r>
              <w:rPr>
                <w:rFonts w:ascii="Times New Roman" w:hAnsi="Times New Roman"/>
                <w:sz w:val="18"/>
              </w:rPr>
              <w:t>Comprehensive Literature Survey Matrix</w:t>
            </w:r>
          </w:p>
        </w:tc>
      </w:tr>
      <w:tr>
        <w:tc>
          <w:tcPr>
            <w:tcW w:type="dxa" w:w="2160"/>
            <w:shd w:fill="F7FAFC"/>
            <w:tcMar>
              <w:top w:w="60" w:type="dxa"/>
              <w:bottom w:w="60" w:type="dxa"/>
              <w:left w:w="80" w:type="dxa"/>
              <w:right w:w="80" w:type="dxa"/>
            </w:tcMar>
          </w:tcPr>
          <w:p>
            <w:pPr>
              <w:spacing w:line="276" w:lineRule="auto"/>
            </w:pPr>
            <w:r>
              <w:rPr>
                <w:rFonts w:ascii="Times New Roman" w:hAnsi="Times New Roman"/>
                <w:b/>
                <w:sz w:val="18"/>
              </w:rPr>
              <w:t>Month 2 (Weeks 5–8)</w:t>
            </w:r>
          </w:p>
        </w:tc>
        <w:tc>
          <w:tcPr>
            <w:tcW w:type="dxa" w:w="3312"/>
            <w:shd w:fill="F7FAFC"/>
            <w:tcMar>
              <w:top w:w="60" w:type="dxa"/>
              <w:bottom w:w="60" w:type="dxa"/>
              <w:left w:w="80" w:type="dxa"/>
              <w:right w:w="80" w:type="dxa"/>
            </w:tcMar>
          </w:tcPr>
          <w:p>
            <w:pPr>
              <w:spacing w:line="276" w:lineRule="auto"/>
            </w:pPr>
            <w:r>
              <w:rPr>
                <w:rFonts w:ascii="Times New Roman" w:hAnsi="Times New Roman"/>
                <w:sz w:val="18"/>
              </w:rPr>
              <w:t>Architecture Design &amp; Privacy Framework</w:t>
            </w:r>
          </w:p>
        </w:tc>
        <w:tc>
          <w:tcPr>
            <w:tcW w:type="dxa" w:w="3557"/>
            <w:shd w:fill="F7FAFC"/>
            <w:tcMar>
              <w:top w:w="60" w:type="dxa"/>
              <w:bottom w:w="60" w:type="dxa"/>
              <w:left w:w="80" w:type="dxa"/>
              <w:right w:w="80" w:type="dxa"/>
            </w:tcMar>
          </w:tcPr>
          <w:p>
            <w:pPr>
              <w:spacing w:line="276" w:lineRule="auto"/>
            </w:pPr>
            <w:r>
              <w:rPr>
                <w:rFonts w:ascii="Times New Roman" w:hAnsi="Times New Roman"/>
                <w:sz w:val="18"/>
              </w:rPr>
              <w:t>5-Tier Architecture Blueprint &amp; DFD Specifications</w:t>
            </w:r>
          </w:p>
        </w:tc>
      </w:tr>
      <w:tr>
        <w:tc>
          <w:tcPr>
            <w:tcW w:type="dxa" w:w="2160"/>
            <w:tcMar>
              <w:top w:w="60" w:type="dxa"/>
              <w:bottom w:w="60" w:type="dxa"/>
              <w:left w:w="80" w:type="dxa"/>
              <w:right w:w="80" w:type="dxa"/>
            </w:tcMar>
          </w:tcPr>
          <w:p>
            <w:pPr>
              <w:spacing w:line="276" w:lineRule="auto"/>
            </w:pPr>
            <w:r>
              <w:rPr>
                <w:rFonts w:ascii="Times New Roman" w:hAnsi="Times New Roman"/>
                <w:b/>
                <w:sz w:val="18"/>
              </w:rPr>
              <w:t>Month 3 (Weeks 9–12)</w:t>
            </w:r>
          </w:p>
        </w:tc>
        <w:tc>
          <w:tcPr>
            <w:tcW w:type="dxa" w:w="3312"/>
            <w:tcMar>
              <w:top w:w="60" w:type="dxa"/>
              <w:bottom w:w="60" w:type="dxa"/>
              <w:left w:w="80" w:type="dxa"/>
              <w:right w:w="80" w:type="dxa"/>
            </w:tcMar>
          </w:tcPr>
          <w:p>
            <w:pPr>
              <w:spacing w:line="276" w:lineRule="auto"/>
            </w:pPr>
            <w:r>
              <w:rPr>
                <w:rFonts w:ascii="Times New Roman" w:hAnsi="Times New Roman"/>
                <w:sz w:val="18"/>
              </w:rPr>
              <w:t>Phase 1 Evaluation &amp; Defense</w:t>
            </w:r>
          </w:p>
        </w:tc>
        <w:tc>
          <w:tcPr>
            <w:tcW w:type="dxa" w:w="3557"/>
            <w:tcMar>
              <w:top w:w="60" w:type="dxa"/>
              <w:bottom w:w="60" w:type="dxa"/>
              <w:left w:w="80" w:type="dxa"/>
              <w:right w:w="80" w:type="dxa"/>
            </w:tcMar>
          </w:tcPr>
          <w:p>
            <w:pPr>
              <w:spacing w:line="276" w:lineRule="auto"/>
            </w:pPr>
            <w:r>
              <w:rPr>
                <w:rFonts w:ascii="Times New Roman" w:hAnsi="Times New Roman"/>
                <w:sz w:val="18"/>
              </w:rPr>
              <w:t>Phase 1 Project Report &amp; Interim Presentation</w:t>
            </w:r>
          </w:p>
        </w:tc>
      </w:tr>
      <w:tr>
        <w:tc>
          <w:tcPr>
            <w:tcW w:type="dxa" w:w="2160"/>
            <w:shd w:fill="F7FAFC"/>
            <w:tcMar>
              <w:top w:w="60" w:type="dxa"/>
              <w:bottom w:w="60" w:type="dxa"/>
              <w:left w:w="80" w:type="dxa"/>
              <w:right w:w="80" w:type="dxa"/>
            </w:tcMar>
          </w:tcPr>
          <w:p>
            <w:pPr>
              <w:spacing w:line="276" w:lineRule="auto"/>
            </w:pPr>
            <w:r>
              <w:rPr>
                <w:rFonts w:ascii="Times New Roman" w:hAnsi="Times New Roman"/>
                <w:b/>
                <w:sz w:val="18"/>
              </w:rPr>
              <w:t>Month 4 (Weeks 13–16)</w:t>
            </w:r>
          </w:p>
        </w:tc>
        <w:tc>
          <w:tcPr>
            <w:tcW w:type="dxa" w:w="3312"/>
            <w:shd w:fill="F7FAFC"/>
            <w:tcMar>
              <w:top w:w="60" w:type="dxa"/>
              <w:bottom w:w="60" w:type="dxa"/>
              <w:left w:w="80" w:type="dxa"/>
              <w:right w:w="80" w:type="dxa"/>
            </w:tcMar>
          </w:tcPr>
          <w:p>
            <w:pPr>
              <w:spacing w:line="276" w:lineRule="auto"/>
            </w:pPr>
            <w:r>
              <w:rPr>
                <w:rFonts w:ascii="Times New Roman" w:hAnsi="Times New Roman"/>
                <w:sz w:val="18"/>
              </w:rPr>
              <w:t>Dataset Curation &amp; ML Model Training</w:t>
            </w:r>
          </w:p>
        </w:tc>
        <w:tc>
          <w:tcPr>
            <w:tcW w:type="dxa" w:w="3557"/>
            <w:shd w:fill="F7FAFC"/>
            <w:tcMar>
              <w:top w:w="60" w:type="dxa"/>
              <w:bottom w:w="60" w:type="dxa"/>
              <w:left w:w="80" w:type="dxa"/>
              <w:right w:w="80" w:type="dxa"/>
            </w:tcMar>
          </w:tcPr>
          <w:p>
            <w:pPr>
              <w:spacing w:line="276" w:lineRule="auto"/>
            </w:pPr>
            <w:r>
              <w:rPr>
                <w:rFonts w:ascii="Times New Roman" w:hAnsi="Times New Roman"/>
                <w:sz w:val="18"/>
              </w:rPr>
              <w:t>Trained Multi-Class Classifiers &amp; Scaler Artifacts</w:t>
            </w:r>
          </w:p>
        </w:tc>
      </w:tr>
      <w:tr>
        <w:tc>
          <w:tcPr>
            <w:tcW w:type="dxa" w:w="2160"/>
            <w:tcMar>
              <w:top w:w="60" w:type="dxa"/>
              <w:bottom w:w="60" w:type="dxa"/>
              <w:left w:w="80" w:type="dxa"/>
              <w:right w:w="80" w:type="dxa"/>
            </w:tcMar>
          </w:tcPr>
          <w:p>
            <w:pPr>
              <w:spacing w:line="276" w:lineRule="auto"/>
            </w:pPr>
            <w:r>
              <w:rPr>
                <w:rFonts w:ascii="Times New Roman" w:hAnsi="Times New Roman"/>
                <w:b/>
                <w:sz w:val="18"/>
              </w:rPr>
              <w:t>Month 5 (Weeks 17–20)</w:t>
            </w:r>
          </w:p>
        </w:tc>
        <w:tc>
          <w:tcPr>
            <w:tcW w:type="dxa" w:w="3312"/>
            <w:tcMar>
              <w:top w:w="60" w:type="dxa"/>
              <w:bottom w:w="60" w:type="dxa"/>
              <w:left w:w="80" w:type="dxa"/>
              <w:right w:w="80" w:type="dxa"/>
            </w:tcMar>
          </w:tcPr>
          <w:p>
            <w:pPr>
              <w:spacing w:line="276" w:lineRule="auto"/>
            </w:pPr>
            <w:r>
              <w:rPr>
                <w:rFonts w:ascii="Times New Roman" w:hAnsi="Times New Roman"/>
                <w:sz w:val="18"/>
              </w:rPr>
              <w:t>NLP Sentiment Engine &amp; UI Integration</w:t>
            </w:r>
          </w:p>
        </w:tc>
        <w:tc>
          <w:tcPr>
            <w:tcW w:type="dxa" w:w="3557"/>
            <w:tcMar>
              <w:top w:w="60" w:type="dxa"/>
              <w:bottom w:w="60" w:type="dxa"/>
              <w:left w:w="80" w:type="dxa"/>
              <w:right w:w="80" w:type="dxa"/>
            </w:tcMar>
          </w:tcPr>
          <w:p>
            <w:pPr>
              <w:spacing w:line="276" w:lineRule="auto"/>
            </w:pPr>
            <w:r>
              <w:rPr>
                <w:rFonts w:ascii="Times New Roman" w:hAnsi="Times New Roman"/>
                <w:sz w:val="18"/>
              </w:rPr>
              <w:t>Fully Integrated Streamlit Platform (app.py)</w:t>
            </w:r>
          </w:p>
        </w:tc>
      </w:tr>
      <w:tr>
        <w:tc>
          <w:tcPr>
            <w:tcW w:type="dxa" w:w="2160"/>
            <w:shd w:fill="F7FAFC"/>
            <w:tcMar>
              <w:top w:w="60" w:type="dxa"/>
              <w:bottom w:w="60" w:type="dxa"/>
              <w:left w:w="80" w:type="dxa"/>
              <w:right w:w="80" w:type="dxa"/>
            </w:tcMar>
          </w:tcPr>
          <w:p>
            <w:pPr>
              <w:spacing w:line="276" w:lineRule="auto"/>
            </w:pPr>
            <w:r>
              <w:rPr>
                <w:rFonts w:ascii="Times New Roman" w:hAnsi="Times New Roman"/>
                <w:b/>
                <w:sz w:val="18"/>
              </w:rPr>
              <w:t>Month 6 (Weeks 21–24)</w:t>
            </w:r>
          </w:p>
        </w:tc>
        <w:tc>
          <w:tcPr>
            <w:tcW w:type="dxa" w:w="3312"/>
            <w:shd w:fill="F7FAFC"/>
            <w:tcMar>
              <w:top w:w="60" w:type="dxa"/>
              <w:bottom w:w="60" w:type="dxa"/>
              <w:left w:w="80" w:type="dxa"/>
              <w:right w:w="80" w:type="dxa"/>
            </w:tcMar>
          </w:tcPr>
          <w:p>
            <w:pPr>
              <w:spacing w:line="276" w:lineRule="auto"/>
            </w:pPr>
            <w:r>
              <w:rPr>
                <w:rFonts w:ascii="Times New Roman" w:hAnsi="Times New Roman"/>
                <w:sz w:val="18"/>
              </w:rPr>
              <w:t>Final Evaluation &amp; Thesis Defense</w:t>
            </w:r>
          </w:p>
        </w:tc>
        <w:tc>
          <w:tcPr>
            <w:tcW w:type="dxa" w:w="3557"/>
            <w:shd w:fill="F7FAFC"/>
            <w:tcMar>
              <w:top w:w="60" w:type="dxa"/>
              <w:bottom w:w="60" w:type="dxa"/>
              <w:left w:w="80" w:type="dxa"/>
              <w:right w:w="80" w:type="dxa"/>
            </w:tcMar>
          </w:tcPr>
          <w:p>
            <w:pPr>
              <w:spacing w:line="276" w:lineRule="auto"/>
            </w:pPr>
            <w:r>
              <w:rPr>
                <w:rFonts w:ascii="Times New Roman" w:hAnsi="Times New Roman"/>
                <w:sz w:val="18"/>
              </w:rPr>
              <w:t>Final B.Tech Thesis, Working Demo &amp; Viva Voce</w:t>
            </w:r>
          </w:p>
        </w:tc>
      </w:tr>
    </w:tbl>
    <w:p>
      <w:pPr>
        <w:spacing w:before="80" w:after="280"/>
        <w:jc w:val="center"/>
      </w:pPr>
      <w:r>
        <w:rPr>
          <w:rFonts w:ascii="Times New Roman" w:hAnsi="Times New Roman"/>
          <w:i/>
          <w:sz w:val="20"/>
        </w:rPr>
        <w:t>Table 4: Monthly Milestone Schedule and Tangible Deliverables</w:t>
      </w:r>
    </w:p>
    <w:p>
      <w:r>
        <w:br w:type="page"/>
      </w:r>
    </w:p>
    <w:p>
      <w:pPr>
        <w:keepNext/>
        <w:spacing w:before="320" w:after="120"/>
      </w:pPr>
      <w:r>
        <w:rPr>
          <w:rFonts w:ascii="Times New Roman" w:hAnsi="Times New Roman"/>
          <w:b/>
          <w:color w:val="1A365D"/>
          <w:sz w:val="32"/>
        </w:rPr>
        <w:t>5. References</w:t>
      </w:r>
    </w:p>
    <w:p>
      <w:pPr>
        <w:spacing w:line="276" w:lineRule="auto" w:after="80"/>
        <w:ind w:left="432" w:hanging="432"/>
        <w:jc w:val="both"/>
      </w:pPr>
      <w:r>
        <w:rPr>
          <w:rFonts w:ascii="Times New Roman" w:hAnsi="Times New Roman"/>
          <w:b/>
          <w:sz w:val="21"/>
        </w:rPr>
        <w:t xml:space="preserve">[1] </w:t>
      </w:r>
      <w:r>
        <w:rPr>
          <w:rFonts w:ascii="Times New Roman" w:hAnsi="Times New Roman"/>
          <w:sz w:val="21"/>
        </w:rPr>
        <w:t>World Health Organization, World Mental Health Report: Transforming mental health for all, Geneva: World Health Organization, 2022. [Online]. Available: https://www.who.int/publications/i/item/9789240049338</w:t>
      </w:r>
    </w:p>
    <w:p>
      <w:pPr>
        <w:spacing w:line="276" w:lineRule="auto" w:after="80"/>
        <w:ind w:left="432" w:hanging="432"/>
        <w:jc w:val="both"/>
      </w:pPr>
      <w:r>
        <w:rPr>
          <w:rFonts w:ascii="Times New Roman" w:hAnsi="Times New Roman"/>
          <w:b/>
          <w:sz w:val="21"/>
        </w:rPr>
        <w:t xml:space="preserve">[2] </w:t>
      </w:r>
      <w:r>
        <w:rPr>
          <w:rFonts w:ascii="Times New Roman" w:hAnsi="Times New Roman"/>
          <w:sz w:val="21"/>
        </w:rPr>
        <w:t>R. H. Bitsko, A. H. Claussen, J. Lichstein, L. I. Black, S. E. Jones, M. L. Danielson, et al., 'Mental Health Surveillance Among Children — United States, 2013–2019,' MMWR Supplements, vol. 71, no. 2, pp. 1–42, Feb. 2022. [Online]. Available: https://www.cdc.gov/mmwr/volumes/71/su/su7102a1.htm</w:t>
      </w:r>
    </w:p>
    <w:p>
      <w:pPr>
        <w:spacing w:line="276" w:lineRule="auto" w:after="80"/>
        <w:ind w:left="432" w:hanging="432"/>
        <w:jc w:val="both"/>
      </w:pPr>
      <w:r>
        <w:rPr>
          <w:rFonts w:ascii="Times New Roman" w:hAnsi="Times New Roman"/>
          <w:b/>
          <w:sz w:val="21"/>
        </w:rPr>
        <w:t xml:space="preserve">[3] </w:t>
      </w:r>
      <w:r>
        <w:rPr>
          <w:rFonts w:ascii="Times New Roman" w:hAnsi="Times New Roman"/>
          <w:sz w:val="21"/>
        </w:rPr>
        <w:t>C. Hollis, C. J. Falconer, J. L. Martin, C. Whittington, S. Stockton, C. Glazebrook, and E. B. Davies, 'Annual Research Review: Digital health interventions for children and young people with mental health problems – a systematic and meta-review,' Journal of Child Psychology and Psychiatry, vol. 58, no. 4, pp. 474–503, Apr. 2017, doi: 10.1111/jcpp.12663.</w:t>
      </w:r>
    </w:p>
    <w:p>
      <w:pPr>
        <w:spacing w:line="276" w:lineRule="auto" w:after="80"/>
        <w:ind w:left="432" w:hanging="432"/>
        <w:jc w:val="both"/>
      </w:pPr>
      <w:r>
        <w:rPr>
          <w:rFonts w:ascii="Times New Roman" w:hAnsi="Times New Roman"/>
          <w:b/>
          <w:sz w:val="21"/>
        </w:rPr>
        <w:t xml:space="preserve">[4] </w:t>
      </w:r>
      <w:r>
        <w:rPr>
          <w:rFonts w:ascii="Times New Roman" w:hAnsi="Times New Roman"/>
          <w:sz w:val="21"/>
        </w:rPr>
        <w:t>R. Grist, J. Porter, and P. Stallard, 'Mental Health Mobile Apps for Preadolescents and Adolescents: A Systematic Review,' Journal of Medical Internet Research, vol. 19, no. 5, p. e176, May 2017, doi: 10.2196/jmir.7332.</w:t>
      </w:r>
    </w:p>
    <w:p>
      <w:pPr>
        <w:spacing w:line="276" w:lineRule="auto" w:after="80"/>
        <w:ind w:left="432" w:hanging="432"/>
        <w:jc w:val="both"/>
      </w:pPr>
      <w:r>
        <w:rPr>
          <w:rFonts w:ascii="Times New Roman" w:hAnsi="Times New Roman"/>
          <w:b/>
          <w:sz w:val="21"/>
        </w:rPr>
        <w:t xml:space="preserve">[5] </w:t>
      </w:r>
      <w:r>
        <w:rPr>
          <w:rFonts w:ascii="Times New Roman" w:hAnsi="Times New Roman"/>
          <w:sz w:val="21"/>
        </w:rPr>
        <w:t>A. B. Shatte, D. M. Hutchinson, and S. J. Teague, 'Machine learning in mental health: a scoping review of methods and applications,' Computer Methods and Programs in Biomedicine, vol. 175, pp. 219–224, Jul. 2019, doi: 10.1016/j.cmpb.2019.04.017.</w:t>
      </w:r>
    </w:p>
    <w:p>
      <w:pPr>
        <w:spacing w:line="276" w:lineRule="auto" w:after="80"/>
        <w:ind w:left="432" w:hanging="432"/>
        <w:jc w:val="both"/>
      </w:pPr>
      <w:r>
        <w:rPr>
          <w:rFonts w:ascii="Times New Roman" w:hAnsi="Times New Roman"/>
          <w:b/>
          <w:sz w:val="21"/>
        </w:rPr>
        <w:t xml:space="preserve">[6] </w:t>
      </w:r>
      <w:r>
        <w:rPr>
          <w:rFonts w:ascii="Times New Roman" w:hAnsi="Times New Roman"/>
          <w:sz w:val="21"/>
        </w:rPr>
        <w:t>T. A. Burke, R. Jacobucci, B. A. Ammerman, M. Piccirillo, M. S. McCloskey, and L. B. Alloy, 'Identifying the Most Important Predictors of Non-Suicidal Self-Injury in Adolescents: Using Machine Learning to Refine Risk Screening,' Journal of Consulting and Clinical Psychology, vol. 87, no. 11, pp. 978–992, Nov. 2019, doi: 10.1037/ccp0000438.</w:t>
      </w:r>
    </w:p>
    <w:p>
      <w:pPr>
        <w:spacing w:line="276" w:lineRule="auto" w:after="80"/>
        <w:ind w:left="432" w:hanging="432"/>
        <w:jc w:val="both"/>
      </w:pPr>
      <w:r>
        <w:rPr>
          <w:rFonts w:ascii="Times New Roman" w:hAnsi="Times New Roman"/>
          <w:b/>
          <w:sz w:val="21"/>
        </w:rPr>
        <w:t xml:space="preserve">[7] </w:t>
      </w:r>
      <w:r>
        <w:rPr>
          <w:rFonts w:ascii="Times New Roman" w:hAnsi="Times New Roman"/>
          <w:sz w:val="21"/>
        </w:rPr>
        <w:t>A. Le Glaz, Y. Haralambous, D. H. Kim-Dufor, P. Lenca, R. Billot, T. Boraud, and S. Berrouiguet, 'Machine Learning and Natural Language Processing in Mental Health: Systematic Review,' Journal of Medical Internet Research, vol. 23, no. 5, p. e15708, May 2021, doi: 10.2196/15708.</w:t>
      </w:r>
    </w:p>
    <w:p>
      <w:pPr>
        <w:spacing w:line="276" w:lineRule="auto" w:after="80"/>
        <w:ind w:left="432" w:hanging="432"/>
        <w:jc w:val="both"/>
      </w:pPr>
      <w:r>
        <w:rPr>
          <w:rFonts w:ascii="Times New Roman" w:hAnsi="Times New Roman"/>
          <w:b/>
          <w:sz w:val="21"/>
        </w:rPr>
        <w:t xml:space="preserve">[8] </w:t>
      </w:r>
      <w:r>
        <w:rPr>
          <w:rFonts w:ascii="Times New Roman" w:hAnsi="Times New Roman"/>
          <w:sz w:val="21"/>
        </w:rPr>
        <w:t>C. J. Hutto and E. Gilbert, 'VADER: A Parsimonious Rule-based Model for Sentiment Analysis of Social Media Text,' in Proceedings of the Eighth International AAAI Conference on Weblogs and Social Media (ICWSM-14), vol. 8, no. 1, 2014, pp. 216–225.</w:t>
      </w:r>
    </w:p>
    <w:p>
      <w:pPr>
        <w:spacing w:line="276" w:lineRule="auto" w:after="80"/>
        <w:ind w:left="432" w:hanging="432"/>
        <w:jc w:val="both"/>
      </w:pPr>
      <w:r>
        <w:rPr>
          <w:rFonts w:ascii="Times New Roman" w:hAnsi="Times New Roman"/>
          <w:b/>
          <w:sz w:val="21"/>
        </w:rPr>
        <w:t xml:space="preserve">[9] </w:t>
      </w:r>
      <w:r>
        <w:rPr>
          <w:rFonts w:ascii="Times New Roman" w:hAnsi="Times New Roman"/>
          <w:sz w:val="21"/>
        </w:rPr>
        <w:t>W. Gardner, M. Murphy, G. Childs, K. Kelleher, M. Pagano, M. Jellinek, et al., 'The PSC-17: a brief pediatric symptom checklist with psychosocial subscales. A report from the PROS and ASPN networks,' Ambulatory Child Health, vol. 5, no. 3, pp. 225–236, Sep. 1999.</w:t>
      </w:r>
    </w:p>
    <w:p>
      <w:pPr>
        <w:spacing w:line="276" w:lineRule="auto" w:after="80"/>
        <w:ind w:left="432" w:hanging="432"/>
        <w:jc w:val="both"/>
      </w:pPr>
      <w:r>
        <w:rPr>
          <w:rFonts w:ascii="Times New Roman" w:hAnsi="Times New Roman"/>
          <w:b/>
          <w:sz w:val="21"/>
        </w:rPr>
        <w:t xml:space="preserve">[10] </w:t>
      </w:r>
      <w:r>
        <w:rPr>
          <w:rFonts w:ascii="Times New Roman" w:hAnsi="Times New Roman"/>
          <w:sz w:val="21"/>
        </w:rPr>
        <w:t>S. M. Schueller, C. M. Armstrong, and M. Neary, 'Privacy and Security in Digital Mental Health,' in Digital Mental Health: Technology and Mental Health, Cham: Springer, 2019, pp. 77–94, doi: 10.1007/978-3-030-01639-5_5.</w:t>
      </w:r>
    </w:p>
    <w:p>
      <w:pPr>
        <w:spacing w:line="276" w:lineRule="auto" w:after="80"/>
        <w:ind w:left="432" w:hanging="432"/>
        <w:jc w:val="both"/>
      </w:pPr>
      <w:r>
        <w:rPr>
          <w:rFonts w:ascii="Times New Roman" w:hAnsi="Times New Roman"/>
          <w:b/>
          <w:sz w:val="21"/>
        </w:rPr>
        <w:t xml:space="preserve">[11] </w:t>
      </w:r>
      <w:r>
        <w:rPr>
          <w:rFonts w:ascii="Times New Roman" w:hAnsi="Times New Roman"/>
          <w:sz w:val="21"/>
        </w:rPr>
        <w:t>UNICEF, The State of the World's Children 2021: On My Mind – Promoting, protecting and caring for children’s mental health, New York: United Nations Children's Fund, 2021. [Online]. Available: https://www.unicef.org/reports/state-of-worlds-children-2021</w:t>
      </w:r>
    </w:p>
    <w:p>
      <w:pPr>
        <w:spacing w:line="276" w:lineRule="auto" w:after="80"/>
        <w:ind w:left="432" w:hanging="432"/>
        <w:jc w:val="both"/>
      </w:pPr>
      <w:r>
        <w:rPr>
          <w:rFonts w:ascii="Times New Roman" w:hAnsi="Times New Roman"/>
          <w:b/>
          <w:sz w:val="21"/>
        </w:rPr>
        <w:t xml:space="preserve">[12] </w:t>
      </w:r>
      <w:r>
        <w:rPr>
          <w:rFonts w:ascii="Times New Roman" w:hAnsi="Times New Roman"/>
          <w:sz w:val="21"/>
        </w:rPr>
        <w:t>Ministry of Health and Family Welfare, Government of India, National Tele Mental Health Programme of India (Tele-MANAS) - Operational Guidelines, New Delhi: MoHFW, 2022. [Online]. Available: https://telemanas.mohfw.gov.in/</w:t>
      </w:r>
    </w:p>
    <w:sectPr w:rsidR="00FC693F" w:rsidRPr="0006063C" w:rsidSect="00034616">
      <w:headerReference w:type="default" r:id="rId9"/>
      <w:footerReference w:type="default" r:id="rId10"/>
      <w:pgSz w:w="11906" w:h="16838"/>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718096"/>
        <w:sz w:val="18"/>
      </w:rPr>
      <w:t>Presidency University, Bengaluru — Department of Computer Science and Engineering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718096"/>
        <w:sz w:val="18"/>
      </w:rPr>
      <w:t>Presidency University | B.Tech Major Project Phase 1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