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4C6E"/>
          <w:sz w:val="64"/>
        </w:rPr>
        <w:t>Aegis Labs</w:t>
      </w:r>
    </w:p>
    <w:p>
      <w:pPr>
        <w:jc w:val="center"/>
      </w:pPr>
      <w:r>
        <w:rPr>
          <w:color w:val="007AA5"/>
          <w:sz w:val="32"/>
        </w:rPr>
        <w:t>Agentic Feature Validation &amp; Guardrail Workspace</w:t>
      </w:r>
    </w:p>
    <w:p/>
    <w:p>
      <w:pPr>
        <w:jc w:val="center"/>
      </w:pPr>
      <w:r>
        <w:rPr>
          <w:b/>
          <w:color w:val="004C6E"/>
          <w:sz w:val="44"/>
        </w:rPr>
        <w:t>Functional User Guide</w:t>
      </w:r>
    </w:p>
    <w:p/>
    <w:p>
      <w:pPr>
        <w:jc w:val="center"/>
      </w:pPr>
      <w:r>
        <w:rPr>
          <w:color w:val="666666"/>
          <w:sz w:val="22"/>
        </w:rPr>
        <w:t>Version 1.0  ·  July 2026  ·  Genpact DNA Accelerators</w:t>
      </w:r>
    </w:p>
    <w:p>
      <w:r>
        <w:br w:type="page"/>
      </w:r>
    </w:p>
    <w:p>
      <w:pPr>
        <w:pStyle w:val="Heading1"/>
      </w:pPr>
      <w:r>
        <w:rPr>
          <w:color w:val="004C6E"/>
        </w:rPr>
        <w:t>1.  Introduction</w:t>
      </w:r>
    </w:p>
    <w:p>
      <w:pPr>
        <w:spacing w:after="80"/>
      </w:pPr>
      <w:r>
        <w:t>Aegis Labs is an agentic data-quality platform designed for analytical and model-feature data. It guides you through five connected workflows — from connecting a database to raising a remediation ticket — while AI agents do the heavy analytical lifting. You stay in control at every critical decision point through Human-in-the-Loop (HITL) gates.</w:t>
      </w:r>
    </w:p>
    <w:p>
      <w:pPr>
        <w:spacing w:before="200" w:after="80"/>
      </w:pPr>
      <w:r>
        <w:rPr>
          <w:b/>
          <w:color w:val="007AA5"/>
          <w:sz w:val="24"/>
        </w:rPr>
        <w:t>1.1  The Five Workflows at a Glance</w:t>
      </w:r>
    </w:p>
    <w:tbl>
      <w:tblPr>
        <w:tblStyle w:val="TableGrid"/>
        <w:tblW w:type="auto" w:w="0"/>
        <w:tblLook w:firstColumn="1" w:firstRow="1" w:lastColumn="0" w:lastRow="0" w:noHBand="0" w:noVBand="1" w:val="04A0"/>
      </w:tblPr>
      <w:tblGrid>
        <w:gridCol w:w="4703"/>
        <w:gridCol w:w="4703"/>
      </w:tblGrid>
      <w:tr>
        <w:tc>
          <w:tcPr>
            <w:tcW w:type="dxa" w:w="4703"/>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Workflow</w:t>
            </w:r>
          </w:p>
        </w:tc>
        <w:tc>
          <w:tcPr>
            <w:tcW w:type="dxa" w:w="4703"/>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What happens</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① Data Sourcing</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Connect a database, profile its tables, and get an AI-generated summary of its data landscape.</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② Define Test Plan</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Select or AI-generate data quality tests and attach them to specific table columns. Review and finalise the plan.</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③ Run Validations</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Execute the finalised test plan against the live data. Each test produces a pass/fail result and a health score.</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④ Root Cause Analysis</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Investigate why a test failed. An AI agent proposes diagnostic code; you approve it. The system then declares a root cause.</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⑤ Issue Management</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Raise a tracked ticket from a confirmed root cause and manage it through Raised → Under Review → Closed.</w:t>
            </w:r>
          </w:p>
        </w:tc>
      </w:tr>
    </w:tbl>
    <w:p/>
    <w:p>
      <w:pPr>
        <w:spacing w:before="200" w:after="80"/>
      </w:pPr>
      <w:r>
        <w:rPr>
          <w:b/>
          <w:color w:val="007AA5"/>
          <w:sz w:val="24"/>
        </w:rPr>
        <w:t>1.2  The Agent Console</w:t>
      </w:r>
    </w:p>
    <w:p>
      <w:pPr>
        <w:spacing w:after="80"/>
      </w:pPr>
      <w:r>
        <w:t>Whenever an AI agent is working, a dark live panel called the Agent Console appears on screen. It streams the agent's reasoning and progress in real time. You do not need to interact with it — just read top to bottom to follow which agent is acting and why. It closes automatically when the agent finishes.</w:t>
      </w:r>
    </w:p>
    <w:tbl>
      <w:tblPr>
        <w:tblW w:type="auto" w:w="0"/>
        <w:jc w:val="left"/>
        <w:tblLook w:firstColumn="1" w:firstRow="1" w:lastColumn="0" w:lastRow="0" w:noHBand="0" w:noVBand="1" w:val="04A0"/>
      </w:tblPr>
      <w:tblGrid>
        <w:gridCol w:w="9406"/>
      </w:tblGrid>
      <w:tr>
        <w:tc>
          <w:tcPr>
            <w:tcW w:type="dxa" w:w="9406"/>
            <w:shd w:val="clear" w:color="auto" w:fill="E0F3FA"/>
            <w:tcBorders>
              <w:top w:val="single" w:sz="6" w:space="0" w:color="007AA5"/>
              <w:left w:val="single" w:sz="6" w:space="0" w:color="007AA5"/>
              <w:bottom w:val="single" w:sz="6" w:space="0" w:color="007AA5"/>
              <w:right w:val="single" w:sz="6" w:space="0" w:color="007AA5"/>
            </w:tcBorders>
          </w:tcPr>
          <w:p>
            <w:r>
              <w:rPr>
                <w:b/>
                <w:color w:val="004C6E"/>
              </w:rPr>
              <w:t xml:space="preserve">NOTE  </w:t>
            </w:r>
            <w:r>
              <w:rPr>
                <w:i w:val="0"/>
                <w:sz w:val="20"/>
              </w:rPr>
              <w:t>The Agent Console shows two types of messages: token frames (the agent's words appearing word-by-word, like a chatbot) and step frames (phase-transition markers between agents). Both are informational only.</w:t>
            </w:r>
          </w:p>
        </w:tc>
      </w:tr>
    </w:tbl>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Agent Console panel streaming output during a Newton database-understanding run. Show the dark panel overlaid on the Data Sourcing screen, with visible token output.</w:t>
            </w:r>
          </w:p>
        </w:tc>
      </w:tr>
    </w:tbl>
    <w:p/>
    <w:p>
      <w:pPr>
        <w:spacing w:before="200" w:after="80"/>
      </w:pPr>
      <w:r>
        <w:rPr>
          <w:b/>
          <w:color w:val="007AA5"/>
          <w:sz w:val="24"/>
        </w:rPr>
        <w:t>1.3  Logging In</w:t>
      </w:r>
    </w:p>
    <w:p>
      <w:pPr>
        <w:spacing w:after="80"/>
      </w:pPr>
      <w:r>
        <w:t>Open the application in your browser. You will see a login screen.</w:t>
      </w:r>
    </w:p>
    <w:p>
      <w:pPr>
        <w:pStyle w:val="ListNumber"/>
      </w:pPr>
      <w:r>
        <w:rPr>
          <w:b/>
          <w:color w:val="004C6E"/>
        </w:rPr>
        <w:t xml:space="preserve">Step 1: </w:t>
      </w:r>
      <w:r>
        <w:rPr>
          <w:i w:val="0"/>
        </w:rPr>
        <w:t>Enter your username and password.</w:t>
      </w:r>
    </w:p>
    <w:p>
      <w:pPr>
        <w:pStyle w:val="ListNumber"/>
      </w:pPr>
      <w:r>
        <w:rPr>
          <w:b/>
          <w:color w:val="004C6E"/>
        </w:rPr>
        <w:t xml:space="preserve">Step 2: </w:t>
      </w:r>
      <w:r>
        <w:rPr>
          <w:i w:val="0"/>
        </w:rPr>
        <w:t>Click Sign In.</w:t>
      </w:r>
    </w:p>
    <w:p>
      <w:pPr>
        <w:spacing w:before="0" w:after="120"/>
        <w:ind w:left="850"/>
      </w:pPr>
      <w:r>
        <w:rPr>
          <w:i/>
          <w:color w:val="007AA5"/>
        </w:rPr>
        <w:t xml:space="preserve">You will see: </w:t>
      </w:r>
      <w:r>
        <w:rPr>
          <w:i w:val="0"/>
        </w:rPr>
        <w:t>The main navigation loads. The top bar shows your username and role.</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login screen showing the Aegis Labs logo, username and password fields, and Sign In button.</w:t>
            </w:r>
          </w:p>
        </w:tc>
      </w:tr>
    </w:tbl>
    <w:p/>
    <w:p>
      <w:r>
        <w:br w:type="page"/>
      </w:r>
    </w:p>
    <w:p>
      <w:pPr>
        <w:pStyle w:val="Heading1"/>
      </w:pPr>
      <w:r>
        <w:rPr>
          <w:color w:val="004C6E"/>
        </w:rPr>
        <w:t>2.  Workflow ① — Data Sourcing</w:t>
      </w:r>
    </w:p>
    <w:p>
      <w:pPr>
        <w:spacing w:after="80"/>
      </w:pPr>
      <w:r>
        <w:t>Data Sourcing is the entry point. You connect a logical database, ingest its schema and metadata, and receive an AI-generated plain-English summary of the data landscape. Once you select which tables to analyse, the database is available to subsequent workflows.</w:t>
      </w:r>
    </w:p>
    <w:p>
      <w:pPr>
        <w:spacing w:before="200" w:after="80"/>
      </w:pPr>
      <w:r>
        <w:rPr>
          <w:b/>
          <w:color w:val="007AA5"/>
          <w:sz w:val="24"/>
        </w:rPr>
        <w:t>2.1  Step-by-Step</w:t>
      </w:r>
    </w:p>
    <w:p>
      <w:pPr>
        <w:pStyle w:val="ListNumber"/>
      </w:pPr>
      <w:r>
        <w:rPr>
          <w:b/>
          <w:color w:val="004C6E"/>
        </w:rPr>
        <w:t xml:space="preserve">Step 1: </w:t>
      </w:r>
      <w:r>
        <w:rPr>
          <w:i w:val="0"/>
        </w:rPr>
        <w:t>Navigate to Data Sourcing from the left-hand menu.</w:t>
      </w:r>
    </w:p>
    <w:p>
      <w:pPr>
        <w:spacing w:before="0" w:after="120"/>
        <w:ind w:left="850"/>
      </w:pPr>
      <w:r>
        <w:rPr>
          <w:i/>
          <w:color w:val="007AA5"/>
        </w:rPr>
        <w:t xml:space="preserve">You will see: </w:t>
      </w:r>
      <w:r>
        <w:rPr>
          <w:i w:val="0"/>
        </w:rPr>
        <w:t>A catalogue of available databases is displayed. Each entry shows a database name, domain, and status (Not Ingested / Ingested).</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Data Sourcing catalogue page showing database cards with name, domain, and ingestion status badges.</w:t>
            </w:r>
          </w:p>
        </w:tc>
      </w:tr>
    </w:tbl>
    <w:p/>
    <w:p>
      <w:pPr>
        <w:pStyle w:val="ListNumber"/>
      </w:pPr>
      <w:r>
        <w:rPr>
          <w:b/>
          <w:color w:val="004C6E"/>
        </w:rPr>
        <w:t xml:space="preserve">Step 2: </w:t>
      </w:r>
      <w:r>
        <w:rPr>
          <w:i w:val="0"/>
        </w:rPr>
        <w:t>Click on a database card marked 'Not Ingested' to select it.</w:t>
      </w:r>
    </w:p>
    <w:p>
      <w:pPr>
        <w:spacing w:before="0" w:after="120"/>
        <w:ind w:left="850"/>
      </w:pPr>
      <w:r>
        <w:rPr>
          <w:i/>
          <w:color w:val="007AA5"/>
        </w:rPr>
        <w:t xml:space="preserve">You will see: </w:t>
      </w:r>
      <w:r>
        <w:rPr>
          <w:i w:val="0"/>
        </w:rPr>
        <w:t>A details panel opens on the right showing the database description, available tables, and an Ingest button.</w:t>
      </w:r>
    </w:p>
    <w:p>
      <w:pPr>
        <w:pStyle w:val="ListNumber"/>
      </w:pPr>
      <w:r>
        <w:rPr>
          <w:b/>
          <w:color w:val="004C6E"/>
        </w:rPr>
        <w:t xml:space="preserve">Step 3: </w:t>
      </w:r>
      <w:r>
        <w:rPr>
          <w:i w:val="0"/>
        </w:rPr>
        <w:t>Click Ingest.</w:t>
      </w:r>
    </w:p>
    <w:p>
      <w:pPr>
        <w:spacing w:before="0" w:after="120"/>
        <w:ind w:left="850"/>
      </w:pPr>
      <w:r>
        <w:rPr>
          <w:i/>
          <w:color w:val="007AA5"/>
        </w:rPr>
        <w:t xml:space="preserve">You will see: </w:t>
      </w:r>
      <w:r>
        <w:rPr>
          <w:i w:val="0"/>
        </w:rPr>
        <w:t>The system fetches the schema and metadata. A progress indicator appears. This takes a few seconds.</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Data Sourcing page mid-ingestion: progress spinner visible, status message reading 'Fetching schema and metadata…'</w:t>
            </w:r>
          </w:p>
        </w:tc>
      </w:tr>
    </w:tbl>
    <w:p/>
    <w:p>
      <w:pPr>
        <w:pStyle w:val="ListNumber"/>
      </w:pPr>
      <w:r>
        <w:rPr>
          <w:b/>
          <w:color w:val="004C6E"/>
        </w:rPr>
        <w:t xml:space="preserve">Step 4: </w:t>
      </w:r>
      <w:r>
        <w:rPr>
          <w:i w:val="0"/>
        </w:rPr>
        <w:t>Wait for the Agent Console to open and stream the Newton agent's database summary.</w:t>
      </w:r>
    </w:p>
    <w:p>
      <w:pPr>
        <w:spacing w:before="0" w:after="120"/>
        <w:ind w:left="850"/>
      </w:pPr>
      <w:r>
        <w:rPr>
          <w:i/>
          <w:color w:val="007AA5"/>
        </w:rPr>
        <w:t xml:space="preserve">You will see: </w:t>
      </w:r>
      <w:r>
        <w:rPr>
          <w:i w:val="0"/>
        </w:rPr>
        <w:t>The Agent Console panel appears. Newton writes two paragraphs: a statistical overview and a data-quality profiling summary. You can read along in real time.</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Agent Console showing Newton's completed output — two paragraphs of plain-English database understanding text visible in the dark panel.</w:t>
            </w:r>
          </w:p>
        </w:tc>
      </w:tr>
    </w:tbl>
    <w:p/>
    <w:p>
      <w:pPr>
        <w:pStyle w:val="ListNumber"/>
      </w:pPr>
      <w:r>
        <w:rPr>
          <w:b/>
          <w:color w:val="004C6E"/>
        </w:rPr>
        <w:t xml:space="preserve">Step 5: </w:t>
      </w:r>
      <w:r>
        <w:rPr>
          <w:i w:val="0"/>
        </w:rPr>
        <w:t>Review Newton's summary. When the Agent Console closes, you will see the summary displayed on the page along with a table list.</w:t>
      </w:r>
    </w:p>
    <w:p>
      <w:pPr>
        <w:spacing w:before="0" w:after="120"/>
        <w:ind w:left="850"/>
      </w:pPr>
      <w:r>
        <w:rPr>
          <w:i/>
          <w:color w:val="007AA5"/>
        </w:rPr>
        <w:t xml:space="preserve">You will see: </w:t>
      </w:r>
      <w:r>
        <w:rPr>
          <w:i w:val="0"/>
        </w:rPr>
        <w:t>Each table is shown with its row count, column count, and a brief description.</w:t>
      </w:r>
    </w:p>
    <w:p>
      <w:pPr>
        <w:pStyle w:val="ListNumber"/>
      </w:pPr>
      <w:r>
        <w:rPr>
          <w:b/>
          <w:color w:val="004C6E"/>
        </w:rPr>
        <w:t xml:space="preserve">Step 6: </w:t>
      </w:r>
      <w:r>
        <w:rPr>
          <w:i w:val="0"/>
        </w:rPr>
        <w:t>Select the tables you want to include in your analysis by ticking their checkboxes, then click Confirm Table Selection.</w:t>
      </w:r>
    </w:p>
    <w:p>
      <w:pPr>
        <w:spacing w:before="0" w:after="120"/>
        <w:ind w:left="850"/>
      </w:pPr>
      <w:r>
        <w:rPr>
          <w:i/>
          <w:color w:val="007AA5"/>
        </w:rPr>
        <w:t xml:space="preserve">You will see: </w:t>
      </w:r>
      <w:r>
        <w:rPr>
          <w:i w:val="0"/>
        </w:rPr>
        <w:t>The database status changes to Ingested. The selected tables are now available for test planning.</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table-selection panel with checkboxes next to each table name and a 'Confirm Selection' button.</w:t>
            </w:r>
          </w:p>
        </w:tc>
      </w:tr>
    </w:tbl>
    <w:p/>
    <w:p>
      <w:pPr>
        <w:spacing w:before="200" w:after="80"/>
      </w:pPr>
      <w:r>
        <w:rPr>
          <w:b/>
          <w:color w:val="007AA5"/>
          <w:sz w:val="24"/>
        </w:rPr>
        <w:t>2.2  Agents in This Workflow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Agent</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Role</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Inputs</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Outputs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Newton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Reads the profiled schema and writes a plain-English understanding of the database — its domain, structure, data-quality risks, and analytical purpose.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Per-column statistics, null rates, cardinality, anomaly flags, row counts, and cross-table join candidates produced by the deterministic profiler (Phase 1).</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Two structured paragraphs: (1) Statistical overview — domain, tables, record counts, grain. (2) Profiling summary — completeness, distributions, relationships, top DQ risk. Also returns open questions and assumptions.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Merton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Senior credit-risk subject-matter expert. Assesses the potential usages of the database across analytics, modelling, and regulatory reporting.</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Table schemas, column descriptions, and the Newton summary.</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One plain-English paragraph describing the database's potential usages through the lens of credit-risk analytics, modelling, and reporting.</w:t>
            </w:r>
          </w:p>
        </w:tc>
      </w:tr>
    </w:tbl>
    <w:p/>
    <w:tbl>
      <w:tblPr>
        <w:tblW w:type="auto" w:w="0"/>
        <w:jc w:val="left"/>
        <w:tblLook w:firstColumn="1" w:firstRow="1" w:lastColumn="0" w:lastRow="0" w:noHBand="0" w:noVBand="1" w:val="04A0"/>
      </w:tblPr>
      <w:tblGrid>
        <w:gridCol w:w="9406"/>
      </w:tblGrid>
      <w:tr>
        <w:tc>
          <w:tcPr>
            <w:tcW w:type="dxa" w:w="9406"/>
            <w:shd w:val="clear" w:color="auto" w:fill="E0F3FA"/>
            <w:tcBorders>
              <w:top w:val="single" w:sz="6" w:space="0" w:color="007AA5"/>
              <w:left w:val="single" w:sz="6" w:space="0" w:color="007AA5"/>
              <w:bottom w:val="single" w:sz="6" w:space="0" w:color="007AA5"/>
              <w:right w:val="single" w:sz="6" w:space="0" w:color="007AA5"/>
            </w:tcBorders>
          </w:tcPr>
          <w:p>
            <w:r>
              <w:rPr>
                <w:b/>
                <w:color w:val="004C6E"/>
              </w:rPr>
              <w:t xml:space="preserve">NOTE  </w:t>
            </w:r>
            <w:r>
              <w:rPr>
                <w:i w:val="0"/>
                <w:sz w:val="20"/>
              </w:rPr>
              <w:t>Newton's output is deterministic — regenerating the summary on the same data will produce identical text. This is by design, not a bug.</w:t>
            </w:r>
          </w:p>
        </w:tc>
      </w:tr>
    </w:tbl>
    <w:p/>
    <w:p>
      <w:r>
        <w:br w:type="page"/>
      </w:r>
    </w:p>
    <w:p>
      <w:pPr>
        <w:pStyle w:val="Heading1"/>
      </w:pPr>
      <w:r>
        <w:rPr>
          <w:color w:val="004C6E"/>
        </w:rPr>
        <w:t>3.  Workflow ② — Define Test Plan</w:t>
      </w:r>
    </w:p>
    <w:p>
      <w:pPr>
        <w:spacing w:after="80"/>
      </w:pPr>
      <w:r>
        <w:t>The Define Test Plan workflow lets you build a governed set of data-quality tests for a selected table and column. There are two paths: (a) pick from the existing test battery, or (b) ask the AI to recommend or author new tests. Both paths converge at a Finalise gate before execution.</w:t>
      </w:r>
    </w:p>
    <w:p>
      <w:pPr>
        <w:spacing w:before="200" w:after="80"/>
      </w:pPr>
      <w:r>
        <w:rPr>
          <w:b/>
          <w:color w:val="007AA5"/>
          <w:sz w:val="24"/>
        </w:rPr>
        <w:t>3.1  Path A — Existing Test Battery (Hypatia Search)</w:t>
      </w:r>
    </w:p>
    <w:p>
      <w:pPr>
        <w:pStyle w:val="ListNumber"/>
      </w:pPr>
      <w:r>
        <w:rPr>
          <w:b/>
          <w:color w:val="004C6E"/>
        </w:rPr>
        <w:t xml:space="preserve">Step 1: </w:t>
      </w:r>
      <w:r>
        <w:rPr>
          <w:i w:val="0"/>
        </w:rPr>
        <w:t>Navigate to Define Test Plan and select your ingested database and table.</w:t>
      </w:r>
    </w:p>
    <w:p>
      <w:pPr>
        <w:spacing w:before="0" w:after="120"/>
        <w:ind w:left="850"/>
      </w:pPr>
      <w:r>
        <w:rPr>
          <w:i/>
          <w:color w:val="007AA5"/>
        </w:rPr>
        <w:t xml:space="preserve">You will see: </w:t>
      </w:r>
      <w:r>
        <w:rPr>
          <w:i w:val="0"/>
        </w:rPr>
        <w:t>The table's columns are listed. A search bar and filter panel appear on the left.</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Define Test Plan page showing an ingested database selected, column list visible, and the 'Search Tests' panel open.</w:t>
            </w:r>
          </w:p>
        </w:tc>
      </w:tr>
    </w:tbl>
    <w:p/>
    <w:p>
      <w:pPr>
        <w:pStyle w:val="ListNumber"/>
      </w:pPr>
      <w:r>
        <w:rPr>
          <w:b/>
          <w:color w:val="004C6E"/>
        </w:rPr>
        <w:t xml:space="preserve">Step 2: </w:t>
      </w:r>
      <w:r>
        <w:rPr>
          <w:i w:val="0"/>
        </w:rPr>
        <w:t>Select a column, then click Search Tests.</w:t>
      </w:r>
    </w:p>
    <w:p>
      <w:pPr>
        <w:spacing w:before="0" w:after="120"/>
        <w:ind w:left="850"/>
      </w:pPr>
      <w:r>
        <w:rPr>
          <w:i/>
          <w:color w:val="007AA5"/>
        </w:rPr>
        <w:t xml:space="preserve">You will see: </w:t>
      </w:r>
      <w:r>
        <w:rPr>
          <w:i w:val="0"/>
        </w:rPr>
        <w:t>Hypatia deterministically matches the column's datatype and metadata against the test library and returns a list of applicable tests — no AI call is made.</w:t>
      </w:r>
    </w:p>
    <w:p>
      <w:pPr>
        <w:pStyle w:val="ListNumber"/>
      </w:pPr>
      <w:r>
        <w:rPr>
          <w:b/>
          <w:color w:val="004C6E"/>
        </w:rPr>
        <w:t xml:space="preserve">Step 3: </w:t>
      </w:r>
      <w:r>
        <w:rPr>
          <w:i w:val="0"/>
        </w:rPr>
        <w:t>Review the recommended tests. Click a test name to see its description, category, and default threshold.</w:t>
      </w:r>
    </w:p>
    <w:p>
      <w:pPr>
        <w:spacing w:before="0" w:after="120"/>
        <w:ind w:left="850"/>
      </w:pPr>
      <w:r>
        <w:rPr>
          <w:i/>
          <w:color w:val="007AA5"/>
        </w:rPr>
        <w:t xml:space="preserve">You will see: </w:t>
      </w:r>
      <w:r>
        <w:rPr>
          <w:i w:val="0"/>
        </w:rPr>
        <w:t>A side panel shows the test details: name, category (C1–C4), default threshold, and a plain-English description.</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Test details side panel showing test name, category badge (e.g. C1), threshold value, and description text.</w:t>
            </w:r>
          </w:p>
        </w:tc>
      </w:tr>
    </w:tbl>
    <w:p/>
    <w:p>
      <w:pPr>
        <w:pStyle w:val="ListNumber"/>
      </w:pPr>
      <w:r>
        <w:rPr>
          <w:b/>
          <w:color w:val="004C6E"/>
        </w:rPr>
        <w:t xml:space="preserve">Step 4: </w:t>
      </w:r>
      <w:r>
        <w:rPr>
          <w:i w:val="0"/>
        </w:rPr>
        <w:t>Click Add to Plan for each test you want to include.</w:t>
      </w:r>
    </w:p>
    <w:p>
      <w:pPr>
        <w:spacing w:before="0" w:after="120"/>
        <w:ind w:left="850"/>
      </w:pPr>
      <w:r>
        <w:rPr>
          <w:i/>
          <w:color w:val="007AA5"/>
        </w:rPr>
        <w:t xml:space="preserve">You will see: </w:t>
      </w:r>
      <w:r>
        <w:rPr>
          <w:i w:val="0"/>
        </w:rPr>
        <w:t>The test appears in the plan summary on the right with editable threshold and criticality fields.</w:t>
      </w:r>
    </w:p>
    <w:p>
      <w:pPr>
        <w:pStyle w:val="ListNumber"/>
      </w:pPr>
      <w:r>
        <w:rPr>
          <w:b/>
          <w:color w:val="004C6E"/>
        </w:rPr>
        <w:t xml:space="preserve">Step 5: </w:t>
      </w:r>
      <w:r>
        <w:rPr>
          <w:i w:val="0"/>
        </w:rPr>
        <w:t>Adjust the threshold and criticality if needed, then click Save.</w:t>
      </w:r>
    </w:p>
    <w:p>
      <w:pPr>
        <w:spacing w:before="0" w:after="120"/>
        <w:ind w:left="850"/>
      </w:pPr>
      <w:r>
        <w:rPr>
          <w:i/>
          <w:color w:val="007AA5"/>
        </w:rPr>
        <w:t xml:space="preserve">You will see: </w:t>
      </w:r>
      <w:r>
        <w:rPr>
          <w:i w:val="0"/>
        </w:rPr>
        <w:t>The test is saved to the plan with status 'Under Review'.</w:t>
      </w:r>
    </w:p>
    <w:p>
      <w:pPr>
        <w:spacing w:before="200" w:after="80"/>
      </w:pPr>
      <w:r>
        <w:rPr>
          <w:b/>
          <w:color w:val="007AA5"/>
          <w:sz w:val="24"/>
        </w:rPr>
        <w:t>3.2  Path B — AI-Suggested Tests (Deep Search + Gauss Authoring)</w:t>
      </w:r>
    </w:p>
    <w:p>
      <w:pPr>
        <w:pStyle w:val="ListNumber"/>
      </w:pPr>
      <w:r>
        <w:rPr>
          <w:b/>
          <w:color w:val="004C6E"/>
        </w:rPr>
        <w:t xml:space="preserve">Step 1: </w:t>
      </w:r>
      <w:r>
        <w:rPr>
          <w:i w:val="0"/>
        </w:rPr>
        <w:t>Select a column and click Deep Search (instead of Search Tests).</w:t>
      </w:r>
    </w:p>
    <w:p>
      <w:pPr>
        <w:spacing w:before="0" w:after="120"/>
        <w:ind w:left="850"/>
      </w:pPr>
      <w:r>
        <w:rPr>
          <w:i/>
          <w:color w:val="007AA5"/>
        </w:rPr>
        <w:t xml:space="preserve">You will see: </w:t>
      </w:r>
      <w:r>
        <w:rPr>
          <w:i w:val="0"/>
        </w:rPr>
        <w:t>The Agent Console opens. Hypatia re-evaluates the library using the AI model to find medium- and low-confidence matches beyond the deterministic results.</w:t>
      </w:r>
    </w:p>
    <w:p>
      <w:pPr>
        <w:pStyle w:val="ListNumber"/>
      </w:pPr>
      <w:r>
        <w:rPr>
          <w:b/>
          <w:color w:val="004C6E"/>
        </w:rPr>
        <w:t xml:space="preserve">Step 2: </w:t>
      </w:r>
      <w:r>
        <w:rPr>
          <w:i w:val="0"/>
        </w:rPr>
        <w:t>To request a brand-new test authored by AI, click New Test (Gauss). Enter a description of what you want to test and click Generate.</w:t>
      </w:r>
    </w:p>
    <w:p>
      <w:pPr>
        <w:spacing w:before="0" w:after="120"/>
        <w:ind w:left="850"/>
      </w:pPr>
      <w:r>
        <w:rPr>
          <w:i/>
          <w:color w:val="007AA5"/>
        </w:rPr>
        <w:t xml:space="preserve">You will see: </w:t>
      </w:r>
      <w:r>
        <w:rPr>
          <w:i w:val="0"/>
        </w:rPr>
        <w:t>The Agent Console streams the full Gauss pipeline: Poincaré → Fermat → Euler → Hypatia → Gauss. This takes 30–90 seconds.</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Agent Console showing the Gauss pipeline in progress: step frames marking Poincaré, Fermat, Euler, Hypatia, and Gauss transitions visible.</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6" w:space="0" w:color="C8A200"/>
              <w:left w:val="single" w:sz="6" w:space="0" w:color="C8A200"/>
              <w:bottom w:val="single" w:sz="6" w:space="0" w:color="C8A200"/>
              <w:right w:val="single" w:sz="6" w:space="0" w:color="C8A200"/>
            </w:tcBorders>
          </w:tcPr>
          <w:p>
            <w:r>
              <w:rPr>
                <w:b/>
                <w:color w:val="7A5600"/>
              </w:rPr>
              <w:t xml:space="preserve">HUMAN DECISION REQUIRED  </w:t>
            </w:r>
            <w:r>
              <w:rPr>
                <w:i w:val="0"/>
                <w:sz w:val="20"/>
              </w:rPr>
              <w:t>When Gauss finishes, you are shown the proposed test: its name, Python code, thresholds, rationale, and a dry-run result against real data. You must review and either Approve or Reject the proposed test before it can be added to the plan. If you reject it, you may provide feedback and request a revision.</w:t>
            </w:r>
          </w:p>
        </w:tc>
      </w:tr>
    </w:tbl>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HITL review panel for a Gauss-authored test: test name, rationale text, dry-run result (pass/fail badge), and Approve / Reject buttons visible.</w:t>
            </w:r>
          </w:p>
        </w:tc>
      </w:tr>
    </w:tbl>
    <w:p/>
    <w:p>
      <w:pPr>
        <w:pStyle w:val="ListNumber"/>
      </w:pPr>
      <w:r>
        <w:rPr>
          <w:b/>
          <w:color w:val="004C6E"/>
        </w:rPr>
        <w:t xml:space="preserve">Step 3: </w:t>
      </w:r>
      <w:r>
        <w:rPr>
          <w:i w:val="0"/>
        </w:rPr>
        <w:t>After approving a test, click Add to Plan.</w:t>
      </w:r>
    </w:p>
    <w:p>
      <w:pPr>
        <w:spacing w:before="0" w:after="120"/>
        <w:ind w:left="850"/>
      </w:pPr>
      <w:r>
        <w:rPr>
          <w:i/>
          <w:color w:val="007AA5"/>
        </w:rPr>
        <w:t xml:space="preserve">You will see: </w:t>
      </w:r>
      <w:r>
        <w:rPr>
          <w:i w:val="0"/>
        </w:rPr>
        <w:t>The test appears in the plan summary, same as Path A.</w:t>
      </w:r>
    </w:p>
    <w:p>
      <w:pPr>
        <w:spacing w:before="200" w:after="80"/>
      </w:pPr>
      <w:r>
        <w:rPr>
          <w:b/>
          <w:color w:val="007AA5"/>
          <w:sz w:val="24"/>
        </w:rPr>
        <w:t>3.3  Finalising the Plan (HITL Gate)</w:t>
      </w:r>
    </w:p>
    <w:p>
      <w:pPr>
        <w:spacing w:after="80"/>
      </w:pPr>
      <w:r>
        <w:t>Before the plan can be executed, it must be finalised. This is a governance gate — it locks the plan and prevents unauthorised changes.</w:t>
      </w:r>
    </w:p>
    <w:p>
      <w:pPr>
        <w:pStyle w:val="ListNumber"/>
      </w:pPr>
      <w:r>
        <w:rPr>
          <w:b/>
          <w:color w:val="004C6E"/>
        </w:rPr>
        <w:t xml:space="preserve">Step 1: </w:t>
      </w:r>
      <w:r>
        <w:rPr>
          <w:i w:val="0"/>
        </w:rPr>
        <w:t>Review all tests in the plan summary. Confirm thresholds and criticalities are correct.</w:t>
      </w:r>
    </w:p>
    <w:p>
      <w:pPr>
        <w:pStyle w:val="ListNumber"/>
      </w:pPr>
      <w:r>
        <w:rPr>
          <w:b/>
          <w:color w:val="004C6E"/>
        </w:rPr>
        <w:t xml:space="preserve">Step 2: </w:t>
      </w:r>
      <w:r>
        <w:rPr>
          <w:i w:val="0"/>
        </w:rPr>
        <w:t>Click Finalise Plan.</w:t>
      </w:r>
    </w:p>
    <w:p>
      <w:pPr>
        <w:spacing w:before="0" w:after="120"/>
        <w:ind w:left="850"/>
      </w:pPr>
      <w:r>
        <w:rPr>
          <w:i/>
          <w:color w:val="007AA5"/>
        </w:rPr>
        <w:t xml:space="preserve">You will see: </w:t>
      </w:r>
      <w:r>
        <w:rPr>
          <w:i w:val="0"/>
        </w:rPr>
        <w:t>Pascal (the criticality-ranking agent) runs and assigns High / Medium / Low criticality to each test instance. The plan status changes from Under Review to Finalised.</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6" w:space="0" w:color="C8A200"/>
              <w:left w:val="single" w:sz="6" w:space="0" w:color="C8A200"/>
              <w:bottom w:val="single" w:sz="6" w:space="0" w:color="C8A200"/>
              <w:right w:val="single" w:sz="6" w:space="0" w:color="C8A200"/>
            </w:tcBorders>
          </w:tcPr>
          <w:p>
            <w:r>
              <w:rPr>
                <w:b/>
                <w:color w:val="7A5600"/>
              </w:rPr>
              <w:t xml:space="preserve">HUMAN DECISION REQUIRED  </w:t>
            </w:r>
            <w:r>
              <w:rPr>
                <w:i w:val="0"/>
                <w:sz w:val="20"/>
              </w:rPr>
              <w:t>Finalising is irreversible within a session. A finalised plan cannot be edited — only executed. If you need to change a test after finalising, you must reset the plan for that table and start again.</w:t>
            </w:r>
          </w:p>
        </w:tc>
      </w:tr>
    </w:tbl>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plan summary in Finalised state: each test row showing its criticality badge (High/Medium/Low) and a locked padlock icon. The 'Run Validations' button is now active.</w:t>
            </w:r>
          </w:p>
        </w:tc>
      </w:tr>
    </w:tbl>
    <w:p/>
    <w:p>
      <w:pPr>
        <w:spacing w:before="200" w:after="80"/>
      </w:pPr>
      <w:r>
        <w:rPr>
          <w:b/>
          <w:color w:val="007AA5"/>
          <w:sz w:val="24"/>
        </w:rPr>
        <w:t>3.4  Agents in This Workflow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Agent</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Role</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Inputs</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Outputs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Hypatia</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Test library screening. Matches the selected column and datatype against the test battery and returns ranked recommendations.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Column metadata (datatype, nullable, description), test library catalogue, selected mode (Search or Deep Search).</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ranked list of recommended tests with confidence (high/medium/low) and a plain-English reason for each recommendation.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Poincaré</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Relationship Discovery. Proposes candidate statistical relationships within the selected table to inform test authoring.</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Column schema, data dictionary, table statistics fetched via schema-stats tool.</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list of candidate column-level relationships with confidence scores.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Fermat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Relationship Challenger (within-table). Scrutinises each Poincaré candidate using within-table evidence and domain logic.</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Poincaré's candidate list, column metadata, data dictionary.</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verdict (accept / reject / revise) with a challenge explanation for each candidate.</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Euler</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Global Consistency Checker (cross-table). Challenges candidates for consistency across tables and the broader domain model.</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Poincaré's candidates, cross-table context, Fermat's perspective.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verdict (accept / reject) with a reason for each candidate.</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Gauss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New Test Manager (Orchestrator). Synthesises all prior signals and authors a single, executable DQ test as a self-contained Python function.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Accepted relationship candidates from Fermat/Euler, Hypatia's library recommendations, table schema, selected fields, date column, thresholds.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complete test artifact: name, Python code, thresholds, rationale, usability notes, and interpretation guidance.</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Pascal</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Criticality Ranker. Orders all test instances in the finalised plan by business criticality using regulatory, model-risk, and downstream-impact signals.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Full set of test instances with their definitions, targets, scope, and context.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An ordered ranking list. Deterministic code then converts the ranking to High / Medium / Low categories.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Bayes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Test Feedback Adjudicator (HITL shuttle). When you provide feedback on a Gauss-authored test, Bayes evaluates the feedback and either accommodates it or pushes back with a constructive alternative.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The current test design (code, params, dossier) plus the human feedback note.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verdict (accommodate / push back), message, reasoning, and proposed changes.</w:t>
            </w:r>
          </w:p>
        </w:tc>
      </w:tr>
    </w:tbl>
    <w:p/>
    <w:p>
      <w:r>
        <w:br w:type="page"/>
      </w:r>
    </w:p>
    <w:p>
      <w:pPr>
        <w:pStyle w:val="Heading1"/>
      </w:pPr>
      <w:r>
        <w:rPr>
          <w:color w:val="004C6E"/>
        </w:rPr>
        <w:t>4.  Workflow ③ — Run Validations</w:t>
      </w:r>
    </w:p>
    <w:p>
      <w:pPr>
        <w:spacing w:after="80"/>
      </w:pPr>
      <w:r>
        <w:t>Run Validations executes the finalised test plan against the live data. Each test is run in a secure sandbox. Results are recorded as pass or fail, with a numeric metric and threshold. A data-health score is then computed for the table.</w:t>
      </w:r>
    </w:p>
    <w:p>
      <w:pPr>
        <w:spacing w:before="200" w:after="80"/>
      </w:pPr>
      <w:r>
        <w:rPr>
          <w:b/>
          <w:color w:val="007AA5"/>
          <w:sz w:val="24"/>
        </w:rPr>
        <w:t>4.1  Step-by-Step</w:t>
      </w:r>
    </w:p>
    <w:p>
      <w:pPr>
        <w:pStyle w:val="ListNumber"/>
      </w:pPr>
      <w:r>
        <w:rPr>
          <w:b/>
          <w:color w:val="004C6E"/>
        </w:rPr>
        <w:t xml:space="preserve">Step 1: </w:t>
      </w:r>
      <w:r>
        <w:rPr>
          <w:i w:val="0"/>
        </w:rPr>
        <w:t>From the Define Test Plan page (or the navigation menu), click Run Validations.</w:t>
      </w:r>
    </w:p>
    <w:p>
      <w:pPr>
        <w:spacing w:before="0" w:after="120"/>
        <w:ind w:left="850"/>
      </w:pPr>
      <w:r>
        <w:rPr>
          <w:i/>
          <w:color w:val="007AA5"/>
        </w:rPr>
        <w:t xml:space="preserve">You will see: </w:t>
      </w:r>
      <w:r>
        <w:rPr>
          <w:i w:val="0"/>
        </w:rPr>
        <w:t>The page shows a list of test instances for the selected table, each with its column, test name, threshold, and criticality.</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Run Validations page before execution: test instance rows listed with column name, test name, threshold, and criticality badge. The 'Run All' button is visible.</w:t>
            </w:r>
          </w:p>
        </w:tc>
      </w:tr>
    </w:tbl>
    <w:p/>
    <w:p>
      <w:pPr>
        <w:pStyle w:val="ListNumber"/>
      </w:pPr>
      <w:r>
        <w:rPr>
          <w:b/>
          <w:color w:val="004C6E"/>
        </w:rPr>
        <w:t xml:space="preserve">Step 2: </w:t>
      </w:r>
      <w:r>
        <w:rPr>
          <w:i w:val="0"/>
        </w:rPr>
        <w:t>Click Run All to execute all test instances.</w:t>
      </w:r>
    </w:p>
    <w:p>
      <w:pPr>
        <w:spacing w:before="0" w:after="120"/>
        <w:ind w:left="850"/>
      </w:pPr>
      <w:r>
        <w:rPr>
          <w:i/>
          <w:color w:val="007AA5"/>
        </w:rPr>
        <w:t xml:space="preserve">You will see: </w:t>
      </w:r>
      <w:r>
        <w:rPr>
          <w:i w:val="0"/>
        </w:rPr>
        <w:t>The Agent Console opens and streams live progress. Each test transitions through Running → Pass or Fail. A progress bar shows overall completion.</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Run Validations page mid-run: Agent Console streaming output, individual test rows showing spinning indicators and then pass/fail badges.</w:t>
            </w:r>
          </w:p>
        </w:tc>
      </w:tr>
    </w:tbl>
    <w:p/>
    <w:p>
      <w:pPr>
        <w:pStyle w:val="ListNumber"/>
      </w:pPr>
      <w:r>
        <w:rPr>
          <w:b/>
          <w:color w:val="004C6E"/>
        </w:rPr>
        <w:t xml:space="preserve">Step 3: </w:t>
      </w:r>
      <w:r>
        <w:rPr>
          <w:i w:val="0"/>
        </w:rPr>
        <w:t>Wait for all tests to complete.</w:t>
      </w:r>
    </w:p>
    <w:p>
      <w:pPr>
        <w:spacing w:before="0" w:after="120"/>
        <w:ind w:left="850"/>
      </w:pPr>
      <w:r>
        <w:rPr>
          <w:i/>
          <w:color w:val="007AA5"/>
        </w:rPr>
        <w:t xml:space="preserve">You will see: </w:t>
      </w:r>
      <w:r>
        <w:rPr>
          <w:i w:val="0"/>
        </w:rPr>
        <w:t>The Agent Console closes. Each row now shows a Pass (green) or Fail (red) badge, the measured metric, and the threshold it was compared against.</w:t>
      </w:r>
    </w:p>
    <w:p>
      <w:pPr>
        <w:pStyle w:val="ListNumber"/>
      </w:pPr>
      <w:r>
        <w:rPr>
          <w:b/>
          <w:color w:val="004C6E"/>
        </w:rPr>
        <w:t xml:space="preserve">Step 4: </w:t>
      </w:r>
      <w:r>
        <w:rPr>
          <w:i w:val="0"/>
        </w:rPr>
        <w:t>Review the results. The Data Health Score for the table is displayed at the top.</w:t>
      </w:r>
    </w:p>
    <w:p>
      <w:pPr>
        <w:spacing w:before="0" w:after="120"/>
        <w:ind w:left="850"/>
      </w:pPr>
      <w:r>
        <w:rPr>
          <w:i/>
          <w:color w:val="007AA5"/>
        </w:rPr>
        <w:t xml:space="preserve">You will see: </w:t>
      </w:r>
      <w:r>
        <w:rPr>
          <w:i w:val="0"/>
        </w:rPr>
        <w:t>The health score is a 0–100 number: 100 = all tests passed at full criticality weight. Per-category scores (C1–C4) are also shown.</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Run Validations results view: health score gauge at the top, per-category score bars, and the test results table with pass/fail badges and metric values.</w:t>
            </w:r>
          </w:p>
        </w:tc>
      </w:tr>
    </w:tbl>
    <w:p/>
    <w:p>
      <w:pPr>
        <w:pStyle w:val="ListNumber"/>
      </w:pPr>
      <w:r>
        <w:rPr>
          <w:b/>
          <w:color w:val="004C6E"/>
        </w:rPr>
        <w:t xml:space="preserve">Step 5: </w:t>
      </w:r>
      <w:r>
        <w:rPr>
          <w:i w:val="0"/>
        </w:rPr>
        <w:t>If any tests failed, click Investigate on a failed row to start Root Cause Analysis (Workflow ④).</w:t>
      </w:r>
    </w:p>
    <w:p>
      <w:pPr>
        <w:spacing w:before="0" w:after="120"/>
        <w:ind w:left="850"/>
      </w:pPr>
      <w:r>
        <w:rPr>
          <w:i/>
          <w:color w:val="007AA5"/>
        </w:rPr>
        <w:t xml:space="preserve">You will see: </w:t>
      </w:r>
      <w:r>
        <w:rPr>
          <w:i w:val="0"/>
        </w:rPr>
        <w:t>You are taken to the RCA page for that specific failed test.</w:t>
      </w:r>
    </w:p>
    <w:p>
      <w:pPr>
        <w:spacing w:before="200" w:after="80"/>
      </w:pPr>
      <w:r>
        <w:rPr>
          <w:b/>
          <w:color w:val="007AA5"/>
          <w:sz w:val="24"/>
        </w:rPr>
        <w:t>4.2  Agents in This Workflow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Agent</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Role</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Inputs</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Outputs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Laplace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Health Score Calculator. Turns the recorded run results into a single data-health score using deterministic, criticality-weighted scoring — no AI involved.</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All run_results for the table: test instance IDs, pass/fail status, criticality weights.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final_score (0–100) and per-category breakdown (C1, C2, C3, C4).</w:t>
            </w:r>
          </w:p>
        </w:tc>
      </w:tr>
    </w:tbl>
    <w:p/>
    <w:tbl>
      <w:tblPr>
        <w:tblW w:type="auto" w:w="0"/>
        <w:jc w:val="left"/>
        <w:tblLook w:firstColumn="1" w:firstRow="1" w:lastColumn="0" w:lastRow="0" w:noHBand="0" w:noVBand="1" w:val="04A0"/>
      </w:tblPr>
      <w:tblGrid>
        <w:gridCol w:w="9406"/>
      </w:tblGrid>
      <w:tr>
        <w:tc>
          <w:tcPr>
            <w:tcW w:type="dxa" w:w="9406"/>
            <w:shd w:val="clear" w:color="auto" w:fill="E0F3FA"/>
            <w:tcBorders>
              <w:top w:val="single" w:sz="6" w:space="0" w:color="007AA5"/>
              <w:left w:val="single" w:sz="6" w:space="0" w:color="007AA5"/>
              <w:bottom w:val="single" w:sz="6" w:space="0" w:color="007AA5"/>
              <w:right w:val="single" w:sz="6" w:space="0" w:color="007AA5"/>
            </w:tcBorders>
          </w:tcPr>
          <w:p>
            <w:r>
              <w:rPr>
                <w:b/>
                <w:color w:val="004C6E"/>
              </w:rPr>
              <w:t xml:space="preserve">NOTE  </w:t>
            </w:r>
            <w:r>
              <w:rPr>
                <w:i w:val="0"/>
                <w:sz w:val="20"/>
              </w:rPr>
              <w:t>Laplace makes no AI calls. The same run results always produce the same score. The health score reflects both the number of failures and their criticality — a single High-criticality failure weighs more than several Low-criticality ones.</w:t>
            </w:r>
          </w:p>
        </w:tc>
      </w:tr>
    </w:tbl>
    <w:p/>
    <w:p>
      <w:r>
        <w:br w:type="page"/>
      </w:r>
    </w:p>
    <w:p>
      <w:pPr>
        <w:pStyle w:val="Heading1"/>
      </w:pPr>
      <w:r>
        <w:rPr>
          <w:color w:val="004C6E"/>
        </w:rPr>
        <w:t>5.  Workflow ④ — Root Cause Analysis (RCA)</w:t>
      </w:r>
    </w:p>
    <w:p>
      <w:pPr>
        <w:spacing w:after="80"/>
      </w:pPr>
      <w:r>
        <w:t>Root Cause Analysis investigates why a specific test failed. The Feynman agent proposes diagnostic code to probe the data. You review and approve that code before it runs. Feynman then declares a root cause and a remediation path. Finally, the Noether agent independently challenges the conclusion before any ticket can be raised.</w:t>
      </w:r>
    </w:p>
    <w:p>
      <w:pPr>
        <w:spacing w:before="200" w:after="80"/>
      </w:pPr>
      <w:r>
        <w:rPr>
          <w:b/>
          <w:color w:val="007AA5"/>
          <w:sz w:val="24"/>
        </w:rPr>
        <w:t>5.1  Step-by-Step</w:t>
      </w:r>
    </w:p>
    <w:p>
      <w:pPr>
        <w:pStyle w:val="ListNumber"/>
      </w:pPr>
      <w:r>
        <w:rPr>
          <w:b/>
          <w:color w:val="004C6E"/>
        </w:rPr>
        <w:t xml:space="preserve">Step 1: </w:t>
      </w:r>
      <w:r>
        <w:rPr>
          <w:i w:val="0"/>
        </w:rPr>
        <w:t>Click Investigate on a failed test (from the Run Validations results page), or navigate to RCA from the menu and select the failed test.</w:t>
      </w:r>
    </w:p>
    <w:p>
      <w:pPr>
        <w:spacing w:before="0" w:after="120"/>
        <w:ind w:left="850"/>
      </w:pPr>
      <w:r>
        <w:rPr>
          <w:i/>
          <w:color w:val="007AA5"/>
        </w:rPr>
        <w:t xml:space="preserve">You will see: </w:t>
      </w:r>
      <w:r>
        <w:rPr>
          <w:i w:val="0"/>
        </w:rPr>
        <w:t>The RCA page opens showing the failed test details: table, column, test name, expected value, and actual result.</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RCA page opening screen: failed test summary card at the top showing table name, column, test name, expected threshold, and actual metric (FAIL in red).</w:t>
            </w:r>
          </w:p>
        </w:tc>
      </w:tr>
    </w:tbl>
    <w:p/>
    <w:p>
      <w:pPr>
        <w:pStyle w:val="ListNumber"/>
      </w:pPr>
      <w:r>
        <w:rPr>
          <w:b/>
          <w:color w:val="004C6E"/>
        </w:rPr>
        <w:t xml:space="preserve">Step 2: </w:t>
      </w:r>
      <w:r>
        <w:rPr>
          <w:i w:val="0"/>
        </w:rPr>
        <w:t>Click Start RCA.</w:t>
      </w:r>
    </w:p>
    <w:p>
      <w:pPr>
        <w:spacing w:before="0" w:after="120"/>
        <w:ind w:left="850"/>
      </w:pPr>
      <w:r>
        <w:rPr>
          <w:i/>
          <w:color w:val="007AA5"/>
        </w:rPr>
        <w:t xml:space="preserve">You will see: </w:t>
      </w:r>
      <w:r>
        <w:rPr>
          <w:i w:val="0"/>
        </w:rPr>
        <w:t>The Agent Console opens. Feynman begins its analysis: it reads the schema, row statistics, and prior run results, then hypothesises the most likely cause.</w:t>
      </w:r>
    </w:p>
    <w:p>
      <w:pPr>
        <w:pStyle w:val="ListNumber"/>
      </w:pPr>
      <w:r>
        <w:rPr>
          <w:b/>
          <w:color w:val="004C6E"/>
        </w:rPr>
        <w:t xml:space="preserve">Step 3: </w:t>
      </w:r>
      <w:r>
        <w:rPr>
          <w:i w:val="0"/>
        </w:rPr>
        <w:t>Feynman will pause and present a proposed diagnostic code snippet for your review.</w:t>
      </w:r>
    </w:p>
    <w:p>
      <w:pPr>
        <w:spacing w:before="0" w:after="120"/>
        <w:ind w:left="850"/>
      </w:pPr>
      <w:r>
        <w:rPr>
          <w:i/>
          <w:color w:val="007AA5"/>
        </w:rPr>
        <w:t xml:space="preserve">You will see: </w:t>
      </w:r>
      <w:r>
        <w:rPr>
          <w:i w:val="0"/>
        </w:rPr>
        <w:t>The Agent Console highlights the proposed code. A side panel shows: the rationale (why Feynman wants to run this code), the code itself, and Approve / Reject buttons.</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6" w:space="0" w:color="C8A200"/>
              <w:left w:val="single" w:sz="6" w:space="0" w:color="C8A200"/>
              <w:bottom w:val="single" w:sz="6" w:space="0" w:color="C8A200"/>
              <w:right w:val="single" w:sz="6" w:space="0" w:color="C8A200"/>
            </w:tcBorders>
          </w:tcPr>
          <w:p>
            <w:r>
              <w:rPr>
                <w:b/>
                <w:color w:val="7A5600"/>
              </w:rPr>
              <w:t xml:space="preserve">HUMAN DECISION REQUIRED  </w:t>
            </w:r>
            <w:r>
              <w:rPr>
                <w:i w:val="0"/>
                <w:sz w:val="20"/>
              </w:rPr>
              <w:t>You must review the proposed diagnostic code before it runs against the data. Read the rationale and the code carefully. Click Approve to allow it to run, or Reject to ask Feynman to try a different approach. This step may repeat if Feynman needs more than one probe to confirm its hypothesis.</w:t>
            </w:r>
          </w:p>
        </w:tc>
      </w:tr>
    </w:tbl>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HITL code-approval panel: rationale text on the left, proposed Python code block on the right, and Approve / Reject buttons at the bottom.</w:t>
            </w:r>
          </w:p>
        </w:tc>
      </w:tr>
    </w:tbl>
    <w:p/>
    <w:p>
      <w:pPr>
        <w:pStyle w:val="ListNumber"/>
      </w:pPr>
      <w:r>
        <w:rPr>
          <w:b/>
          <w:color w:val="004C6E"/>
        </w:rPr>
        <w:t xml:space="preserve">Step 4: </w:t>
      </w:r>
      <w:r>
        <w:rPr>
          <w:i w:val="0"/>
        </w:rPr>
        <w:t>After you approve the code, it runs in a secure sandbox and the output is fed back to Feynman.</w:t>
      </w:r>
    </w:p>
    <w:p>
      <w:pPr>
        <w:spacing w:before="0" w:after="120"/>
        <w:ind w:left="850"/>
      </w:pPr>
      <w:r>
        <w:rPr>
          <w:i/>
          <w:color w:val="007AA5"/>
        </w:rPr>
        <w:t xml:space="preserve">You will see: </w:t>
      </w:r>
      <w:r>
        <w:rPr>
          <w:i w:val="0"/>
        </w:rPr>
        <w:t>The Agent Console shows the diagnostic output and Feynman's updated reasoning.</w:t>
      </w:r>
    </w:p>
    <w:p>
      <w:pPr>
        <w:pStyle w:val="ListNumber"/>
      </w:pPr>
      <w:r>
        <w:rPr>
          <w:b/>
          <w:color w:val="004C6E"/>
        </w:rPr>
        <w:t xml:space="preserve">Step 5: </w:t>
      </w:r>
      <w:r>
        <w:rPr>
          <w:i w:val="0"/>
        </w:rPr>
        <w:t>When Feynman has enough evidence, it declares the root cause.</w:t>
      </w:r>
    </w:p>
    <w:p>
      <w:pPr>
        <w:spacing w:before="0" w:after="120"/>
        <w:ind w:left="850"/>
      </w:pPr>
      <w:r>
        <w:rPr>
          <w:i/>
          <w:color w:val="007AA5"/>
        </w:rPr>
        <w:t xml:space="preserve">You will see: </w:t>
      </w:r>
      <w:r>
        <w:rPr>
          <w:i w:val="0"/>
        </w:rPr>
        <w:t>A structured finding is displayed: Root Cause (plain English), Evidence summary, and a Remediation path from a fixed set of options.</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RCA declared finding panel: 'Root Cause' heading with plain-English text, 'Evidence' section, and 'Recommended Remediation' label with the selected path.</w:t>
            </w:r>
          </w:p>
        </w:tc>
      </w:tr>
    </w:tbl>
    <w:p/>
    <w:p>
      <w:pPr>
        <w:pStyle w:val="ListNumber"/>
      </w:pPr>
      <w:r>
        <w:rPr>
          <w:b/>
          <w:color w:val="004C6E"/>
        </w:rPr>
        <w:t xml:space="preserve">Step 6: </w:t>
      </w:r>
      <w:r>
        <w:rPr>
          <w:i w:val="0"/>
        </w:rPr>
        <w:t>Noether automatically reviews the declared root cause.</w:t>
      </w:r>
    </w:p>
    <w:p>
      <w:pPr>
        <w:spacing w:before="0" w:after="120"/>
        <w:ind w:left="850"/>
      </w:pPr>
      <w:r>
        <w:rPr>
          <w:i/>
          <w:color w:val="007AA5"/>
        </w:rPr>
        <w:t xml:space="preserve">You will see: </w:t>
      </w:r>
      <w:r>
        <w:rPr>
          <w:i w:val="0"/>
        </w:rPr>
        <w:t>The Agent Console briefly shows Noether's challenge. If Noether accepts it, a green 'RCA Verified' badge appears and the Raise Ticket button becomes active. If Noether requests revision, the cycle returns to Feynman.</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RCA page after Noether verification: 'RCA Verified ✓' badge visible, Noether's brief verdict text, and the 'Raise Ticket' button now active.</w:t>
            </w:r>
          </w:p>
        </w:tc>
      </w:tr>
    </w:tbl>
    <w:p/>
    <w:p>
      <w:pPr>
        <w:spacing w:before="200" w:after="80"/>
      </w:pPr>
      <w:r>
        <w:rPr>
          <w:b/>
          <w:color w:val="007AA5"/>
          <w:sz w:val="24"/>
        </w:rPr>
        <w:t>5.2  Agents in This Workflow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Agent</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Role</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Inputs</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Outputs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Feynman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Root Cause Analyst. Investigates a failed test by hypothesising a cause, drafting diagnostic code, running it in a sandbox, and declaring a root cause.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Failed test details (table, column, test name, expected vs actual), table schema and statistics, prior run results.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root-cause hypothesis, evidence summary, and a remediation key from: re_baseline_reference, exclude_post_outcome_cols, extend_history, data_engineering_fix, segment_recalibration.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Noether</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Independent RCA Checker (effective challenge). Reviews Feynman's conclusion before any ticket is raised, accepting it or sending it back for revision.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Feynman's root-cause analysis (proposed cause, evidence, reasoning), the original failed-test finding, and relevant data context.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 verdict: accept (RCA is sound) or revise (with specific issues and a suggestion for Feynman to address).</w:t>
            </w:r>
          </w:p>
        </w:tc>
      </w:tr>
    </w:tbl>
    <w:p/>
    <w:tbl>
      <w:tblPr>
        <w:tblW w:type="auto" w:w="0"/>
        <w:jc w:val="left"/>
        <w:tblLook w:firstColumn="1" w:firstRow="1" w:lastColumn="0" w:lastRow="0" w:noHBand="0" w:noVBand="1" w:val="04A0"/>
      </w:tblPr>
      <w:tblGrid>
        <w:gridCol w:w="9406"/>
      </w:tblGrid>
      <w:tr>
        <w:tc>
          <w:tcPr>
            <w:tcW w:type="dxa" w:w="9406"/>
            <w:shd w:val="clear" w:color="auto" w:fill="E0F3FA"/>
            <w:tcBorders>
              <w:top w:val="single" w:sz="6" w:space="0" w:color="007AA5"/>
              <w:left w:val="single" w:sz="6" w:space="0" w:color="007AA5"/>
              <w:bottom w:val="single" w:sz="6" w:space="0" w:color="007AA5"/>
              <w:right w:val="single" w:sz="6" w:space="0" w:color="007AA5"/>
            </w:tcBorders>
          </w:tcPr>
          <w:p>
            <w:r>
              <w:rPr>
                <w:b/>
                <w:color w:val="004C6E"/>
              </w:rPr>
              <w:t xml:space="preserve">NOTE  </w:t>
            </w:r>
            <w:r>
              <w:rPr>
                <w:i w:val="0"/>
                <w:sz w:val="20"/>
              </w:rPr>
              <w:t>The HITL code-approval gate is a hard stop — Feynman cannot run any diagnostic code without your explicit approval. You may reject the proposed code as many times as needed. Feynman will adjust its approach each time.</w:t>
            </w:r>
          </w:p>
        </w:tc>
      </w:tr>
    </w:tbl>
    <w:p/>
    <w:p>
      <w:r>
        <w:br w:type="page"/>
      </w:r>
    </w:p>
    <w:p>
      <w:pPr>
        <w:pStyle w:val="Heading1"/>
      </w:pPr>
      <w:r>
        <w:rPr>
          <w:color w:val="004C6E"/>
        </w:rPr>
        <w:t>6.  Workflow ⑤ — Issue Management</w:t>
      </w:r>
    </w:p>
    <w:p>
      <w:pPr>
        <w:spacing w:after="80"/>
      </w:pPr>
      <w:r>
        <w:t>Once an RCA has been verified by Noether, you can raise a formal remediation ticket. The ticket carries an immutable context block (table, column, test, threshold) that cannot be altered after creation. You then manage the ticket through three statuses: Raised → Under Review → Closed.</w:t>
      </w:r>
    </w:p>
    <w:p>
      <w:pPr>
        <w:spacing w:before="200" w:after="80"/>
      </w:pPr>
      <w:r>
        <w:rPr>
          <w:b/>
          <w:color w:val="007AA5"/>
          <w:sz w:val="24"/>
        </w:rPr>
        <w:t>6.1  Raising a Ticket</w:t>
      </w:r>
    </w:p>
    <w:p>
      <w:pPr>
        <w:pStyle w:val="ListNumber"/>
      </w:pPr>
      <w:r>
        <w:rPr>
          <w:b/>
          <w:color w:val="004C6E"/>
        </w:rPr>
        <w:t xml:space="preserve">Step 1: </w:t>
      </w:r>
      <w:r>
        <w:rPr>
          <w:i w:val="0"/>
        </w:rPr>
        <w:t>From the verified RCA page, click Raise Ticket.</w:t>
      </w:r>
    </w:p>
    <w:p>
      <w:pPr>
        <w:spacing w:before="0" w:after="120"/>
        <w:ind w:left="850"/>
      </w:pPr>
      <w:r>
        <w:rPr>
          <w:i/>
          <w:color w:val="007AA5"/>
        </w:rPr>
        <w:t xml:space="preserve">You will see: </w:t>
      </w:r>
      <w:r>
        <w:rPr>
          <w:i w:val="0"/>
        </w:rPr>
        <w:t>A ticket-creation form appears, pre-filled with the root cause and remediation text from Feynman.</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Raise Ticket form: pre-filled fields for table, column, test name, root cause, and recommended remediation. An 'Owner' dropdown and 'Submit' button are visible.</w:t>
            </w:r>
          </w:p>
        </w:tc>
      </w:tr>
    </w:tbl>
    <w:p/>
    <w:p>
      <w:pPr>
        <w:pStyle w:val="ListNumber"/>
      </w:pPr>
      <w:r>
        <w:rPr>
          <w:b/>
          <w:color w:val="004C6E"/>
        </w:rPr>
        <w:t xml:space="preserve">Step 2: </w:t>
      </w:r>
      <w:r>
        <w:rPr>
          <w:i w:val="0"/>
        </w:rPr>
        <w:t>Assign an owner from the dropdown, add any notes, and click Submit.</w:t>
      </w:r>
    </w:p>
    <w:p>
      <w:pPr>
        <w:spacing w:before="0" w:after="120"/>
        <w:ind w:left="850"/>
      </w:pPr>
      <w:r>
        <w:rPr>
          <w:i/>
          <w:color w:val="007AA5"/>
        </w:rPr>
        <w:t xml:space="preserve">You will see: </w:t>
      </w:r>
      <w:r>
        <w:rPr>
          <w:i w:val="0"/>
        </w:rPr>
        <w:t>A ticket is created with a reference number (IDQ-NNN) and status Raised. The ticket appears in Issue Management.</w:t>
      </w:r>
    </w:p>
    <w:p>
      <w:pPr>
        <w:spacing w:before="200" w:after="80"/>
      </w:pPr>
      <w:r>
        <w:rPr>
          <w:b/>
          <w:color w:val="007AA5"/>
          <w:sz w:val="24"/>
        </w:rPr>
        <w:t>6.2  Managing Tickets</w:t>
      </w:r>
    </w:p>
    <w:p>
      <w:pPr>
        <w:pStyle w:val="ListNumber"/>
      </w:pPr>
      <w:r>
        <w:rPr>
          <w:b/>
          <w:color w:val="004C6E"/>
        </w:rPr>
        <w:t xml:space="preserve">Step 1: </w:t>
      </w:r>
      <w:r>
        <w:rPr>
          <w:i w:val="0"/>
        </w:rPr>
        <w:t>Navigate to Issue Management from the left-hand menu.</w:t>
      </w:r>
    </w:p>
    <w:p>
      <w:pPr>
        <w:spacing w:before="0" w:after="120"/>
        <w:ind w:left="850"/>
      </w:pPr>
      <w:r>
        <w:rPr>
          <w:i/>
          <w:color w:val="007AA5"/>
        </w:rPr>
        <w:t xml:space="preserve">You will see: </w:t>
      </w:r>
      <w:r>
        <w:rPr>
          <w:i w:val="0"/>
        </w:rPr>
        <w:t>A table lists all tickets with their ID, table, column, test, status, owner, and date.</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Issue Management table: columns showing Ticket ID (IDQ-NNN), Table, Column, Test, Status badge, Owner, and Date. Filter dropdowns visible at the top.</w:t>
            </w:r>
          </w:p>
        </w:tc>
      </w:tr>
    </w:tbl>
    <w:p/>
    <w:p>
      <w:pPr>
        <w:pStyle w:val="ListNumber"/>
      </w:pPr>
      <w:r>
        <w:rPr>
          <w:b/>
          <w:color w:val="004C6E"/>
        </w:rPr>
        <w:t xml:space="preserve">Step 2: </w:t>
      </w:r>
      <w:r>
        <w:rPr>
          <w:i w:val="0"/>
        </w:rPr>
        <w:t>Click a ticket row to open its details.</w:t>
      </w:r>
    </w:p>
    <w:p>
      <w:pPr>
        <w:spacing w:before="0" w:after="120"/>
        <w:ind w:left="850"/>
      </w:pPr>
      <w:r>
        <w:rPr>
          <w:i/>
          <w:color w:val="007AA5"/>
        </w:rPr>
        <w:t xml:space="preserve">You will see: </w:t>
      </w:r>
      <w:r>
        <w:rPr>
          <w:i w:val="0"/>
        </w:rPr>
        <w:t>The full ticket panel shows the immutable issue context (table, column, test, threshold), the root cause, remediation, and a transaction log of status changes.</w:t>
      </w:r>
    </w:p>
    <w:p>
      <w:pPr>
        <w:pStyle w:val="ListNumber"/>
      </w:pPr>
      <w:r>
        <w:rPr>
          <w:b/>
          <w:color w:val="004C6E"/>
        </w:rPr>
        <w:t xml:space="preserve">Step 3: </w:t>
      </w:r>
      <w:r>
        <w:rPr>
          <w:i w:val="0"/>
        </w:rPr>
        <w:t>To advance the ticket status, click the appropriate action button: Move to Under Review or Mark as Closed.</w:t>
      </w:r>
    </w:p>
    <w:p>
      <w:pPr>
        <w:spacing w:before="0" w:after="120"/>
        <w:ind w:left="850"/>
      </w:pPr>
      <w:r>
        <w:rPr>
          <w:i/>
          <w:color w:val="007AA5"/>
        </w:rPr>
        <w:t xml:space="preserve">You will see: </w:t>
      </w:r>
      <w:r>
        <w:rPr>
          <w:i w:val="0"/>
        </w:rPr>
        <w:t>The status updates and a new entry appears in the transaction log.</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ticket detail panel: immutable context block at the top (greyed out), root cause and remediation text below, status action buttons, and transaction log at the bottom.</w:t>
            </w:r>
          </w:p>
        </w:tc>
      </w:tr>
    </w:tbl>
    <w:p/>
    <w:tbl>
      <w:tblPr>
        <w:tblW w:type="auto" w:w="0"/>
        <w:jc w:val="left"/>
        <w:tblLook w:firstColumn="1" w:firstRow="1" w:lastColumn="0" w:lastRow="0" w:noHBand="0" w:noVBand="1" w:val="04A0"/>
      </w:tblPr>
      <w:tblGrid>
        <w:gridCol w:w="9406"/>
      </w:tblGrid>
      <w:tr>
        <w:tc>
          <w:tcPr>
            <w:tcW w:type="dxa" w:w="9406"/>
            <w:shd w:val="clear" w:color="auto" w:fill="E0F3FA"/>
            <w:tcBorders>
              <w:top w:val="single" w:sz="6" w:space="0" w:color="007AA5"/>
              <w:left w:val="single" w:sz="6" w:space="0" w:color="007AA5"/>
              <w:bottom w:val="single" w:sz="6" w:space="0" w:color="007AA5"/>
              <w:right w:val="single" w:sz="6" w:space="0" w:color="007AA5"/>
            </w:tcBorders>
          </w:tcPr>
          <w:p>
            <w:r>
              <w:rPr>
                <w:b/>
                <w:color w:val="004C6E"/>
              </w:rPr>
              <w:t xml:space="preserve">NOTE  </w:t>
            </w:r>
            <w:r>
              <w:rPr>
                <w:i w:val="0"/>
                <w:sz w:val="20"/>
              </w:rPr>
              <w:t>The issue context block (table, column, test, threshold) is locked at creation and cannot be edited after a ticket is raised. This preserves the audit trail.</w:t>
            </w:r>
          </w:p>
        </w:tc>
      </w:tr>
    </w:tbl>
    <w:p/>
    <w:p>
      <w:r>
        <w:br w:type="page"/>
      </w:r>
    </w:p>
    <w:p>
      <w:pPr>
        <w:pStyle w:val="Heading1"/>
      </w:pPr>
      <w:r>
        <w:rPr>
          <w:color w:val="004C6E"/>
        </w:rPr>
        <w:t>7.  Test Lab</w:t>
      </w:r>
    </w:p>
    <w:p>
      <w:pPr>
        <w:spacing w:after="80"/>
      </w:pPr>
      <w:r>
        <w:t>The Test Lab is a design workbench for authoring and managing reusable DQ tests independent of a specific validation run. It consists of five steps: Scope &amp; Domains → Recommendations → Designer → Catalogue → Monitoring Schedules.</w:t>
      </w:r>
    </w:p>
    <w:p>
      <w:pPr>
        <w:spacing w:before="200" w:after="80"/>
      </w:pPr>
      <w:r>
        <w:rPr>
          <w:b/>
          <w:color w:val="007AA5"/>
          <w:sz w:val="24"/>
        </w:rPr>
        <w:t>7.1  Step-by-Step Overview</w:t>
      </w:r>
    </w:p>
    <w:p>
      <w:pPr>
        <w:pStyle w:val="ListNumber"/>
      </w:pPr>
      <w:r>
        <w:rPr>
          <w:b/>
          <w:color w:val="004C6E"/>
        </w:rPr>
        <w:t xml:space="preserve">Step 1: </w:t>
      </w:r>
      <w:r>
        <w:rPr>
          <w:i w:val="0"/>
        </w:rPr>
        <w:t>Navigate to Test Lab from the left-hand menu.</w:t>
      </w:r>
    </w:p>
    <w:p>
      <w:pPr>
        <w:spacing w:before="0" w:after="120"/>
        <w:ind w:left="850"/>
      </w:pPr>
      <w:r>
        <w:rPr>
          <w:i/>
          <w:color w:val="007AA5"/>
        </w:rPr>
        <w:t xml:space="preserve">You will see: </w:t>
      </w:r>
      <w:r>
        <w:rPr>
          <w:i w:val="0"/>
        </w:rPr>
        <w:t>The five-step wizard appears. Step 1 (Scope &amp; Domains) is active.</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Test Lab five-step wizard header bar: steps labelled Scope &amp; Domains, Recommendations, Designer, Catalogue, Monitoring Schedules. Step 1 active.</w:t>
            </w:r>
          </w:p>
        </w:tc>
      </w:tr>
    </w:tbl>
    <w:p/>
    <w:p>
      <w:pPr>
        <w:pStyle w:val="ListNumber"/>
      </w:pPr>
      <w:r>
        <w:rPr>
          <w:b/>
          <w:color w:val="004C6E"/>
        </w:rPr>
        <w:t xml:space="preserve">Step 2: </w:t>
      </w:r>
      <w:r>
        <w:rPr>
          <w:i w:val="0"/>
        </w:rPr>
        <w:t>Step 1 — Scope &amp; Domains: Select the databases and DQ framework families you want to cover, then click Next.</w:t>
      </w:r>
    </w:p>
    <w:p>
      <w:pPr>
        <w:spacing w:before="0" w:after="120"/>
        <w:ind w:left="850"/>
      </w:pPr>
      <w:r>
        <w:rPr>
          <w:i/>
          <w:color w:val="007AA5"/>
        </w:rPr>
        <w:t xml:space="preserve">You will see: </w:t>
      </w:r>
      <w:r>
        <w:rPr>
          <w:i w:val="0"/>
        </w:rPr>
        <w:t>The selected scope is saved to a named Design Workbench session.</w:t>
      </w:r>
    </w:p>
    <w:p>
      <w:pPr>
        <w:pStyle w:val="ListNumber"/>
      </w:pPr>
      <w:r>
        <w:rPr>
          <w:b/>
          <w:color w:val="004C6E"/>
        </w:rPr>
        <w:t xml:space="preserve">Step 3: </w:t>
      </w:r>
      <w:r>
        <w:rPr>
          <w:i w:val="0"/>
        </w:rPr>
        <w:t>Step 2 — Recommendations: Review AI-suggested tests for your scope. The AI runner surfaces tests from the library and optionally authors new ones via Gauss.</w:t>
      </w:r>
    </w:p>
    <w:p>
      <w:pPr>
        <w:spacing w:before="0" w:after="120"/>
        <w:ind w:left="850"/>
      </w:pPr>
      <w:r>
        <w:rPr>
          <w:i/>
          <w:color w:val="007AA5"/>
        </w:rPr>
        <w:t xml:space="preserve">You will see: </w:t>
      </w:r>
      <w:r>
        <w:rPr>
          <w:i w:val="0"/>
        </w:rPr>
        <w:t>Two panels appear: existing-library recommendations and AI-authored suggestions. A coverage indicator shows how many DQ categories are covered.</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Recommendations step: two-panel layout showing library matches on the left and AI-authored suggestions on the right, with category coverage bars.</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6" w:space="0" w:color="C8A200"/>
              <w:left w:val="single" w:sz="6" w:space="0" w:color="C8A200"/>
              <w:bottom w:val="single" w:sz="6" w:space="0" w:color="C8A200"/>
              <w:right w:val="single" w:sz="6" w:space="0" w:color="C8A200"/>
            </w:tcBorders>
          </w:tcPr>
          <w:p>
            <w:r>
              <w:rPr>
                <w:b/>
                <w:color w:val="7A5600"/>
              </w:rPr>
              <w:t xml:space="preserve">HUMAN DECISION REQUIRED  </w:t>
            </w:r>
            <w:r>
              <w:rPr>
                <w:i w:val="0"/>
                <w:sz w:val="20"/>
              </w:rPr>
              <w:t>AI-authored tests in the Recommendations step require your approval before they can be added to the catalogue. Click Review on any AI-authored test to see the code, rationale, and dry-run result, then Approve or Reject.</w:t>
            </w:r>
          </w:p>
        </w:tc>
      </w:tr>
    </w:tbl>
    <w:p/>
    <w:p>
      <w:pPr>
        <w:pStyle w:val="ListNumber"/>
      </w:pPr>
      <w:r>
        <w:rPr>
          <w:b/>
          <w:color w:val="004C6E"/>
        </w:rPr>
        <w:t xml:space="preserve">Step 4: </w:t>
      </w:r>
      <w:r>
        <w:rPr>
          <w:i w:val="0"/>
        </w:rPr>
        <w:t>Step 3 — Designer: Select a test from your recommendations and refine it. Adjust thresholds, parameters, and review the AI-generated Dossier.</w:t>
      </w:r>
    </w:p>
    <w:p>
      <w:pPr>
        <w:spacing w:before="0" w:after="120"/>
        <w:ind w:left="850"/>
      </w:pPr>
      <w:r>
        <w:rPr>
          <w:i/>
          <w:color w:val="007AA5"/>
        </w:rPr>
        <w:t xml:space="preserve">You will see: </w:t>
      </w:r>
      <w:r>
        <w:rPr>
          <w:i w:val="0"/>
        </w:rPr>
        <w:t>The Designer panel shows the test code, threshold sliders, and the Dossier: a structured document with rationale, quantitative outcome, monitoring recommendation, and interpretation guidance.</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Designer panel: test code editor on the left, Dossier sections on the right (Rationale, Quantitative Outcome, Strategy, Monitor Recommended).</w:t>
            </w:r>
          </w:p>
        </w:tc>
      </w:tr>
    </w:tbl>
    <w:p/>
    <w:p>
      <w:pPr>
        <w:pStyle w:val="ListNumber"/>
      </w:pPr>
      <w:r>
        <w:rPr>
          <w:b/>
          <w:color w:val="004C6E"/>
        </w:rPr>
        <w:t xml:space="preserve">Step 5: </w:t>
      </w:r>
      <w:r>
        <w:rPr>
          <w:i w:val="0"/>
        </w:rPr>
        <w:t>Step 4 — Catalogue: Review all designed tests in a consolidated list. Download the PDF report for documentation or sign-off.</w:t>
      </w:r>
    </w:p>
    <w:p>
      <w:pPr>
        <w:spacing w:before="0" w:after="120"/>
        <w:ind w:left="850"/>
      </w:pPr>
      <w:r>
        <w:rPr>
          <w:i/>
          <w:color w:val="007AA5"/>
        </w:rPr>
        <w:t xml:space="preserve">You will see: </w:t>
      </w:r>
      <w:r>
        <w:rPr>
          <w:i w:val="0"/>
        </w:rPr>
        <w:t>The Catalogue shows each test with its dossier summary. A Download Report button generates a PDF of all tests.</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Catalogue step: table of designed tests with name, category, table/column, status, and a Download Report button at the top right.</w:t>
            </w:r>
          </w:p>
        </w:tc>
      </w:tr>
    </w:tbl>
    <w:p/>
    <w:p>
      <w:pPr>
        <w:pStyle w:val="ListNumber"/>
      </w:pPr>
      <w:r>
        <w:rPr>
          <w:b/>
          <w:color w:val="004C6E"/>
        </w:rPr>
        <w:t xml:space="preserve">Step 6: </w:t>
      </w:r>
      <w:r>
        <w:rPr>
          <w:i w:val="0"/>
        </w:rPr>
        <w:t>Step 5 — Monitoring Schedules: Configure how often the designed tests should run. Set frequency, delivery channel (download or email preview), and recipients.</w:t>
      </w:r>
    </w:p>
    <w:p>
      <w:pPr>
        <w:spacing w:before="0" w:after="120"/>
        <w:ind w:left="850"/>
      </w:pPr>
      <w:r>
        <w:rPr>
          <w:i/>
          <w:color w:val="007AA5"/>
        </w:rPr>
        <w:t xml:space="preserve">You will see: </w:t>
      </w:r>
      <w:r>
        <w:rPr>
          <w:i w:val="0"/>
        </w:rPr>
        <w:t>A schedule configuration form appears. Schedules are saved but not automatically executed — they must be triggered manually.</w:t>
      </w:r>
    </w:p>
    <w:p/>
    <w:tbl>
      <w:tblPr>
        <w:tblW w:type="auto" w:w="0"/>
        <w:jc w:val="center"/>
        <w:tblLook w:firstColumn="1" w:firstRow="1" w:lastColumn="0" w:lastRow="0" w:noHBand="0" w:noVBand="1" w:val="04A0"/>
      </w:tblPr>
      <w:tblGrid>
        <w:gridCol w:w="9406"/>
      </w:tblGrid>
      <w:tr>
        <w:tc>
          <w:tcPr>
            <w:tcW w:type="dxa" w:w="9406"/>
            <w:shd w:val="clear" w:color="auto" w:fill="F2F2F2"/>
            <w:tcBorders>
              <w:top w:val="single" w:sz="6" w:space="0" w:color="999999"/>
              <w:left w:val="single" w:sz="6" w:space="0" w:color="999999"/>
              <w:bottom w:val="single" w:sz="6" w:space="0" w:color="999999"/>
              <w:right w:val="single" w:sz="6" w:space="0" w:color="999999"/>
            </w:tcBorders>
          </w:tcPr>
          <w:p>
            <w:pPr>
              <w:spacing w:before="200" w:after="200"/>
              <w:jc w:val="center"/>
            </w:pPr>
            <w:r>
              <w:rPr>
                <w:b/>
                <w:color w:val="666666"/>
              </w:rPr>
              <w:t>[ SCREENSHOT ]</w:t>
            </w:r>
            <w:r>
              <w:br/>
            </w:r>
            <w:r>
              <w:rPr>
                <w:i/>
                <w:color w:val="555555"/>
                <w:sz w:val="18"/>
              </w:rPr>
              <w:t>The Monitoring Schedules configuration form: frequency dropdown, delivery channel selector, recipient email field, and Enable/Save buttons.</w:t>
            </w:r>
          </w:p>
        </w:tc>
      </w:tr>
    </w:tbl>
    <w:p/>
    <w:p>
      <w:r>
        <w:br w:type="page"/>
      </w:r>
    </w:p>
    <w:p>
      <w:pPr>
        <w:pStyle w:val="Heading1"/>
      </w:pPr>
      <w:r>
        <w:rPr>
          <w:color w:val="004C6E"/>
        </w:rPr>
        <w:t>8.  Full Agent Reference</w:t>
      </w:r>
    </w:p>
    <w:p>
      <w:pPr>
        <w:spacing w:after="80"/>
      </w:pPr>
      <w:r>
        <w:t>The table below lists every AI agent in Aegis Labs, the workflow it belongs to, and a concise description of its role. All agents run inside the Agent Console — you never interact with them directly except at HITL gates.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Agent</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Role</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Inputs</w:t>
            </w:r>
          </w:p>
        </w:tc>
        <w:tc>
          <w:tcPr>
            <w:tcW w:type="dxa" w:w="2351"/>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Outputs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Newton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Data Sourcing (①)</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Reads profiled schema statistics and writes a plain-English database understanding summary.</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Two structured paragraphs: statistical overview + DQ profiling summary.</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Merton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Data Sourcing (①)</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Credit-risk SME. Assesses potential usages of the database across analytics, modelling, and reporting.</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One paragraph of potential-usage assessment.</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Poincaré</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Discovers candidate statistical relationships within the selected table.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Candidate relationship list with confidence scores.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Fermat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Challenges each Poincaré candidate using within-table evidence and domain logic.</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Accept / reject / revise verdict with challenge explanation per candidate.</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Euler</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Challenges candidates for cross-table and global-domain consistency.</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Accept / reject verdict with reason per candidate.</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Hypatia</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Screens the test library to find and rank applicable tests for the selected column.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Ranked test recommendations with confidence and reason.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Gauss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Orchestrator and final test author. Synthesises all prior signals into one executable DQ test.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Complete test artifact: name, Python code, thresholds, rationale, interpretation.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Pascal</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Ranks test instances by business criticality (regulatory, model-risk, downstream impact).</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Ordered ranking list; deterministic code converts to High / Medium / Low.</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Bayes</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Define Test Plan (②)</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Adjudicates human feedback on a Gauss-authored test — accommodates valid feedback or pushes back.</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Verdict, message, reasoning, and proposed changes.</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Laplace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Run Validations (③)</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Deterministic health scorer. No AI calls — converts run results to a criticality-weighted 0–100 score.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final_score (0–100) and per-category breakdown.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Feynman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Root Cause Analysis (④)</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Investigates failed tests: hypothesises cause, proposes diagnostic code (HITL gate), declares root cause.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Root-cause hypothesis, evidence, and remediation key.</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Noether</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Root Cause Analysis (④)</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Independent RCA checker. Challenges Feynman's conclusion before any ticket is raised.</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Verdict: accept or revise (with issues and suggestion).</w:t>
            </w:r>
          </w:p>
        </w:tc>
      </w:tr>
      <w:tr>
        <w:tc>
          <w:tcPr>
            <w:tcW w:type="dxa" w:w="2351"/>
            <w:tcBorders>
              <w:top w:val="single" w:sz="4" w:space="0" w:color="AAAAAA"/>
              <w:left w:val="single" w:sz="4" w:space="0" w:color="AAAAAA"/>
              <w:bottom w:val="single" w:sz="4" w:space="0" w:color="AAAAAA"/>
              <w:right w:val="single" w:sz="4" w:space="0" w:color="AAAAAA"/>
            </w:tcBorders>
          </w:tcPr>
          <w:p>
            <w:r>
              <w:rPr>
                <w:b/>
                <w:color w:val="004C6E"/>
                <w:sz w:val="20"/>
              </w:rPr>
              <w:t>Codd</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Data Sourcing / Test Plan</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Relationship Architect. Infers cross-table joins and builds an ERD from schema evidence.</w:t>
            </w:r>
          </w:p>
        </w:tc>
        <w:tc>
          <w:tcPr>
            <w:tcW w:type="dxa" w:w="2351"/>
            <w:tcBorders>
              <w:top w:val="single" w:sz="4" w:space="0" w:color="AAAAAA"/>
              <w:left w:val="single" w:sz="4" w:space="0" w:color="AAAAAA"/>
              <w:bottom w:val="single" w:sz="4" w:space="0" w:color="AAAAAA"/>
              <w:right w:val="single" w:sz="4" w:space="0" w:color="AAAAAA"/>
            </w:tcBorders>
          </w:tcPr>
          <w:p>
            <w:r>
              <w:rPr>
                <w:i w:val="0"/>
                <w:sz w:val="20"/>
              </w:rPr>
              <w:t>Cross-table join candidates and ERD structure.</w:t>
            </w:r>
          </w:p>
        </w:tc>
      </w:tr>
    </w:tbl>
    <w:p/>
    <w:p>
      <w:r>
        <w:br w:type="page"/>
      </w:r>
    </w:p>
    <w:p>
      <w:pPr>
        <w:pStyle w:val="Heading1"/>
      </w:pPr>
      <w:r>
        <w:rPr>
          <w:color w:val="004C6E"/>
        </w:rPr>
        <w:t>9.  Tips &amp; Troubleshooting</w:t>
      </w:r>
    </w:p>
    <w:p>
      <w:pPr>
        <w:spacing w:before="200" w:after="80"/>
      </w:pPr>
      <w:r>
        <w:rPr>
          <w:b/>
          <w:color w:val="007AA5"/>
          <w:sz w:val="24"/>
        </w:rPr>
        <w:t>9.1  Common Questions</w:t>
      </w:r>
    </w:p>
    <w:tbl>
      <w:tblPr>
        <w:tblStyle w:val="TableGrid"/>
        <w:tblW w:type="auto" w:w="0"/>
        <w:tblLook w:firstColumn="1" w:firstRow="1" w:lastColumn="0" w:lastRow="0" w:noHBand="0" w:noVBand="1" w:val="04A0"/>
      </w:tblPr>
      <w:tblGrid>
        <w:gridCol w:w="4703"/>
        <w:gridCol w:w="4703"/>
      </w:tblGrid>
      <w:tr>
        <w:tc>
          <w:tcPr>
            <w:tcW w:type="dxa" w:w="4703"/>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Question</w:t>
            </w:r>
          </w:p>
        </w:tc>
        <w:tc>
          <w:tcPr>
            <w:tcW w:type="dxa" w:w="4703"/>
            <w:shd w:val="clear" w:color="auto" w:fill="004C6E"/>
            <w:tcBorders>
              <w:top w:val="single" w:sz="4" w:space="0" w:color="AAAAAA"/>
              <w:left w:val="single" w:sz="4" w:space="0" w:color="AAAAAA"/>
              <w:bottom w:val="single" w:sz="4" w:space="0" w:color="AAAAAA"/>
              <w:right w:val="single" w:sz="4" w:space="0" w:color="AAAAAA"/>
            </w:tcBorders>
          </w:tcPr>
          <w:p>
            <w:r>
              <w:rPr>
                <w:b/>
                <w:color w:val="FFFFFF"/>
                <w:sz w:val="20"/>
              </w:rPr>
              <w:t>Answer</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Why does Newton produce the same summary every time I regenerate?</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This is intentional. Newton runs at temperature 0.0 — identical inputs always produce identical outputs. This ensures reproducibility and auditability.</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Can I change a test after the plan is finalised?</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No. A finalised plan is locked. To make changes, reset the plan for that table, rebuild it, and finalise again.</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How many times can I reject Feynman's proposed code?</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As many times as needed. Each rejection gives Feynman a chance to revise its approach. There is no hard limit, but if Feynman exhausts its diagnostic options it will declare the best available conclusion.</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What does the health score mean?</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A score of 100 means every test passed. Scores below 100 reflect failures weighted by criticality — a single High-criticality failure has a larger impact than several Low ones.</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Why can I not edit the issue context on a ticket?</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The issue context (table, column, test, threshold) is immutable by design to preserve the audit trail. Only the status, owner, and notes can change after creation.</w:t>
            </w:r>
          </w:p>
        </w:tc>
      </w:tr>
      <w:tr>
        <w:tc>
          <w:tcPr>
            <w:tcW w:type="dxa" w:w="4703"/>
            <w:tcBorders>
              <w:top w:val="single" w:sz="4" w:space="0" w:color="AAAAAA"/>
              <w:left w:val="single" w:sz="4" w:space="0" w:color="AAAAAA"/>
              <w:bottom w:val="single" w:sz="4" w:space="0" w:color="AAAAAA"/>
              <w:right w:val="single" w:sz="4" w:space="0" w:color="AAAAAA"/>
            </w:tcBorders>
          </w:tcPr>
          <w:p>
            <w:r>
              <w:rPr>
                <w:i w:val="0"/>
                <w:sz w:val="20"/>
              </w:rPr>
              <w:t>What happens if the Agent Console stays open for a long time?</w:t>
            </w:r>
          </w:p>
        </w:tc>
        <w:tc>
          <w:tcPr>
            <w:tcW w:type="dxa" w:w="4703"/>
            <w:tcBorders>
              <w:top w:val="single" w:sz="4" w:space="0" w:color="AAAAAA"/>
              <w:left w:val="single" w:sz="4" w:space="0" w:color="AAAAAA"/>
              <w:bottom w:val="single" w:sz="4" w:space="0" w:color="AAAAAA"/>
              <w:right w:val="single" w:sz="4" w:space="0" w:color="AAAAAA"/>
            </w:tcBorders>
          </w:tcPr>
          <w:p>
            <w:r>
              <w:rPr>
                <w:i w:val="0"/>
                <w:sz w:val="20"/>
              </w:rPr>
              <w:t>Long AI operations (Gauss authoring, complex RCA) can take 1–2 minutes. The console will close automatically when the agent finishes. Do not navigate away while it is open.</w:t>
            </w:r>
          </w:p>
        </w:tc>
      </w:tr>
    </w:tbl>
    <w:p/>
    <w:p>
      <w:pPr>
        <w:spacing w:before="200" w:after="80"/>
      </w:pPr>
      <w:r>
        <w:rPr>
          <w:b/>
          <w:color w:val="007AA5"/>
          <w:sz w:val="24"/>
        </w:rPr>
        <w:t>9.2  Data Sourcing Tips</w:t>
      </w:r>
    </w:p>
    <w:p>
      <w:pPr>
        <w:spacing w:after="80"/>
      </w:pPr>
      <w:r>
        <w:t>• Only databases listed in the catalogue can be ingested — you cannot connect an arbitrary database via the UI.</w:t>
      </w:r>
    </w:p>
    <w:p>
      <w:pPr>
        <w:spacing w:after="80"/>
      </w:pPr>
      <w:r>
        <w:t>• You can re-ingest a database at any time to refresh its schema. This does not affect existing test plans.</w:t>
      </w:r>
    </w:p>
    <w:p>
      <w:pPr>
        <w:spacing w:after="80"/>
      </w:pPr>
      <w:r>
        <w:t>• If the Agent Console appears stuck, wait at least 60 seconds before assuming an error. AI responses can be slow on first call.</w:t>
      </w:r>
    </w:p>
    <w:p>
      <w:pPr>
        <w:spacing w:before="200" w:after="80"/>
      </w:pPr>
      <w:r>
        <w:rPr>
          <w:b/>
          <w:color w:val="007AA5"/>
          <w:sz w:val="24"/>
        </w:rPr>
        <w:t>9.3  Test Plan Tips</w:t>
      </w:r>
    </w:p>
    <w:p>
      <w:pPr>
        <w:spacing w:after="80"/>
      </w:pPr>
      <w:r>
        <w:t>• Set thresholds conservatively on first use — you can always tighten them after reviewing real run results.</w:t>
      </w:r>
    </w:p>
    <w:p>
      <w:pPr>
        <w:spacing w:after="80"/>
      </w:pPr>
      <w:r>
        <w:t>• The criticality assigned by Pascal can be overridden manually before finalising.</w:t>
      </w:r>
    </w:p>
    <w:p>
      <w:pPr>
        <w:spacing w:after="80"/>
      </w:pPr>
      <w:r>
        <w:t>• Gauss-authored tests always run a dry-run against real data before presenting for HITL review. A dry-run failure means the authored code did not execute successfully — Gauss will substitute a verified fallback in that case.</w:t>
      </w:r>
    </w:p>
    <w:p>
      <w:pPr>
        <w:spacing w:before="200" w:after="80"/>
      </w:pPr>
      <w:r>
        <w:rPr>
          <w:b/>
          <w:color w:val="007AA5"/>
          <w:sz w:val="24"/>
        </w:rPr>
        <w:t>9.4  RCA Tips</w:t>
      </w:r>
    </w:p>
    <w:p>
      <w:pPr>
        <w:spacing w:after="80"/>
      </w:pPr>
      <w:r>
        <w:t>• Read Feynman's rationale carefully before approving diagnostic code. The rationale explains what the code is looking for and why.</w:t>
      </w:r>
    </w:p>
    <w:p>
      <w:pPr>
        <w:spacing w:after="80"/>
      </w:pPr>
      <w:r>
        <w:t>• If Noether sends the RCA back for revision, the revised root cause will be re-checked automatically — you do not need to trigger Noether manually.</w:t>
      </w:r>
    </w:p>
    <w:p>
      <w:pPr>
        <w:spacing w:after="80"/>
      </w:pPr>
      <w:r>
        <w:t>• You can raise at most one ticket per failed test instance. If you need to re-investigate, reset the RCA session.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