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Lab 3: Architectural Justification</w:t>
      </w:r>
    </w:p>
    <w:p>
      <w:pPr>
        <w:spacing w:after="200"/>
      </w:pPr>
      <w:r>
        <w:rPr>
          <w:b/>
          <w:bCs/>
        </w:rPr>
        <w:t xml:space="preserve">System: </w:t>
      </w:r>
      <w:r>
        <w:t xml:space="preserve">Local Sports Tournament &amp; Bracket Manager (Problem Statement #54)</w:t>
      </w:r>
    </w:p>
    <w:p>
      <w:pPr>
        <w:spacing w:after="200"/>
      </w:pPr>
      <w:r>
        <w:rPr>
          <w:b/>
          <w:bCs/>
          <w:i/>
          <w:iCs/>
        </w:rPr>
        <w:t xml:space="preserve">We chose Layered Architecture for the Local Sports Tournament &amp; Bracket Manager System.</w:t>
      </w:r>
    </w:p>
    <w:p>
      <w:pPr>
        <w:pStyle w:val="Heading2"/>
        <w:spacing w:after="80"/>
      </w:pPr>
      <w:r>
        <w:t xml:space="preserve">Architectural Choice</w:t>
      </w:r>
    </w:p>
    <w:p>
      <w:pPr>
        <w:spacing w:after="200"/>
      </w:pPr>
      <w:r>
        <w:t xml:space="preserve">A three-layer architecture was selected: a Presentation Layer (Tournament UI serving both the Team Captain and Tournament Director), a Business Layer (Bracket Generator, Match Score Manager, Standings &amp; Tiebreaker Engine, Notification Publisher), and a Data Layer (Tournament Database).</w:t>
      </w:r>
    </w:p>
    <w:p>
      <w:pPr>
        <w:pStyle w:val="Heading2"/>
        <w:spacing w:after="60"/>
      </w:pPr>
      <w:r>
        <w:t xml:space="preserve">Reason 1 – Separation of Concerns for Distinct User Roles</w:t>
      </w:r>
    </w:p>
    <w:p>
      <w:pPr>
        <w:spacing w:after="200"/>
      </w:pPr>
      <w:r>
        <w:t xml:space="preserve">The Team Captain and Tournament Director interact with the system in very different ways (submitting scores vs. administering brackets), but both rely on the same underlying bracket, scoring, and standings logic. A layered design isolates this shared business logic from the presentation concerns, so the UI can evolve (e.g., new views for either role) without touching bracket-generation or tiebreaker rules – unlike a monolithic client-server split, which would blur this boundary.</w:t>
      </w:r>
    </w:p>
    <w:p>
      <w:pPr>
        <w:pStyle w:val="Heading2"/>
        <w:spacing w:after="60"/>
      </w:pPr>
      <w:r>
        <w:t xml:space="preserve">Reason 2 – Tightly Coupled, Single-Source Tournament Data</w:t>
      </w:r>
    </w:p>
    <w:p>
      <w:pPr>
        <w:spacing w:after="200"/>
      </w:pPr>
      <w:r>
        <w:t xml:space="preserve">Bracket generation, live scoring, and standings/tiebreaker computation all operate on one authoritative dataset (teams, matches, scores) for a single, local tournament. A layered architecture lets the Business Layer coordinate these interdependent components against one shared Data Layer directly, avoiding the distributed data-consistency and network-latency challenges that a microservices split would introduce for a system of this scale.</w:t>
      </w:r>
    </w:p>
    <w:p>
      <w:pPr>
        <w:pStyle w:val="Heading2"/>
        <w:spacing w:after="60"/>
      </w:pPr>
      <w:r>
        <w:t xml:space="preserve">Security Advantage</w:t>
      </w:r>
    </w:p>
    <w:p>
      <w:pPr>
        <w:spacing w:after="200"/>
      </w:pPr>
      <w:r>
        <w:t xml:space="preserve">The Data Layer is reachable only through the Business Layer's interfaces (TeamData, MatchData, StandingsData) – the Presentation Layer never accesses the database directly. Every score submission or bracket change is therefore validated by business rules (e.g., a Team Captain may submit only their own match's result) before it reaches persisted data, reducing the risk of unauthorized or malformed writes.</w:t>
      </w:r>
    </w:p>
    <w:p>
      <w:pPr>
        <w:pStyle w:val="Heading2"/>
        <w:spacing w:after="60"/>
      </w:pPr>
      <w:r>
        <w:t xml:space="preserve">Performance Benefit</w:t>
      </w:r>
    </w:p>
    <w:p>
      <w:pPr>
        <w:spacing w:after="0"/>
      </w:pPr>
      <w:r>
        <w:t xml:space="preserve">Because the Standings &amp; Tiebreaker Engine sits in-process within the same Business Layer as the Match Score Manager, rather than behind a network call as in a microservices design, standings recalculation after a score submission happens internally with minimal overhead – comfortably meeting NFR-001's requirement to recalculate standings within 200 ms of score submission, even under peak load.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2026-09-13T10:50:39.910Z</dcterms:created>
  <dcterms:modified xsi:type="dcterms:W3CDTF">2026-09-13T10:50:39.919Z</dcterms:modified>
</cp:coreProperties>
</file>

<file path=docProps/custom.xml><?xml version="1.0" encoding="utf-8"?>
<Properties xmlns="http://schemas.openxmlformats.org/officeDocument/2006/custom-properties" xmlns:vt="http://schemas.openxmlformats.org/officeDocument/2006/docPropsVTypes"/>
</file>