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ED232A"/>
          <w:spacing w:val="80"/>
          <w:sz w:val="18"/>
          <w:szCs w:val="18"/>
        </w:rPr>
        <w:t xml:space="preserve">HDFC RETAIL ASSETS  ·  GENAI WORKSHOP  ·  REFERENCE</w:t>
      </w:r>
    </w:p>
    <w:p>
      <w:pPr>
        <w:pStyle w:val="Heading1"/>
        <w:spacing w:after="80" w:before="80"/>
      </w:pPr>
      <w:r>
        <w:rPr>
          <w:rFonts w:ascii="Calibri" w:cs="Calibri" w:eastAsia="Calibri" w:hAnsi="Calibri"/>
          <w:b/>
          <w:bCs/>
          <w:color w:val="0E3D6E"/>
          <w:sz w:val="44"/>
          <w:szCs w:val="44"/>
        </w:rPr>
        <w:t xml:space="preserve">Bias in AI — a working reference.</w:t>
      </w:r>
    </w:p>
    <w:p>
      <w:pPr>
        <w:spacing w:after="80" w:before="0"/>
      </w:pPr>
      <w:r>
        <w:rPr>
          <w:rFonts w:ascii="Calibri" w:cs="Calibri" w:eastAsia="Calibri" w:hAnsi="Calibri"/>
          <w:i/>
          <w:iCs/>
          <w:color w:val="5C6470"/>
          <w:sz w:val="18"/>
          <w:szCs w:val="18"/>
        </w:rPr>
        <w:t xml:space="preserve">38 bias types across the AI lifecycle. What each one is, how to spot it, how to reduce it.</w:t>
      </w:r>
    </w:p>
    <w:p>
      <w:pPr>
        <w:pBdr>
          <w:bottom w:val="single" w:color="0E3D6E" w:sz="6" w:space="1"/>
        </w:pBdr>
        <w:spacing w:after="160" w:before="80"/>
      </w:pPr>
      <w:r>
        <w:t xml:space="preserve"/>
      </w:r>
    </w:p>
    <w:p>
      <w:pPr>
        <w:spacing w:after="120" w:before="0" w:line="300"/>
        <w:jc w:val="left"/>
      </w:pPr>
      <w:r>
        <w:rPr>
          <w:rFonts w:ascii="Calibri" w:cs="Calibri" w:eastAsia="Calibri" w:hAnsi="Calibri"/>
          <w:b/>
          <w:bCs/>
          <w:color w:val="1F2937"/>
          <w:sz w:val="24"/>
          <w:szCs w:val="24"/>
        </w:rPr>
        <w:t xml:space="preserve">Why this exists.</w:t>
      </w:r>
    </w:p>
    <w:p>
      <w:pPr>
        <w:spacing w:after="80" w:before="0" w:line="300"/>
        <w:jc w:val="left"/>
      </w:pPr>
      <w:r>
        <w:rPr>
          <w:rFonts w:ascii="Calibri" w:cs="Calibri" w:eastAsia="Calibri" w:hAnsi="Calibri"/>
          <w:color w:val="1F2937"/>
          <w:sz w:val="22"/>
          <w:szCs w:val="22"/>
        </w:rPr>
        <w:t xml:space="preserve">Bias is the most-asked, least-precisely-answered question in any GenAI conversation. The trouble is that “bias” is doing too much work — it covers everything from a flaw in how training data was collected to a user who over-trusts a chatbot. This document separates the strands.</w:t>
      </w:r>
    </w:p>
    <w:p>
      <w:pPr>
        <w:spacing w:after="80" w:before="0" w:line="300"/>
        <w:jc w:val="left"/>
      </w:pPr>
      <w:r>
        <w:rPr>
          <w:rFonts w:ascii="Calibri" w:cs="Calibri" w:eastAsia="Calibri" w:hAnsi="Calibri"/>
          <w:color w:val="1F2937"/>
          <w:sz w:val="22"/>
          <w:szCs w:val="22"/>
        </w:rPr>
        <w:t xml:space="preserve">It is organised in four parts:</w:t>
      </w:r>
    </w:p>
    <w:p>
      <w:pPr>
        <w:spacing w:after="60" w:before="0" w:line="300"/>
        <w:jc w:val="left"/>
      </w:pPr>
      <w:r>
        <w:rPr>
          <w:rFonts w:ascii="Calibri" w:cs="Calibri" w:eastAsia="Calibri" w:hAnsi="Calibri"/>
          <w:color w:val="1F2937"/>
          <w:sz w:val="22"/>
          <w:szCs w:val="22"/>
        </w:rPr>
        <w:t xml:space="preserve">1.  Pipeline biases — where bias creeps in by the stage of the AI pipeline (data → model → deployment).</w:t>
      </w:r>
    </w:p>
    <w:p>
      <w:pPr>
        <w:spacing w:after="60" w:before="0" w:line="300"/>
        <w:jc w:val="left"/>
      </w:pPr>
      <w:r>
        <w:rPr>
          <w:rFonts w:ascii="Calibri" w:cs="Calibri" w:eastAsia="Calibri" w:hAnsi="Calibri"/>
          <w:color w:val="1F2937"/>
          <w:sz w:val="22"/>
          <w:szCs w:val="22"/>
        </w:rPr>
        <w:t xml:space="preserve">2.  Societal / human-attribute biases — the categories of people the model can disadvantage.</w:t>
      </w:r>
    </w:p>
    <w:p>
      <w:pPr>
        <w:spacing w:after="60" w:before="0" w:line="300"/>
        <w:jc w:val="left"/>
      </w:pPr>
      <w:r>
        <w:rPr>
          <w:rFonts w:ascii="Calibri" w:cs="Calibri" w:eastAsia="Calibri" w:hAnsi="Calibri"/>
          <w:color w:val="1F2937"/>
          <w:sz w:val="22"/>
          <w:szCs w:val="22"/>
        </w:rPr>
        <w:t xml:space="preserve">3.  Meta-biases — how biases compound or hide.</w:t>
      </w:r>
    </w:p>
    <w:p>
      <w:pPr>
        <w:spacing w:after="80" w:before="0" w:line="300"/>
        <w:jc w:val="left"/>
      </w:pPr>
      <w:r>
        <w:rPr>
          <w:rFonts w:ascii="Calibri" w:cs="Calibri" w:eastAsia="Calibri" w:hAnsi="Calibri"/>
          <w:color w:val="1F2937"/>
          <w:sz w:val="22"/>
          <w:szCs w:val="22"/>
        </w:rPr>
        <w:t xml:space="preserve">4.  An HDFC-specific shortlist — the six bias types most likely to land you in front of a regulator or an internal audit.</w:t>
      </w:r>
    </w:p>
    <w:p>
      <w:pPr>
        <w:spacing w:after="240" w:before="0" w:line="300"/>
        <w:jc w:val="left"/>
      </w:pPr>
      <w:r>
        <w:rPr>
          <w:rFonts w:ascii="Calibri" w:cs="Calibri" w:eastAsia="Calibri" w:hAnsi="Calibri"/>
          <w:i/>
          <w:iCs/>
          <w:color w:val="5C6470"/>
          <w:sz w:val="22"/>
          <w:szCs w:val="22"/>
        </w:rPr>
        <w:t xml:space="preserve">Each entry is short by design — one paragraph of description, then two columns: how to detect it, and how to mitigate it. None of these mitigations are silver bullets. Most need a combination, plus human-in-the-loop review.</w:t>
      </w:r>
    </w:p>
    <w:p>
      <w:pPr>
        <w:pBdr>
          <w:bottom w:val="single" w:color="0E3D6E" w:sz="6" w:space="1"/>
        </w:pBdr>
        <w:spacing w:after="160" w:before="80"/>
      </w:pPr>
      <w:r>
        <w:t xml:space="preserve"/>
      </w:r>
    </w:p>
    <w:p>
      <w:pPr>
        <w:pBdr>
          <w:bottom w:val="single" w:color="ED232A" w:sz="6" w:space="4"/>
        </w:pBdr>
        <w:spacing w:after="120" w:before="320"/>
      </w:pPr>
      <w:r>
        <w:rPr>
          <w:rFonts w:ascii="Calibri" w:cs="Calibri" w:eastAsia="Calibri" w:hAnsi="Calibri"/>
          <w:b/>
          <w:bCs/>
          <w:color w:val="0E3D6E"/>
          <w:sz w:val="28"/>
          <w:szCs w:val="28"/>
        </w:rPr>
        <w:t xml:space="preserve">Part 1 · Pipeline biases.</w:t>
      </w:r>
    </w:p>
    <w:p>
      <w:pPr>
        <w:spacing w:after="200" w:before="0" w:line="300"/>
        <w:jc w:val="left"/>
      </w:pPr>
      <w:r>
        <w:rPr>
          <w:rFonts w:ascii="Calibri" w:cs="Calibri" w:eastAsia="Calibri" w:hAnsi="Calibri"/>
          <w:i/>
          <w:iCs/>
          <w:color w:val="5C6470"/>
          <w:sz w:val="22"/>
          <w:szCs w:val="22"/>
        </w:rPr>
        <w:t xml:space="preserve">These are biases categorised by the stage of the AI lifecycle in which they enter — data, model, or deployment. Most root-cause investigations start here.</w:t>
      </w:r>
    </w:p>
    <w:p>
      <w:pPr>
        <w:spacing w:after="80" w:before="160"/>
      </w:pPr>
      <w:r>
        <w:rPr>
          <w:rFonts w:ascii="Calibri" w:cs="Calibri" w:eastAsia="Calibri" w:hAnsi="Calibri"/>
          <w:b/>
          <w:bCs/>
          <w:color w:val="ED232A"/>
          <w:spacing w:val="60"/>
          <w:sz w:val="22"/>
          <w:szCs w:val="22"/>
        </w:rPr>
        <w:t xml:space="preserve">DATA-STAGE BIASES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  </w:t>
            </w:r>
            <w:r>
              <w:rPr>
                <w:rFonts w:ascii="Calibri" w:cs="Calibri" w:eastAsia="Calibri" w:hAnsi="Calibri"/>
                <w:b/>
                <w:bCs/>
                <w:color w:val="FFFFFF"/>
                <w:sz w:val="24"/>
                <w:szCs w:val="24"/>
              </w:rPr>
              <w:t xml:space="preserve">Historical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The world the data was collected from was already unequal, so the model faithfully learns and reproduces that inequality — even if the model itself is mathematically perfect. Past lending decisions that excluded certain communities, for example, become “the norm” the model learns from.</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Compare model outcomes against population-level base rates from external, neutral sources (Census, RBI publications). If model-implied rates differ sharply for a protected group, the inheritance of historical inequity is the suspect.</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Re-weight or augment underserved-group data; add fairness constraints to the training objective; explicitly document the historical context the data carries; consider whether the model should be deployed at all in the affected segment.</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  </w:t>
            </w:r>
            <w:r>
              <w:rPr>
                <w:rFonts w:ascii="Calibri" w:cs="Calibri" w:eastAsia="Calibri" w:hAnsi="Calibri"/>
                <w:b/>
                <w:bCs/>
                <w:color w:val="FFFFFF"/>
                <w:sz w:val="24"/>
                <w:szCs w:val="24"/>
              </w:rPr>
              <w:t xml:space="preserve">Representation / sampling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Some groups are underrepresented in the training data, so the model performs measurably worse on them — not out of malice, but out of statistical thinness. A face-recognition model trained mostly on light-skinned faces will fail more often on dark-skinned ones.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Run subgroup performance audits: accuracy, precision, recall sliced by every protected attribute. Look for performance deltas of &gt;5 percentage points across subgroups.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Targeted data collection for thin segments; oversampling/SMOTE during training; subgroup-specific evaluation thresholds; refuse-to-answer when input distribution is far from training distribution.</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3.  </w:t>
            </w:r>
            <w:r>
              <w:rPr>
                <w:rFonts w:ascii="Calibri" w:cs="Calibri" w:eastAsia="Calibri" w:hAnsi="Calibri"/>
                <w:b/>
                <w:bCs/>
                <w:color w:val="FFFFFF"/>
                <w:sz w:val="24"/>
                <w:szCs w:val="24"/>
              </w:rPr>
              <w:t xml:space="preserve">Measurement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The label or proxy used to train the model is itself imperfect. A famous example: using “arrest” as a proxy for “crime committed,” when arrest rates are themselves unequally distributed across communities.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Audit labels and their sources. Ask: “What does this label actually measure, and what does it fail to measure?” Run sensitivity tests with alternative labels.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Replace flawed proxies with better-grounded labels where possible; if not, model the proxy gap explicitly; document the proxy in model-card notes; constrain deployment to use cases where the proxy is defensible.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4.  </w:t>
            </w:r>
            <w:r>
              <w:rPr>
                <w:rFonts w:ascii="Calibri" w:cs="Calibri" w:eastAsia="Calibri" w:hAnsi="Calibri"/>
                <w:b/>
                <w:bCs/>
                <w:color w:val="FFFFFF"/>
                <w:sz w:val="24"/>
                <w:szCs w:val="24"/>
              </w:rPr>
              <w:t xml:space="preserve">Aggregation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One model is applied across populations that genuinely behave differently, and the model masks the differences. A diabetes-risk model trained mainly on one ethnicity will systematically misjudge risk in others, even when each group internally is well-represented.</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Test whether subgroup-specific models meaningfully outperform the general one. If yes, the general model is over-aggregating.</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Train subgroup-specific models, or add interaction features that allow one model to handle heterogeneity; never deploy a single model across genuinely distinct populations without validation.</w:t>
            </w:r>
          </w:p>
        </w:tc>
      </w:tr>
    </w:tbl>
    <w:p>
      <w:pPr>
        <w:spacing w:after="60" w:before="60"/>
      </w:pPr>
      <w:r>
        <w:t xml:space="preserve"> </w:t>
      </w:r>
    </w:p>
    <w:p>
      <w:pPr>
        <w:spacing w:after="80" w:before="160"/>
      </w:pPr>
      <w:r>
        <w:rPr>
          <w:rFonts w:ascii="Calibri" w:cs="Calibri" w:eastAsia="Calibri" w:hAnsi="Calibri"/>
          <w:b/>
          <w:bCs/>
          <w:color w:val="ED232A"/>
          <w:spacing w:val="60"/>
          <w:sz w:val="22"/>
          <w:szCs w:val="22"/>
        </w:rPr>
        <w:t xml:space="preserve">MODEL / TRAINING-STAGE BIASES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5.  </w:t>
            </w:r>
            <w:r>
              <w:rPr>
                <w:rFonts w:ascii="Calibri" w:cs="Calibri" w:eastAsia="Calibri" w:hAnsi="Calibri"/>
                <w:b/>
                <w:bCs/>
                <w:color w:val="FFFFFF"/>
                <w:sz w:val="24"/>
                <w:szCs w:val="24"/>
              </w:rPr>
              <w:t xml:space="preserve">Algorithmic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The choice of optimisation objective itself disadvantages someone. Optimising overall accuracy on a dataset where 95% are one group inherently rewards the model for ignoring the 5% — it can be “95% accurate” and useless for the minority.</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Look beyond aggregate accuracy. Compute false-positive and false-negative rates per subgroup. Check whether the model’s loss function explicitly accounts for fairness constraints.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Switch from accuracy to balanced metrics; add fairness constraints (equal opportunity, demographic parity) to the loss; use techniques like adversarial debiasing or re-weighted loss.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6.  </w:t>
            </w:r>
            <w:r>
              <w:rPr>
                <w:rFonts w:ascii="Calibri" w:cs="Calibri" w:eastAsia="Calibri" w:hAnsi="Calibri"/>
                <w:b/>
                <w:bCs/>
                <w:color w:val="FFFFFF"/>
                <w:sz w:val="24"/>
                <w:szCs w:val="24"/>
              </w:rPr>
              <w:t xml:space="preserve">Evaluation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The benchmark used to judge whether a model is “good” doesn’t reflect the population the model will face in production. The model passes evaluation, fails real users.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Inspect benchmark composition. Does it match deployment-population demographics? Build a “red-team” test set drawn from underrepresented segments and check the model’s scores there.</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Construct deployment-representative evaluation sets; report subgroup metrics in every model release; treat any drop on minority slices as a release-blocking signal.</w:t>
            </w:r>
          </w:p>
        </w:tc>
      </w:tr>
    </w:tbl>
    <w:p>
      <w:pPr>
        <w:spacing w:after="60" w:before="60"/>
      </w:pPr>
      <w:r>
        <w:t xml:space="preserve"> </w:t>
      </w:r>
    </w:p>
    <w:p>
      <w:pPr>
        <w:spacing w:after="80" w:before="160"/>
      </w:pPr>
      <w:r>
        <w:rPr>
          <w:rFonts w:ascii="Calibri" w:cs="Calibri" w:eastAsia="Calibri" w:hAnsi="Calibri"/>
          <w:b/>
          <w:bCs/>
          <w:color w:val="ED232A"/>
          <w:spacing w:val="60"/>
          <w:sz w:val="22"/>
          <w:szCs w:val="22"/>
        </w:rPr>
        <w:t xml:space="preserve">DEPLOYMENT / INTERACTION-STAGE BIASES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7.  </w:t>
            </w:r>
            <w:r>
              <w:rPr>
                <w:rFonts w:ascii="Calibri" w:cs="Calibri" w:eastAsia="Calibri" w:hAnsi="Calibri"/>
                <w:b/>
                <w:bCs/>
                <w:color w:val="FFFFFF"/>
                <w:sz w:val="24"/>
                <w:szCs w:val="24"/>
              </w:rPr>
              <w:t xml:space="preserve">Confirmation bias (user-side)</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Users accept AI outputs that match their priors and override ones that don’t. Over time, the system as a whole — model plus user — becomes biased even if the model alone is fair.</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Track override patterns. If users override the model in one direction far more than the other, confirmation bias is at work. Survey users on perceived AI confidence by output.</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Force consideration of dissenting outputs (“you are about to override — reason?”); show the model’s confidence and the alternatives explicitly; rotate decision panels.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8.  </w:t>
            </w:r>
            <w:r>
              <w:rPr>
                <w:rFonts w:ascii="Calibri" w:cs="Calibri" w:eastAsia="Calibri" w:hAnsi="Calibri"/>
                <w:b/>
                <w:bCs/>
                <w:color w:val="FFFFFF"/>
                <w:sz w:val="24"/>
                <w:szCs w:val="24"/>
              </w:rPr>
              <w:t xml:space="preserve">Automation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Users over-trust AI output simply because it’s machine-generated, including when it’s wrong. Particularly dangerous in clinical, credit, and compliance settings.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Set up shadow audits where humans decide independently first, then see the AI’s answer. Compare divergences. Track how often the AI’s wrong answer was accepted vs caught.</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Calibrated confidence displays; require human reasoning to be entered before the AI’s output is shown; high-stakes decisions go through HITL review with explicit “do you agree, and why” capture.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9.  </w:t>
            </w:r>
            <w:r>
              <w:rPr>
                <w:rFonts w:ascii="Calibri" w:cs="Calibri" w:eastAsia="Calibri" w:hAnsi="Calibri"/>
                <w:b/>
                <w:bCs/>
                <w:color w:val="FFFFFF"/>
                <w:sz w:val="24"/>
                <w:szCs w:val="24"/>
              </w:rPr>
              <w:t xml:space="preserve">Feedback-loop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The model’s outputs become tomorrow’s training data. Whatever bias was in version 1 is amplified in version 2, then version 3 — a slow drift that’s very hard to spot from inside the system.</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Compare model behaviour over successive retraining cycles on a frozen, externally-curated test set. Drift on subgroup metrics across versions is the tell.</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Hold out training data from production outputs (or weight it down); retrain on the original ground-truth distribution periodically; introduce diverse exploration to break loops.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10.  </w:t>
            </w:r>
            <w:r>
              <w:rPr>
                <w:rFonts w:ascii="Calibri" w:cs="Calibri" w:eastAsia="Calibri" w:hAnsi="Calibri"/>
                <w:b/>
                <w:bCs/>
                <w:color w:val="FFFFFF"/>
                <w:sz w:val="24"/>
                <w:szCs w:val="24"/>
              </w:rPr>
              <w:t xml:space="preserve">Anchoring / framing bias (GenAI-specific)</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The output of a generative model is heavily skewed by how the prompt was phrased — not by what was asked. Asking “why is X risky” and “why is X safe” can return contradictory but equally confident answers.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A/B-test prompts that frame the same question differently. If outputs swing materially, anchoring is at work. Particularly visible in opinion-style or sentiment outputs.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Use neutral, structured prompts (CRAFT helps here); always check the inverse phrasing of any consequential prompt; treat single-prompt outputs as drafts, not conclusions.</w:t>
            </w:r>
          </w:p>
        </w:tc>
      </w:tr>
    </w:tbl>
    <w:p>
      <w:pPr>
        <w:spacing w:after="60" w:before="60"/>
      </w:pPr>
      <w:r>
        <w:t xml:space="preserve"> </w:t>
      </w:r>
    </w:p>
    <w:p>
      <w:r>
        <w:br w:type="page"/>
      </w:r>
    </w:p>
    <w:p>
      <w:pPr>
        <w:pBdr>
          <w:bottom w:val="single" w:color="ED232A" w:sz="6" w:space="4"/>
        </w:pBdr>
        <w:spacing w:after="120" w:before="320"/>
      </w:pPr>
      <w:r>
        <w:rPr>
          <w:rFonts w:ascii="Calibri" w:cs="Calibri" w:eastAsia="Calibri" w:hAnsi="Calibri"/>
          <w:b/>
          <w:bCs/>
          <w:color w:val="0E3D6E"/>
          <w:sz w:val="28"/>
          <w:szCs w:val="28"/>
        </w:rPr>
        <w:t xml:space="preserve">Part 2 · Societal / human-attribute biases.</w:t>
      </w:r>
    </w:p>
    <w:p>
      <w:pPr>
        <w:spacing w:after="200" w:before="0" w:line="300"/>
        <w:jc w:val="left"/>
      </w:pPr>
      <w:r>
        <w:rPr>
          <w:rFonts w:ascii="Calibri" w:cs="Calibri" w:eastAsia="Calibri" w:hAnsi="Calibri"/>
          <w:i/>
          <w:iCs/>
          <w:color w:val="5C6470"/>
          <w:sz w:val="22"/>
          <w:szCs w:val="22"/>
        </w:rPr>
        <w:t xml:space="preserve">These are biases organised by the human attribute that gets unfairly treated. They surface in pipeline biases (Part 1) but are worth listing in their own right because they’re what regulators and customers actually feel.</w:t>
      </w:r>
    </w:p>
    <w:p>
      <w:pPr>
        <w:spacing w:after="80" w:before="160"/>
      </w:pPr>
      <w:r>
        <w:rPr>
          <w:rFonts w:ascii="Calibri" w:cs="Calibri" w:eastAsia="Calibri" w:hAnsi="Calibri"/>
          <w:b/>
          <w:bCs/>
          <w:color w:val="ED232A"/>
          <w:spacing w:val="60"/>
          <w:sz w:val="22"/>
          <w:szCs w:val="22"/>
        </w:rPr>
        <w:t xml:space="preserve">IDENTITY-BASED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11.  </w:t>
            </w:r>
            <w:r>
              <w:rPr>
                <w:rFonts w:ascii="Calibri" w:cs="Calibri" w:eastAsia="Calibri" w:hAnsi="Calibri"/>
                <w:b/>
                <w:bCs/>
                <w:color w:val="FFFFFF"/>
                <w:sz w:val="24"/>
                <w:szCs w:val="24"/>
              </w:rPr>
              <w:t xml:space="preserve">Gender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Output that systematically favours or disadvantages one gender, including non-binary erasure. Resume screeners that down-rank “women’s college” are a classic example. Image generators that default to male doctors, female nurses are another.</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Counterfactual testing: change only the gender on otherwise-identical inputs and check for output divergence. Audit image generation prompts for occupation stereotypes.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Gender-neutralise inputs at preprocessing; train on counterfactual pairs; explicitly de-bias output via constrained decoding; refuse occupation-gender associations in image models.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12.  </w:t>
            </w:r>
            <w:r>
              <w:rPr>
                <w:rFonts w:ascii="Calibri" w:cs="Calibri" w:eastAsia="Calibri" w:hAnsi="Calibri"/>
                <w:b/>
                <w:bCs/>
                <w:color w:val="FFFFFF"/>
                <w:sz w:val="24"/>
                <w:szCs w:val="24"/>
              </w:rPr>
              <w:t xml:space="preserve">Racial / ethnic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Different outcomes for inputs that differ only in racial or ethnic markers (names, photos, language). Documented across face-recognition, sentencing-prediction, and credit-decision systems.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Subgroup performance audits across racial categories; counterfactual name-substitution tests; check disparate-impact ratios (the 80% rule).</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Diverse training data; demographic-parity or equal-opportunity constraints; refuse-to-answer in racially-sensitive contexts; mandatory HITL for high-stakes decisions.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13.  </w:t>
            </w:r>
            <w:r>
              <w:rPr>
                <w:rFonts w:ascii="Calibri" w:cs="Calibri" w:eastAsia="Calibri" w:hAnsi="Calibri"/>
                <w:b/>
                <w:bCs/>
                <w:color w:val="FFFFFF"/>
                <w:sz w:val="24"/>
                <w:szCs w:val="24"/>
              </w:rPr>
              <w:t xml:space="preserve">Caste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Particularly relevant in the Indian context and rarely surfaced in Western AI literature. Surnames, locations, occupational lineage and even education history all carry caste signal that models can pick up and act on.</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Audit feature importance for surname, PIN code, occupation tokens. Counterfactual-test by substituting names across caste-associated patterns.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Strip caste-correlated features where lawfully possible; document which features were retained for a defensible reason; demographic audits including caste indicators; legal review.</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14.  </w:t>
            </w:r>
            <w:r>
              <w:rPr>
                <w:rFonts w:ascii="Calibri" w:cs="Calibri" w:eastAsia="Calibri" w:hAnsi="Calibri"/>
                <w:b/>
                <w:bCs/>
                <w:color w:val="FFFFFF"/>
                <w:sz w:val="24"/>
                <w:szCs w:val="24"/>
              </w:rPr>
              <w:t xml:space="preserve">Age bias (ageism)</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Affects both younger and older cohorts. Hiring models that down-rank candidates with long careers; credit models that under-serve seniors with thin recent activity; voice assistants that misrecognise older users’ speech.</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Age-stratified performance audits. Check for non-linear effects, especially at the extremes (under-25, over-60).</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Include age-diverse training data; remove direct age proxies (graduation year, retirement status) where the use case allows; subgroup performance gates.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15.  </w:t>
            </w:r>
            <w:r>
              <w:rPr>
                <w:rFonts w:ascii="Calibri" w:cs="Calibri" w:eastAsia="Calibri" w:hAnsi="Calibri"/>
                <w:b/>
                <w:bCs/>
                <w:color w:val="FFFFFF"/>
                <w:sz w:val="24"/>
                <w:szCs w:val="24"/>
              </w:rPr>
              <w:t xml:space="preserve">Disability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Physical, cognitive and neurodivergent users disadvantaged. Speech models that penalise stutters; vision models that fail on assistive devices; productivity scoring that penalises accommodation needs.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Test with input from users with disabilities. Audit speech recognition WER by accent and disfluency. Check assistive-tech-compatible flows end-to-end.</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Inclusive training data; explicit accessibility evaluation gates; co-design with disability-rights groups; never use AI scoring as the sole gate for accommodation requests.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16.  </w:t>
            </w:r>
            <w:r>
              <w:rPr>
                <w:rFonts w:ascii="Calibri" w:cs="Calibri" w:eastAsia="Calibri" w:hAnsi="Calibri"/>
                <w:b/>
                <w:bCs/>
                <w:color w:val="FFFFFF"/>
                <w:sz w:val="24"/>
                <w:szCs w:val="24"/>
              </w:rPr>
              <w:t xml:space="preserve">Sexual-orientation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Outputs that disadvantage non-heterosexual users, often via assumptions about family structure or relationship pattern. Recommendation engines and content moderation are common offenders.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Counterfactual testing on relationship-related inputs; review content-moderation flags for LGBTQ+ over-flagging.</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Diverse training data; bias-aware content moderation; remove orientation proxies from non-relevant pipelines.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17.  </w:t>
            </w:r>
            <w:r>
              <w:rPr>
                <w:rFonts w:ascii="Calibri" w:cs="Calibri" w:eastAsia="Calibri" w:hAnsi="Calibri"/>
                <w:b/>
                <w:bCs/>
                <w:color w:val="FFFFFF"/>
                <w:sz w:val="24"/>
                <w:szCs w:val="24"/>
              </w:rPr>
              <w:t xml:space="preserve">Body / appearance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Weight, height, skin tone, facial features. Image-generation models systematically associating “professional” or “trustworthy” with conventional Western beauty standards.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Run image-generation prompts for occupations and personality traits; analyse the demographic distribution of outputs.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Diverse training data; constrained generation; explicit prompts that override defaults; refuse to associate appearance with character traits.</w:t>
            </w:r>
          </w:p>
        </w:tc>
      </w:tr>
    </w:tbl>
    <w:p>
      <w:pPr>
        <w:spacing w:after="60" w:before="60"/>
      </w:pPr>
      <w:r>
        <w:t xml:space="preserve"> </w:t>
      </w:r>
    </w:p>
    <w:p>
      <w:pPr>
        <w:spacing w:after="80" w:before="160"/>
      </w:pPr>
      <w:r>
        <w:rPr>
          <w:rFonts w:ascii="Calibri" w:cs="Calibri" w:eastAsia="Calibri" w:hAnsi="Calibri"/>
          <w:b/>
          <w:bCs/>
          <w:color w:val="ED232A"/>
          <w:spacing w:val="60"/>
          <w:sz w:val="22"/>
          <w:szCs w:val="22"/>
        </w:rPr>
        <w:t xml:space="preserve">GEOGRAPHIC &amp; CULTURAL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18.  </w:t>
            </w:r>
            <w:r>
              <w:rPr>
                <w:rFonts w:ascii="Calibri" w:cs="Calibri" w:eastAsia="Calibri" w:hAnsi="Calibri"/>
                <w:b/>
                <w:bCs/>
                <w:color w:val="FFFFFF"/>
                <w:sz w:val="24"/>
                <w:szCs w:val="24"/>
              </w:rPr>
              <w:t xml:space="preserve">Geographic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Urban vs rural, metro vs tier-2/3, country-of-origin. PIN-code-driven exclusion in credit models is the most visible example in Indian banking — borderline redlining.</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Audit approval rates and pricing by PIN code, district, state. Compare against actual default-rate evidence.</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Remove or strictly justify geographic features; use behaviour-based features instead of location proxies; conduct redlining audits; document business rationale for any geography-based decision.</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19.  </w:t>
            </w:r>
            <w:r>
              <w:rPr>
                <w:rFonts w:ascii="Calibri" w:cs="Calibri" w:eastAsia="Calibri" w:hAnsi="Calibri"/>
                <w:b/>
                <w:bCs/>
                <w:color w:val="FFFFFF"/>
                <w:sz w:val="24"/>
                <w:szCs w:val="24"/>
              </w:rPr>
              <w:t xml:space="preserve">Linguistic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English-default behaviour, accent discrimination, poor handling of code-mixed languages (Hinglish, Tanglish), dialect penalties. Customer queries in Hindi or regional languages routinely receive shorter, lower-quality responses than English ones.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Test the same query in multiple languages and compare response length, accuracy, and tone. Track CSAT split by language.</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Multilingual training data; explicit per-language quality gates; route low-confidence non-English queries to human agents; never use English performance as the only benchmark.</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20.  </w:t>
            </w:r>
            <w:r>
              <w:rPr>
                <w:rFonts w:ascii="Calibri" w:cs="Calibri" w:eastAsia="Calibri" w:hAnsi="Calibri"/>
                <w:b/>
                <w:bCs/>
                <w:color w:val="FFFFFF"/>
                <w:sz w:val="24"/>
                <w:szCs w:val="24"/>
              </w:rPr>
              <w:t xml:space="preserve">Cultural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Western-default norms in names, naming order, family structures, holidays, food. Forms that fail on multi-word surnames; assistants that don’t recognise joint-family relationships.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Test with culturally diverse names and family structures. Inspect outputs for cultural-defaulting (e.g., assuming Christmas as “the holiday”).</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Locale-aware training; explicit cultural-context prompts; co-design with target-market users; reject outputs that impose alien defaults.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21.  </w:t>
            </w:r>
            <w:r>
              <w:rPr>
                <w:rFonts w:ascii="Calibri" w:cs="Calibri" w:eastAsia="Calibri" w:hAnsi="Calibri"/>
                <w:b/>
                <w:bCs/>
                <w:color w:val="FFFFFF"/>
                <w:sz w:val="24"/>
                <w:szCs w:val="24"/>
              </w:rPr>
              <w:t xml:space="preserve">National / regional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Models trained predominantly on text from a few dominant nations privilege their narratives, sources, and norms. A Western-trained model summarising “global” news will overweight a few capitals.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Audit source distribution in training data and in retrieved sources. Check whether “global” outputs actually represent the globe.</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Diversify retrieval and training corpora; explicit source-balance constraints; audit and report source distribution in any synthesis output.</w:t>
            </w:r>
          </w:p>
        </w:tc>
      </w:tr>
    </w:tbl>
    <w:p>
      <w:pPr>
        <w:spacing w:after="60" w:before="60"/>
      </w:pPr>
      <w:r>
        <w:t xml:space="preserve"> </w:t>
      </w:r>
    </w:p>
    <w:p>
      <w:pPr>
        <w:spacing w:after="80" w:before="160"/>
      </w:pPr>
      <w:r>
        <w:rPr>
          <w:rFonts w:ascii="Calibri" w:cs="Calibri" w:eastAsia="Calibri" w:hAnsi="Calibri"/>
          <w:b/>
          <w:bCs/>
          <w:color w:val="ED232A"/>
          <w:spacing w:val="60"/>
          <w:sz w:val="22"/>
          <w:szCs w:val="22"/>
        </w:rPr>
        <w:t xml:space="preserve">BELIEF &amp;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22.  </w:t>
            </w:r>
            <w:r>
              <w:rPr>
                <w:rFonts w:ascii="Calibri" w:cs="Calibri" w:eastAsia="Calibri" w:hAnsi="Calibri"/>
                <w:b/>
                <w:bCs/>
                <w:color w:val="FFFFFF"/>
                <w:sz w:val="24"/>
                <w:szCs w:val="24"/>
              </w:rPr>
              <w:t xml:space="preserve">Religious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Both representational (over-/under-coverage of faiths) and evaluative (negative associations with specific religions). Sanction-screening and KYC models disproportionately flagging certain names is a common, regulated harm.</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Counterfactual name testing across religious associations. Audit flag rates by religious-name signal.</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Strict scrutiny of any religion-correlated feature; periodic disparate-impact audit; mandatory human review for sanction flags; legal sign-off on sanction logic.</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23.  </w:t>
            </w:r>
            <w:r>
              <w:rPr>
                <w:rFonts w:ascii="Calibri" w:cs="Calibri" w:eastAsia="Calibri" w:hAnsi="Calibri"/>
                <w:b/>
                <w:bCs/>
                <w:color w:val="FFFFFF"/>
                <w:sz w:val="24"/>
                <w:szCs w:val="24"/>
              </w:rPr>
              <w:t xml:space="preserve">Political / ideological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Left/right skew, party-affiliation effects. Critical for content moderation, recommendation, and any system that handles civic content.</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A/B test outputs across politically-balanced inputs. Run external audits with bipartisan teams.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Source-balanced training data; explicit neutrality constraints in generation; transparent moderation policies; user-controllable feeds where appropriate.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24.  </w:t>
            </w:r>
            <w:r>
              <w:rPr>
                <w:rFonts w:ascii="Calibri" w:cs="Calibri" w:eastAsia="Calibri" w:hAnsi="Calibri"/>
                <w:b/>
                <w:bCs/>
                <w:color w:val="FFFFFF"/>
                <w:sz w:val="24"/>
                <w:szCs w:val="24"/>
              </w:rPr>
              <w:t xml:space="preserve">Ideological bias on contested issues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Abortion, immigration, gun policy, climate-change framing. Models often pick up the dominant framing of their training corpus and present it as neutral.</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Test each contested issue from both sides; compare framing, hedging, and certainty levels.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Train models to present multiple legitimate perspectives; refuse strong opinion on contested civic topics; explicit “this is contested” framing.</w:t>
            </w:r>
          </w:p>
        </w:tc>
      </w:tr>
    </w:tbl>
    <w:p>
      <w:pPr>
        <w:spacing w:after="60" w:before="60"/>
      </w:pPr>
      <w:r>
        <w:t xml:space="preserve"> </w:t>
      </w:r>
    </w:p>
    <w:p>
      <w:pPr>
        <w:spacing w:after="80" w:before="160"/>
      </w:pPr>
      <w:r>
        <w:rPr>
          <w:rFonts w:ascii="Calibri" w:cs="Calibri" w:eastAsia="Calibri" w:hAnsi="Calibri"/>
          <w:b/>
          <w:bCs/>
          <w:color w:val="ED232A"/>
          <w:spacing w:val="60"/>
          <w:sz w:val="22"/>
          <w:szCs w:val="22"/>
        </w:rPr>
        <w:t xml:space="preserve">SOCIOECONOMIC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25.  </w:t>
            </w:r>
            <w:r>
              <w:rPr>
                <w:rFonts w:ascii="Calibri" w:cs="Calibri" w:eastAsia="Calibri" w:hAnsi="Calibri"/>
                <w:b/>
                <w:bCs/>
                <w:color w:val="FFFFFF"/>
                <w:sz w:val="24"/>
                <w:szCs w:val="24"/>
              </w:rPr>
              <w:t xml:space="preserve">Class / socioeconomic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Income, education level, occupation prestige. Models can disadvantage gig workers, blue-collar professions, and the informal economy by treating them as outliers.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Subgroup audits by income decile, occupation category, employment type (formal/informal). Check approval rates and pricing.</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Alternative-data signals for thin-file applicants; subgroup performance gates; explicit constraints around occupation-based pricing.</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26.  </w:t>
            </w:r>
            <w:r>
              <w:rPr>
                <w:rFonts w:ascii="Calibri" w:cs="Calibri" w:eastAsia="Calibri" w:hAnsi="Calibri"/>
                <w:b/>
                <w:bCs/>
                <w:color w:val="FFFFFF"/>
                <w:sz w:val="24"/>
                <w:szCs w:val="24"/>
              </w:rPr>
              <w:t xml:space="preserve">Educational-pedigree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Tier-1 vs tier-2/3 college signal in resume screening, lending, even credit-card pricing. The model learns historical correlations and reinforces them.</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Counterfactual testing by college name. Compare outcomes for tier-1 vs tier-2 alumni with otherwise identical profiles.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Remove college-name as a feature where the use case allows; use skill-based signals instead; document any pedigree-based decision and its business rationale.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27.  </w:t>
            </w:r>
            <w:r>
              <w:rPr>
                <w:rFonts w:ascii="Calibri" w:cs="Calibri" w:eastAsia="Calibri" w:hAnsi="Calibri"/>
                <w:b/>
                <w:bCs/>
                <w:color w:val="FFFFFF"/>
                <w:sz w:val="24"/>
                <w:szCs w:val="24"/>
              </w:rPr>
              <w:t xml:space="preserve">Digital-access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People who leave less digital footprint — rural users, older users, the under-banked — get worse predictions because the model has thinner evidence on them and treats absence-of-data as risk.</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Audit model performance by digital-footprint thickness. Are thin-data users disproportionately denied or up-priced?</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Alternative data sources (utility, telco, agri); explicit “thin-file” pathway with relaxed evidence thresholds; mandatory human review for thin-data denials.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28.  </w:t>
            </w:r>
            <w:r>
              <w:rPr>
                <w:rFonts w:ascii="Calibri" w:cs="Calibri" w:eastAsia="Calibri" w:hAnsi="Calibri"/>
                <w:b/>
                <w:bCs/>
                <w:color w:val="FFFFFF"/>
                <w:sz w:val="24"/>
                <w:szCs w:val="24"/>
              </w:rPr>
              <w:t xml:space="preserve">Name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Outcomes that change just because the name on the application changes — even when nothing else does. Documented in resume screening, image generation, and KYC flag rates.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Counterfactual name-substitution tests are the gold standard. Substitute names across communities and compare outcomes.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Where lawful, mask names from features used in scoring; tightly audit any pipeline where the name reaches the model; mandatory disparate-impact review.</w:t>
            </w:r>
          </w:p>
        </w:tc>
      </w:tr>
    </w:tbl>
    <w:p>
      <w:pPr>
        <w:spacing w:after="60" w:before="60"/>
      </w:pPr>
      <w:r>
        <w:t xml:space="preserve"> </w:t>
      </w:r>
    </w:p>
    <w:p>
      <w:pPr>
        <w:spacing w:after="80" w:before="160"/>
      </w:pPr>
      <w:r>
        <w:rPr>
          <w:rFonts w:ascii="Calibri" w:cs="Calibri" w:eastAsia="Calibri" w:hAnsi="Calibri"/>
          <w:b/>
          <w:bCs/>
          <w:color w:val="ED232A"/>
          <w:spacing w:val="60"/>
          <w:sz w:val="22"/>
          <w:szCs w:val="22"/>
        </w:rPr>
        <w:t xml:space="preserve">FAMILY &amp;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29.  </w:t>
            </w:r>
            <w:r>
              <w:rPr>
                <w:rFonts w:ascii="Calibri" w:cs="Calibri" w:eastAsia="Calibri" w:hAnsi="Calibri"/>
                <w:b/>
                <w:bCs/>
                <w:color w:val="FFFFFF"/>
                <w:sz w:val="24"/>
                <w:szCs w:val="24"/>
              </w:rPr>
              <w:t xml:space="preserve">Marital-status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Outputs that change based on whether someone is married, divorced, or widowed. Common in lending and insurance underwriting.</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Counterfactual marital-status tests on otherwise identical applications; audit pricing and approval rates by status.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Remove or strictly justify marital-status features; subgroup audits; explicit business case required for any status-based differentiation.</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30.  </w:t>
            </w:r>
            <w:r>
              <w:rPr>
                <w:rFonts w:ascii="Calibri" w:cs="Calibri" w:eastAsia="Calibri" w:hAnsi="Calibri"/>
                <w:b/>
                <w:bCs/>
                <w:color w:val="FFFFFF"/>
                <w:sz w:val="24"/>
                <w:szCs w:val="24"/>
              </w:rPr>
              <w:t xml:space="preserve">Parental-status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Particularly affects working women in employment and lending models. Career-gap penalties act as a hidden parental-status signal.</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Counterfactual testing for career gaps; audit outcomes by gender + career-gap intersection.</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Skill-recency signals instead of continuous-employment signals; mandatory subgroup performance gates; explicit removal of “career break” as a negative feature.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31.  </w:t>
            </w:r>
            <w:r>
              <w:rPr>
                <w:rFonts w:ascii="Calibri" w:cs="Calibri" w:eastAsia="Calibri" w:hAnsi="Calibri"/>
                <w:b/>
                <w:bCs/>
                <w:color w:val="FFFFFF"/>
                <w:sz w:val="24"/>
                <w:szCs w:val="24"/>
              </w:rPr>
              <w:t xml:space="preserve">Household-structure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Assumptions of nuclear family vs joint family vs single-parent households. Models built for one structure systematically misjudge the others.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Test with diverse household-structure inputs. Check fields, forms, and assistant flows for nuclear-family defaults.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Locale-aware data collection; flexible household-structure inputs; co-design with target users.</w:t>
            </w:r>
          </w:p>
        </w:tc>
      </w:tr>
    </w:tbl>
    <w:p>
      <w:pPr>
        <w:spacing w:after="60" w:before="60"/>
      </w:pPr>
      <w:r>
        <w:t xml:space="preserve"> </w:t>
      </w:r>
    </w:p>
    <w:p>
      <w:pPr>
        <w:spacing w:after="80" w:before="160"/>
      </w:pPr>
      <w:r>
        <w:rPr>
          <w:rFonts w:ascii="Calibri" w:cs="Calibri" w:eastAsia="Calibri" w:hAnsi="Calibri"/>
          <w:b/>
          <w:bCs/>
          <w:color w:val="ED232A"/>
          <w:spacing w:val="60"/>
          <w:sz w:val="22"/>
          <w:szCs w:val="22"/>
        </w:rPr>
        <w:t xml:space="preserve">SUBTLE BUT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32.  </w:t>
            </w:r>
            <w:r>
              <w:rPr>
                <w:rFonts w:ascii="Calibri" w:cs="Calibri" w:eastAsia="Calibri" w:hAnsi="Calibri"/>
                <w:b/>
                <w:bCs/>
                <w:color w:val="FFFFFF"/>
                <w:sz w:val="24"/>
                <w:szCs w:val="24"/>
              </w:rPr>
              <w:t xml:space="preserve">Beauty / attractiveness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Image models systematically equating “professional” or “trustworthy” with conventional Western beauty standards. Hiring video-screening tools have repeatedly been caught here.</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Generate images for trait prompts (“trustworthy CEO”, “attractive applicant”) and analyse demographic distribution.</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Refuse appearance-trait associations; constrained generation; never use beauty-derived features in any consequential decision.</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33.  </w:t>
            </w:r>
            <w:r>
              <w:rPr>
                <w:rFonts w:ascii="Calibri" w:cs="Calibri" w:eastAsia="Calibri" w:hAnsi="Calibri"/>
                <w:b/>
                <w:bCs/>
                <w:color w:val="FFFFFF"/>
                <w:sz w:val="24"/>
                <w:szCs w:val="24"/>
              </w:rPr>
              <w:t xml:space="preserve">Voice / speech-pattern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Speech models penalising stutters, non-native accents, AAVE. Voice biometrics may fail on demographic groups underrepresented in training.</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Test speech recognition WER by accent, disfluency, dialect. Audit voice-bio false-reject rates by demographic.</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Diverse speech training data; accent-aware models; never use voice biometrics as a sole gate for high-stakes flows.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34.  </w:t>
            </w:r>
            <w:r>
              <w:rPr>
                <w:rFonts w:ascii="Calibri" w:cs="Calibri" w:eastAsia="Calibri" w:hAnsi="Calibri"/>
                <w:b/>
                <w:bCs/>
                <w:color w:val="FFFFFF"/>
                <w:sz w:val="24"/>
                <w:szCs w:val="24"/>
              </w:rPr>
              <w:t xml:space="preserve">Health-status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Assumptions about productivity, risk, or character based on health history. Critical in insurance, hiring, and lending.</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Audit decisions involving health-related features. Check disparate impact on chronic-condition cohorts.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Strict separation of health data from non-health pipelines; legal review of any health-feature use; HITL for any health-influenced decision.</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35.  </w:t>
            </w:r>
            <w:r>
              <w:rPr>
                <w:rFonts w:ascii="Calibri" w:cs="Calibri" w:eastAsia="Calibri" w:hAnsi="Calibri"/>
                <w:b/>
                <w:bCs/>
                <w:color w:val="FFFFFF"/>
                <w:sz w:val="24"/>
                <w:szCs w:val="24"/>
              </w:rPr>
              <w:t xml:space="preserve">Veteran / military-service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Effects vary across geographies and can swing positive or negative. Worth auditing in HR and lending models that pick up military-service signal.</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Counterfactual testing on service indicators; audit outcomes for veteran cohorts.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Remove or justify veteran-status features; subgroup audits; explicit policy for any service-related differentiation.</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36.  </w:t>
            </w:r>
            <w:r>
              <w:rPr>
                <w:rFonts w:ascii="Calibri" w:cs="Calibri" w:eastAsia="Calibri" w:hAnsi="Calibri"/>
                <w:b/>
                <w:bCs/>
                <w:color w:val="FFFFFF"/>
                <w:sz w:val="24"/>
                <w:szCs w:val="24"/>
              </w:rPr>
              <w:t xml:space="preserve">Criminal-record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Including for arrests without conviction or for expunged records that resurface in scraped data. A heavy-footprint bias with severe individual consequences.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Audit feature lineage for any criminal-record signal. Check whether expunged or arrest-only records reach scoring.</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Strict provenance controls on criminal-record data; legal review; never use arrest-only records in scoring; transparent applicant-rights process.</w:t>
            </w:r>
          </w:p>
        </w:tc>
      </w:tr>
    </w:tbl>
    <w:p>
      <w:pPr>
        <w:spacing w:after="60" w:before="60"/>
      </w:pPr>
      <w:r>
        <w:t xml:space="preserve"> </w:t>
      </w:r>
    </w:p>
    <w:p>
      <w:r>
        <w:br w:type="page"/>
      </w:r>
    </w:p>
    <w:p>
      <w:pPr>
        <w:pBdr>
          <w:bottom w:val="single" w:color="ED232A" w:sz="6" w:space="4"/>
        </w:pBdr>
        <w:spacing w:after="120" w:before="320"/>
      </w:pPr>
      <w:r>
        <w:rPr>
          <w:rFonts w:ascii="Calibri" w:cs="Calibri" w:eastAsia="Calibri" w:hAnsi="Calibri"/>
          <w:b/>
          <w:bCs/>
          <w:color w:val="0E3D6E"/>
          <w:sz w:val="28"/>
          <w:szCs w:val="28"/>
        </w:rPr>
        <w:t xml:space="preserve">Part 3 · Meta-biases.</w:t>
      </w:r>
    </w:p>
    <w:p>
      <w:pPr>
        <w:spacing w:after="200" w:before="0" w:line="300"/>
        <w:jc w:val="left"/>
      </w:pPr>
      <w:r>
        <w:rPr>
          <w:rFonts w:ascii="Calibri" w:cs="Calibri" w:eastAsia="Calibri" w:hAnsi="Calibri"/>
          <w:i/>
          <w:iCs/>
          <w:color w:val="5C6470"/>
          <w:sz w:val="22"/>
          <w:szCs w:val="22"/>
        </w:rPr>
        <w:t xml:space="preserve">Two patterns that don’t describe a new bias type but explain how the others compound or hide.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37.  </w:t>
            </w:r>
            <w:r>
              <w:rPr>
                <w:rFonts w:ascii="Calibri" w:cs="Calibri" w:eastAsia="Calibri" w:hAnsi="Calibri"/>
                <w:b/>
                <w:bCs/>
                <w:color w:val="FFFFFF"/>
                <w:sz w:val="24"/>
                <w:szCs w:val="24"/>
              </w:rPr>
              <w:t xml:space="preserve">Intersectional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Bias that only appears at the intersection of two attributes. A model can be fair for “women” overall and fair for “Black people” overall, but unfair for Black women specifically. Famously documented in the Gender Shades study on commercial face-recognition systems.</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Subgroup audits at intersections, not just on single attributes. Test all combinations of protected attributes that exist in the data.</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Intersectional fairness metrics in evaluation; intersectional-aware model training (e.g., reweighting joint distributions); never claim fairness based only on single-attribute audits.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0E3D6E" w:val="clear"/>
            <w:tcMar>
              <w:top w:type="dxa" w:w="120"/>
              <w:left w:type="dxa" w:w="160"/>
              <w:bottom w:type="dxa" w:w="120"/>
              <w:right w:type="dxa" w:w="160"/>
            </w:tcMar>
          </w:tcPr>
          <w:p>
            <w:r>
              <w:rPr>
                <w:rFonts w:ascii="Calibri" w:cs="Calibri" w:eastAsia="Calibri" w:hAnsi="Calibri"/>
                <w:b/>
                <w:bCs/>
                <w:color w:val="FFFFFF"/>
                <w:sz w:val="22"/>
                <w:szCs w:val="22"/>
              </w:rPr>
              <w:t xml:space="preserve">38.  </w:t>
            </w:r>
            <w:r>
              <w:rPr>
                <w:rFonts w:ascii="Calibri" w:cs="Calibri" w:eastAsia="Calibri" w:hAnsi="Calibri"/>
                <w:b/>
                <w:bCs/>
                <w:color w:val="FFFFFF"/>
                <w:sz w:val="24"/>
                <w:szCs w:val="24"/>
              </w:rPr>
              <w:t xml:space="preserve">Stereotyping bias</w:t>
            </w:r>
          </w:p>
        </w:tc>
      </w:tr>
      <w:tr>
        <w:tc>
          <w:tcPr>
            <w:tcW w:type="dxa" w:w="9360"/>
            <w:gridSpan w:val="2"/>
            <w:tcBorders>
              <w:top w:val="single" w:color="CCCCCC" w:sz="4"/>
              <w:left w:val="single" w:color="CCCCCC" w:sz="4"/>
              <w:bottom w:val="single" w:color="CCCCCC" w:sz="4"/>
              <w:right w:val="single" w:color="CCCCCC" w:sz="4"/>
            </w:tcBorders>
            <w:tcMar>
              <w:top w:type="dxa" w:w="120"/>
              <w:left w:type="dxa" w:w="160"/>
              <w:bottom w:type="dxa" w:w="100"/>
              <w:right w:type="dxa" w:w="160"/>
            </w:tcMar>
          </w:tcPr>
          <w:p>
            <w:pPr>
              <w:spacing w:after="0" w:line="290"/>
            </w:pPr>
            <w:r>
              <w:rPr>
                <w:rFonts w:ascii="Calibri" w:cs="Calibri" w:eastAsia="Calibri" w:hAnsi="Calibri"/>
                <w:b/>
                <w:bCs/>
                <w:color w:val="0E3D6E"/>
                <w:sz w:val="20"/>
                <w:szCs w:val="20"/>
              </w:rPr>
              <w:t xml:space="preserve">What it is.  </w:t>
            </w:r>
            <w:r>
              <w:rPr>
                <w:rFonts w:ascii="Calibri" w:cs="Calibri" w:eastAsia="Calibri" w:hAnsi="Calibri"/>
                <w:color w:val="1F2937"/>
                <w:sz w:val="20"/>
                <w:szCs w:val="20"/>
              </w:rPr>
              <w:t xml:space="preserve">Where the model doesn’t refuse a group, it reliably associates them with reductive descriptors. Nurses=female, CEOs=male, criminals=specific ethnicities, terrorists=specific religions. Most visible in image generation and free-form text.</w:t>
            </w:r>
          </w:p>
        </w:tc>
      </w:tr>
      <w:tr>
        <w:tc>
          <w:tcPr>
            <w:tcW w:type="dxa" w:w="468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DETECT</w:t>
            </w:r>
          </w:p>
          <w:p>
            <w:pPr>
              <w:spacing w:after="0" w:line="280"/>
            </w:pPr>
            <w:r>
              <w:rPr>
                <w:rFonts w:ascii="Calibri" w:cs="Calibri" w:eastAsia="Calibri" w:hAnsi="Calibri"/>
                <w:color w:val="1F2937"/>
                <w:sz w:val="20"/>
                <w:szCs w:val="20"/>
              </w:rPr>
              <w:t xml:space="preserve">Run controlled prompts for occupations, traits, and roles; analyse demographic distribution of outputs.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pPr>
            <w:r>
              <w:rPr>
                <w:rFonts w:ascii="Calibri" w:cs="Calibri" w:eastAsia="Calibri" w:hAnsi="Calibri"/>
                <w:b/>
                <w:bCs/>
                <w:color w:val="ED232A"/>
                <w:spacing w:val="60"/>
                <w:sz w:val="16"/>
                <w:szCs w:val="16"/>
              </w:rPr>
              <w:t xml:space="preserve">HOW TO MITIGATE</w:t>
            </w:r>
          </w:p>
          <w:p>
            <w:pPr>
              <w:spacing w:after="0" w:line="280"/>
            </w:pPr>
            <w:r>
              <w:rPr>
                <w:rFonts w:ascii="Calibri" w:cs="Calibri" w:eastAsia="Calibri" w:hAnsi="Calibri"/>
                <w:color w:val="1F2937"/>
                <w:sz w:val="20"/>
                <w:szCs w:val="20"/>
              </w:rPr>
              <w:t xml:space="preserve">Constrained generation with diversity requirements; instruction-tuning with counterstereotype examples; refuse-to-answer for stereotype-confirming prompts.</w:t>
            </w:r>
          </w:p>
        </w:tc>
      </w:tr>
    </w:tbl>
    <w:p>
      <w:pPr>
        <w:spacing w:after="60" w:before="60"/>
      </w:pPr>
      <w:r>
        <w:t xml:space="preserve"> </w:t>
      </w:r>
    </w:p>
    <w:p>
      <w:r>
        <w:br w:type="page"/>
      </w:r>
    </w:p>
    <w:p>
      <w:pPr>
        <w:pBdr>
          <w:bottom w:val="single" w:color="ED232A" w:sz="6" w:space="4"/>
        </w:pBdr>
        <w:spacing w:after="120" w:before="320"/>
      </w:pPr>
      <w:r>
        <w:rPr>
          <w:rFonts w:ascii="Calibri" w:cs="Calibri" w:eastAsia="Calibri" w:hAnsi="Calibri"/>
          <w:b/>
          <w:bCs/>
          <w:color w:val="0E3D6E"/>
          <w:sz w:val="28"/>
          <w:szCs w:val="28"/>
        </w:rPr>
        <w:t xml:space="preserve">Part 4 · The HDFC shortlist.</w:t>
      </w:r>
    </w:p>
    <w:p>
      <w:pPr>
        <w:spacing w:after="200" w:before="0" w:line="300"/>
        <w:jc w:val="left"/>
      </w:pPr>
      <w:r>
        <w:rPr>
          <w:rFonts w:ascii="Calibri" w:cs="Calibri" w:eastAsia="Calibri" w:hAnsi="Calibri"/>
          <w:i/>
          <w:iCs/>
          <w:color w:val="5C6470"/>
          <w:sz w:val="22"/>
          <w:szCs w:val="22"/>
        </w:rPr>
        <w:t xml:space="preserve">Of the 38 entries above, six matter most for an Indian banking context — and those are the ones likely to surface in an internal audit, an RBI thematic review, or a customer ombudsman complaint. These are the ones a credit-policy, sales, or collections leader can be asked about and ought to have a clean answer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E3D6E" w:val="clear"/>
            <w:tcMar>
              <w:top w:type="dxa" w:w="100"/>
              <w:left w:type="dxa" w:w="160"/>
              <w:bottom w:type="dxa" w:w="100"/>
              <w:right w:type="dxa" w:w="160"/>
            </w:tcMar>
          </w:tcPr>
          <w:p>
            <w:r>
              <w:rPr>
                <w:rFonts w:ascii="Calibri" w:cs="Calibri" w:eastAsia="Calibri" w:hAnsi="Calibri"/>
                <w:b/>
                <w:bCs/>
                <w:color w:val="FFFFFF"/>
                <w:sz w:val="22"/>
                <w:szCs w:val="22"/>
              </w:rPr>
              <w:t xml:space="preserve">Bias</w:t>
            </w:r>
          </w:p>
        </w:tc>
        <w:tc>
          <w:tcPr>
            <w:tcW w:type="dxa" w:w="6360"/>
            <w:tcBorders>
              <w:top w:val="single" w:color="CCCCCC" w:sz="4"/>
              <w:left w:val="single" w:color="CCCCCC" w:sz="4"/>
              <w:bottom w:val="single" w:color="CCCCCC" w:sz="4"/>
              <w:right w:val="single" w:color="CCCCCC" w:sz="4"/>
            </w:tcBorders>
            <w:shd w:fill="0E3D6E" w:val="clear"/>
            <w:tcMar>
              <w:top w:type="dxa" w:w="100"/>
              <w:left w:type="dxa" w:w="160"/>
              <w:bottom w:type="dxa" w:w="100"/>
              <w:right w:type="dxa" w:w="160"/>
            </w:tcMar>
          </w:tcPr>
          <w:p>
            <w:r>
              <w:rPr>
                <w:rFonts w:ascii="Calibri" w:cs="Calibri" w:eastAsia="Calibri" w:hAnsi="Calibri"/>
                <w:b/>
                <w:bCs/>
                <w:color w:val="FFFFFF"/>
                <w:sz w:val="22"/>
                <w:szCs w:val="22"/>
              </w:rPr>
              <w:t xml:space="preserve">Why it matters in HDFC context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Calibri" w:cs="Calibri" w:eastAsia="Calibri" w:hAnsi="Calibri"/>
                <w:b/>
                <w:bCs/>
                <w:color w:val="0E3D6E"/>
                <w:sz w:val="22"/>
                <w:szCs w:val="22"/>
              </w:rPr>
              <w:t xml:space="preserve">Caste bias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Calibri" w:cs="Calibri" w:eastAsia="Calibri" w:hAnsi="Calibri"/>
                <w:color w:val="1F2937"/>
                <w:sz w:val="22"/>
                <w:szCs w:val="22"/>
              </w:rPr>
              <w:t xml:space="preserve">Surnames, PIN codes, and occupation history all carry caste signal. Models pick this up even when caste isn’t a feature.</w:t>
            </w:r>
          </w:p>
        </w:tc>
      </w:tr>
      <w:tr>
        <w:tc>
          <w:tcPr>
            <w:tcW w:type="dxa" w:w="300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r>
              <w:rPr>
                <w:rFonts w:ascii="Calibri" w:cs="Calibri" w:eastAsia="Calibri" w:hAnsi="Calibri"/>
                <w:b/>
                <w:bCs/>
                <w:color w:val="0E3D6E"/>
                <w:sz w:val="22"/>
                <w:szCs w:val="22"/>
              </w:rPr>
              <w:t xml:space="preserve">Geographic / PIN-code bias</w:t>
            </w:r>
          </w:p>
        </w:tc>
        <w:tc>
          <w:tcPr>
            <w:tcW w:type="dxa" w:w="636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r>
              <w:rPr>
                <w:rFonts w:ascii="Calibri" w:cs="Calibri" w:eastAsia="Calibri" w:hAnsi="Calibri"/>
                <w:color w:val="1F2937"/>
                <w:sz w:val="22"/>
                <w:szCs w:val="22"/>
              </w:rPr>
              <w:t xml:space="preserve">Borderline redlining if approval or pricing tracks PIN code beyond actual default evidence.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Calibri" w:cs="Calibri" w:eastAsia="Calibri" w:hAnsi="Calibri"/>
                <w:b/>
                <w:bCs/>
                <w:color w:val="0E3D6E"/>
                <w:sz w:val="22"/>
                <w:szCs w:val="22"/>
              </w:rPr>
              <w:t xml:space="preserve">Linguistic bias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Calibri" w:cs="Calibri" w:eastAsia="Calibri" w:hAnsi="Calibri"/>
                <w:color w:val="1F2937"/>
                <w:sz w:val="22"/>
                <w:szCs w:val="22"/>
              </w:rPr>
              <w:t xml:space="preserve">Hindi and regional-language customer queries getting worse responses than English ones.</w:t>
            </w:r>
          </w:p>
        </w:tc>
      </w:tr>
      <w:tr>
        <w:tc>
          <w:tcPr>
            <w:tcW w:type="dxa" w:w="300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r>
              <w:rPr>
                <w:rFonts w:ascii="Calibri" w:cs="Calibri" w:eastAsia="Calibri" w:hAnsi="Calibri"/>
                <w:b/>
                <w:bCs/>
                <w:color w:val="0E3D6E"/>
                <w:sz w:val="22"/>
                <w:szCs w:val="22"/>
              </w:rPr>
              <w:t xml:space="preserve">Religious / name bias</w:t>
            </w:r>
          </w:p>
        </w:tc>
        <w:tc>
          <w:tcPr>
            <w:tcW w:type="dxa" w:w="636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r>
              <w:rPr>
                <w:rFonts w:ascii="Calibri" w:cs="Calibri" w:eastAsia="Calibri" w:hAnsi="Calibri"/>
                <w:color w:val="1F2937"/>
                <w:sz w:val="22"/>
                <w:szCs w:val="22"/>
              </w:rPr>
              <w:t xml:space="preserve">Sanction-screening and KYC models disproportionately flagging Muslim or other minority names.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Calibri" w:cs="Calibri" w:eastAsia="Calibri" w:hAnsi="Calibri"/>
                <w:b/>
                <w:bCs/>
                <w:color w:val="0E3D6E"/>
                <w:sz w:val="22"/>
                <w:szCs w:val="22"/>
              </w:rPr>
              <w:t xml:space="preserve">Marital + parental status bias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Calibri" w:cs="Calibri" w:eastAsia="Calibri" w:hAnsi="Calibri"/>
                <w:color w:val="1F2937"/>
                <w:sz w:val="22"/>
                <w:szCs w:val="22"/>
              </w:rPr>
              <w:t xml:space="preserve">Penalising young married women in salaried-loan and credit-card models.</w:t>
            </w:r>
          </w:p>
        </w:tc>
      </w:tr>
      <w:tr>
        <w:tc>
          <w:tcPr>
            <w:tcW w:type="dxa" w:w="300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r>
              <w:rPr>
                <w:rFonts w:ascii="Calibri" w:cs="Calibri" w:eastAsia="Calibri" w:hAnsi="Calibri"/>
                <w:b/>
                <w:bCs/>
                <w:color w:val="0E3D6E"/>
                <w:sz w:val="22"/>
                <w:szCs w:val="22"/>
              </w:rPr>
              <w:t xml:space="preserve">Educational-pedigree bias</w:t>
            </w:r>
          </w:p>
        </w:tc>
        <w:tc>
          <w:tcPr>
            <w:tcW w:type="dxa" w:w="6360"/>
            <w:tcBorders>
              <w:top w:val="single" w:color="CCCCCC" w:sz="4"/>
              <w:left w:val="single" w:color="CCCCCC" w:sz="4"/>
              <w:bottom w:val="single" w:color="CCCCCC" w:sz="4"/>
              <w:right w:val="single" w:color="CCCCCC" w:sz="4"/>
            </w:tcBorders>
            <w:shd w:fill="F4F7FA" w:val="clear"/>
            <w:tcMar>
              <w:top w:type="dxa" w:w="100"/>
              <w:left w:type="dxa" w:w="160"/>
              <w:bottom w:type="dxa" w:w="100"/>
              <w:right w:type="dxa" w:w="160"/>
            </w:tcMar>
          </w:tcPr>
          <w:p>
            <w:r>
              <w:rPr>
                <w:rFonts w:ascii="Calibri" w:cs="Calibri" w:eastAsia="Calibri" w:hAnsi="Calibri"/>
                <w:color w:val="1F2937"/>
                <w:sz w:val="22"/>
                <w:szCs w:val="22"/>
              </w:rPr>
              <w:t xml:space="preserve">PL pricing models implicitly favouring tier-1 college alumni.</w:t>
            </w:r>
          </w:p>
        </w:tc>
      </w:tr>
    </w:tbl>
    <w:p>
      <w:pPr>
        <w:pBdr>
          <w:bottom w:val="single" w:color="ED232A" w:sz="6" w:space="4"/>
        </w:pBdr>
        <w:spacing w:after="120" w:before="320"/>
      </w:pPr>
      <w:r>
        <w:rPr>
          <w:rFonts w:ascii="Calibri" w:cs="Calibri" w:eastAsia="Calibri" w:hAnsi="Calibri"/>
          <w:b/>
          <w:bCs/>
          <w:color w:val="0E3D6E"/>
          <w:sz w:val="28"/>
          <w:szCs w:val="28"/>
        </w:rPr>
        <w:t xml:space="preserve">How to use this document.</w:t>
      </w:r>
    </w:p>
    <w:p>
      <w:pPr>
        <w:spacing w:after="120" w:before="0" w:line="300"/>
        <w:jc w:val="left"/>
      </w:pPr>
      <w:r>
        <w:rPr>
          <w:rFonts w:ascii="Calibri" w:cs="Calibri" w:eastAsia="Calibri" w:hAnsi="Calibri"/>
          <w:b/>
          <w:bCs/>
          <w:color w:val="0E3D6E"/>
          <w:sz w:val="22"/>
          <w:szCs w:val="22"/>
        </w:rPr>
        <w:t xml:space="preserve">As a checklist.</w:t>
      </w:r>
    </w:p>
    <w:p>
      <w:pPr>
        <w:spacing w:after="100" w:before="0" w:line="300"/>
        <w:jc w:val="left"/>
      </w:pPr>
      <w:r>
        <w:rPr>
          <w:rFonts w:ascii="Calibri" w:cs="Calibri" w:eastAsia="Calibri" w:hAnsi="Calibri"/>
          <w:color w:val="1F2937"/>
          <w:sz w:val="22"/>
          <w:szCs w:val="22"/>
        </w:rPr>
        <w:t xml:space="preserve">Before any AI-driven decision system goes into production, walk through Parts 1–3 and ask: which of these is plausibly present in our data, our model, our deployment context? For each one identified, document the detection method used and the mitigation in place.</w:t>
      </w:r>
    </w:p>
    <w:p>
      <w:pPr>
        <w:spacing w:after="120" w:before="0" w:line="300"/>
        <w:jc w:val="left"/>
      </w:pPr>
      <w:r>
        <w:rPr>
          <w:rFonts w:ascii="Calibri" w:cs="Calibri" w:eastAsia="Calibri" w:hAnsi="Calibri"/>
          <w:b/>
          <w:bCs/>
          <w:color w:val="0E3D6E"/>
          <w:sz w:val="22"/>
          <w:szCs w:val="22"/>
        </w:rPr>
        <w:t xml:space="preserve">As a conversation starter.</w:t>
      </w:r>
    </w:p>
    <w:p>
      <w:pPr>
        <w:spacing w:after="100" w:before="0" w:line="300"/>
        <w:jc w:val="left"/>
      </w:pPr>
      <w:r>
        <w:rPr>
          <w:rFonts w:ascii="Calibri" w:cs="Calibri" w:eastAsia="Calibri" w:hAnsi="Calibri"/>
          <w:color w:val="1F2937"/>
          <w:sz w:val="22"/>
          <w:szCs w:val="22"/>
        </w:rPr>
        <w:t xml:space="preserve">In customer, regulator, or board conversations, this is the vocabulary. Bias isn’t one thing — it’s thirty-eight things. Naming the specific type signals seriousness; gesturing vaguely at “bias” signals the opposite.</w:t>
      </w:r>
    </w:p>
    <w:p>
      <w:pPr>
        <w:spacing w:after="120" w:before="0" w:line="300"/>
        <w:jc w:val="left"/>
      </w:pPr>
      <w:r>
        <w:rPr>
          <w:rFonts w:ascii="Calibri" w:cs="Calibri" w:eastAsia="Calibri" w:hAnsi="Calibri"/>
          <w:b/>
          <w:bCs/>
          <w:color w:val="0E3D6E"/>
          <w:sz w:val="22"/>
          <w:szCs w:val="22"/>
        </w:rPr>
        <w:t xml:space="preserve">As a governance input.</w:t>
      </w:r>
    </w:p>
    <w:p>
      <w:pPr>
        <w:spacing w:after="200" w:before="0" w:line="300"/>
        <w:jc w:val="left"/>
      </w:pPr>
      <w:r>
        <w:rPr>
          <w:rFonts w:ascii="Calibri" w:cs="Calibri" w:eastAsia="Calibri" w:hAnsi="Calibri"/>
          <w:color w:val="1F2937"/>
          <w:sz w:val="22"/>
          <w:szCs w:val="22"/>
        </w:rPr>
        <w:t xml:space="preserve">The HITL framework taught in Session 8 is the operational answer to many of these biases. Pair this document with the Hallucination Checklist and the Build vs Buy vs Wait tree for the full take-home set.</w:t>
      </w:r>
    </w:p>
    <w:p>
      <w:pPr>
        <w:pBdr>
          <w:bottom w:val="single" w:color="0E3D6E" w:sz="6" w:space="1"/>
        </w:pBdr>
        <w:spacing w:after="160" w:before="80"/>
      </w:pPr>
      <w:r>
        <w:t xml:space="preserve"/>
      </w:r>
    </w:p>
    <w:p>
      <w:pPr>
        <w:spacing w:after="120" w:before="0" w:line="300"/>
        <w:jc w:val="left"/>
      </w:pPr>
      <w:r>
        <w:rPr>
          <w:rFonts w:ascii="Calibri" w:cs="Calibri" w:eastAsia="Calibri" w:hAnsi="Calibri"/>
          <w:i/>
          <w:iCs/>
          <w:color w:val="5C6470"/>
          <w:sz w:val="18"/>
          <w:szCs w:val="18"/>
        </w:rPr>
        <w:t xml:space="preserve">Synthetic-data-only platform · No real customer or bank data leaves the bank · HDFC Retail Assets GenAI Workshop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80"/>
      <w:outlineLvl w:val="0"/>
    </w:pPr>
    <w:rPr>
      <w:rFonts w:ascii="Calibri" w:cs="Calibri" w:eastAsia="Calibri" w:hAnsi="Calibri"/>
      <w:b/>
      <w:bCs/>
      <w:color w:val="0E3D6E"/>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2026-05-06T10:59:02.249Z</dcterms:created>
  <dcterms:modified xsi:type="dcterms:W3CDTF">2026-05-06T10:59:02.249Z</dcterms:modified>
</cp:coreProperties>
</file>

<file path=docProps/custom.xml><?xml version="1.0" encoding="utf-8"?>
<Properties xmlns="http://schemas.openxmlformats.org/officeDocument/2006/custom-properties" xmlns:vt="http://schemas.openxmlformats.org/officeDocument/2006/docPropsVTypes"/>
</file>