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160"/>
        <w:jc w:val="center"/>
      </w:pPr>
      <w:r>
        <w:drawing>
          <wp:inline xmlns:a="http://schemas.openxmlformats.org/drawingml/2006/main" xmlns:pic="http://schemas.openxmlformats.org/drawingml/2006/picture">
            <wp:extent cx="960120" cy="1162498"/>
            <wp:docPr id="1" name="Picture 1"/>
            <wp:cNvGraphicFramePr>
              <a:graphicFrameLocks noChangeAspect="1"/>
            </wp:cNvGraphicFramePr>
            <a:graphic>
              <a:graphicData uri="http://schemas.openxmlformats.org/drawingml/2006/picture">
                <pic:pic>
                  <pic:nvPicPr>
                    <pic:cNvPr id="0" name="image1.jpeg"/>
                    <pic:cNvPicPr/>
                  </pic:nvPicPr>
                  <pic:blipFill>
                    <a:blip r:embed="rId11"/>
                    <a:stretch>
                      <a:fillRect/>
                    </a:stretch>
                  </pic:blipFill>
                  <pic:spPr>
                    <a:xfrm>
                      <a:off x="0" y="0"/>
                      <a:ext cx="960120" cy="1162498"/>
                    </a:xfrm>
                    <a:prstGeom prst="rect"/>
                  </pic:spPr>
                </pic:pic>
              </a:graphicData>
            </a:graphic>
          </wp:inline>
        </w:drawing>
      </w:r>
    </w:p>
    <w:p>
      <w:pPr>
        <w:spacing w:after="40"/>
        <w:jc w:val="center"/>
      </w:pPr>
      <w:r>
        <w:rPr>
          <w:rFonts w:ascii="Times New Roman" w:hAnsi="Times New Roman"/>
          <w:b/>
          <w:color w:val="17365D"/>
          <w:sz w:val="30"/>
        </w:rPr>
        <w:t>SYMBIOSIS INSTITUTE OF TECHNOLOGY, PUNE</w:t>
      </w:r>
    </w:p>
    <w:p>
      <w:pPr>
        <w:spacing w:after="240"/>
        <w:jc w:val="center"/>
      </w:pPr>
      <w:r>
        <w:rPr>
          <w:rFonts w:ascii="Times New Roman" w:hAnsi="Times New Roman"/>
          <w:color w:val="273746"/>
          <w:sz w:val="23"/>
        </w:rPr>
        <w:t>Department of Artificial Intelligence and Machine Learning</w:t>
      </w:r>
    </w:p>
    <w:p>
      <w:pPr>
        <w:spacing w:before="160" w:after="40"/>
        <w:jc w:val="center"/>
      </w:pPr>
      <w:r>
        <w:rPr>
          <w:rFonts w:ascii="Aptos" w:hAnsi="Aptos"/>
          <w:b/>
          <w:color w:val="138A8A"/>
          <w:sz w:val="26"/>
        </w:rPr>
        <w:t>FOUNDATION OF AGENTIC AI</w:t>
      </w:r>
    </w:p>
    <w:p>
      <w:pPr>
        <w:spacing w:after="80"/>
        <w:jc w:val="center"/>
      </w:pPr>
      <w:r>
        <w:rPr>
          <w:rFonts w:ascii="Times New Roman" w:hAnsi="Times New Roman"/>
          <w:b/>
          <w:color w:val="17365D"/>
          <w:sz w:val="32"/>
        </w:rPr>
        <w:t>PROJECT REPORT</w:t>
      </w:r>
    </w:p>
    <w:p>
      <w:pPr>
        <w:spacing w:before="160" w:after="60"/>
        <w:jc w:val="center"/>
      </w:pPr>
      <w:r>
        <w:rPr>
          <w:rFonts w:ascii="Aptos Display" w:hAnsi="Aptos Display"/>
          <w:b/>
          <w:color w:val="17365D"/>
          <w:sz w:val="58"/>
        </w:rPr>
        <w:t>JANSETU AI</w:t>
      </w:r>
    </w:p>
    <w:p>
      <w:pPr>
        <w:spacing w:after="280"/>
        <w:jc w:val="center"/>
      </w:pPr>
      <w:r>
        <w:rPr>
          <w:rFonts w:ascii="Cambria" w:hAnsi="Cambria"/>
          <w:i/>
          <w:color w:val="2F75A5"/>
          <w:sz w:val="28"/>
        </w:rPr>
        <w:t>Adaptive Civic Incident Resolution Platform</w:t>
      </w:r>
    </w:p>
    <w:p>
      <w:pPr>
        <w:spacing w:after="160"/>
        <w:jc w:val="center"/>
      </w:pPr>
      <w:r>
        <w:rPr>
          <w:rFonts w:ascii="Times New Roman" w:hAnsi="Times New Roman"/>
          <w:b/>
          <w:sz w:val="23"/>
        </w:rPr>
        <w:t>Submitted by</w:t>
      </w:r>
    </w:p>
    <w:tbl>
      <w:tblPr>
        <w:tblStyle w:val="TableGrid"/>
        <w:tblW w:type="auto" w:w="0"/>
        <w:jc w:val="center"/>
        <w:tblLayout w:type="fixed"/>
        <w:tblLook w:firstColumn="1" w:firstRow="1" w:lastColumn="0" w:lastRow="0" w:noHBand="0" w:noVBand="1" w:val="04A0"/>
      </w:tblPr>
      <w:tblGrid>
        <w:gridCol w:w="4831"/>
        <w:gridCol w:w="4831"/>
      </w:tblGrid>
      <w:tr>
        <w:tc>
          <w:tcPr>
            <w:tcW w:type="dxa" w:w="4320"/>
            <w:vAlign w:val="center"/>
            <w:tcMar>
              <w:top w:w="90" w:type="dxa"/>
              <w:start w:w="100" w:type="dxa"/>
              <w:bottom w:w="90" w:type="dxa"/>
              <w:end w:w="100" w:type="dxa"/>
            </w:tcMar>
            <w:shd w:fill="F4F7FA"/>
          </w:tcPr>
          <w:p>
            <w:pPr>
              <w:spacing w:after="0" w:before="0" w:line="240" w:lineRule="auto"/>
            </w:pPr>
            <w:r/>
            <w:r>
              <w:rPr>
                <w:rFonts w:ascii="Times New Roman" w:hAnsi="Times New Roman" w:eastAsia="Times New Roman"/>
                <w:b w:val="0"/>
                <w:color w:val="273746"/>
                <w:sz w:val="21"/>
              </w:rPr>
              <w:t>Name 1: Deshna Nitin Tendulkar</w:t>
            </w:r>
          </w:p>
        </w:tc>
        <w:tc>
          <w:tcPr>
            <w:tcW w:type="dxa" w:w="3672"/>
            <w:vAlign w:val="center"/>
            <w:tcMar>
              <w:top w:w="90" w:type="dxa"/>
              <w:start w:w="100" w:type="dxa"/>
              <w:bottom w:w="90" w:type="dxa"/>
              <w:end w:w="100" w:type="dxa"/>
            </w:tcMar>
            <w:shd w:fill="F4F7FA"/>
          </w:tcPr>
          <w:p>
            <w:pPr>
              <w:spacing w:after="0" w:before="0" w:line="240" w:lineRule="auto"/>
            </w:pPr>
            <w:r/>
            <w:r>
              <w:rPr>
                <w:rFonts w:ascii="Times New Roman" w:hAnsi="Times New Roman" w:eastAsia="Times New Roman"/>
                <w:b w:val="0"/>
                <w:color w:val="273746"/>
                <w:sz w:val="21"/>
              </w:rPr>
              <w:t>PRN: 24070126051</w:t>
            </w:r>
          </w:p>
        </w:tc>
      </w:tr>
      <w:tr>
        <w:tc>
          <w:tcPr>
            <w:tcW w:type="dxa" w:w="4320"/>
            <w:vAlign w:val="center"/>
            <w:tcMar>
              <w:top w:w="90" w:type="dxa"/>
              <w:start w:w="100" w:type="dxa"/>
              <w:bottom w:w="90" w:type="dxa"/>
              <w:end w:w="100" w:type="dxa"/>
            </w:tcMar>
            <w:shd w:fill="FFFFFF"/>
          </w:tcPr>
          <w:p>
            <w:pPr>
              <w:spacing w:after="0" w:before="0" w:line="240" w:lineRule="auto"/>
            </w:pPr>
            <w:r/>
            <w:r>
              <w:rPr>
                <w:rFonts w:ascii="Times New Roman" w:hAnsi="Times New Roman" w:eastAsia="Times New Roman"/>
                <w:b w:val="0"/>
                <w:color w:val="273746"/>
                <w:sz w:val="21"/>
              </w:rPr>
              <w:t>Name 2: Harshad Agrawal</w:t>
            </w:r>
          </w:p>
        </w:tc>
        <w:tc>
          <w:tcPr>
            <w:tcW w:type="dxa" w:w="3672"/>
            <w:vAlign w:val="center"/>
            <w:tcMar>
              <w:top w:w="90" w:type="dxa"/>
              <w:start w:w="100" w:type="dxa"/>
              <w:bottom w:w="90" w:type="dxa"/>
              <w:end w:w="100" w:type="dxa"/>
            </w:tcMar>
            <w:shd w:fill="FFFFFF"/>
          </w:tcPr>
          <w:p>
            <w:pPr>
              <w:spacing w:after="0" w:before="0" w:line="240" w:lineRule="auto"/>
            </w:pPr>
            <w:r/>
            <w:r>
              <w:rPr>
                <w:rFonts w:ascii="Times New Roman" w:hAnsi="Times New Roman" w:eastAsia="Times New Roman"/>
                <w:b w:val="0"/>
                <w:color w:val="273746"/>
                <w:sz w:val="21"/>
              </w:rPr>
              <w:t>PRN: 24070126068</w:t>
            </w:r>
          </w:p>
        </w:tc>
      </w:tr>
    </w:tbl>
    <w:p>
      <w:pPr>
        <w:spacing w:before="240" w:after="360"/>
        <w:jc w:val="center"/>
      </w:pPr>
      <w:r>
        <w:rPr>
          <w:rFonts w:ascii="Times New Roman" w:hAnsi="Times New Roman"/>
          <w:b/>
          <w:sz w:val="23"/>
        </w:rPr>
        <w:t>Division / Batch: A3 (2024–28)</w:t>
      </w:r>
    </w:p>
    <w:p>
      <w:pPr>
        <w:spacing w:before="120" w:after="80"/>
        <w:jc w:val="center"/>
      </w:pPr>
      <w:r>
        <w:rPr>
          <w:rFonts w:ascii="Times New Roman" w:hAnsi="Times New Roman"/>
          <w:b/>
          <w:sz w:val="22"/>
        </w:rPr>
        <w:t>Under the guidance of</w:t>
      </w:r>
    </w:p>
    <w:p>
      <w:pPr>
        <w:spacing w:after="160"/>
        <w:jc w:val="center"/>
      </w:pPr>
      <w:r>
        <w:rPr>
          <w:rFonts w:ascii="Times New Roman" w:hAnsi="Times New Roman"/>
          <w:b/>
          <w:color w:val="17365D"/>
          <w:sz w:val="26"/>
        </w:rPr>
        <w:t>Mr. Harshal Raut</w:t>
      </w:r>
    </w:p>
    <w:p>
      <w:pPr>
        <w:spacing w:before="80" w:after="120"/>
        <w:jc w:val="center"/>
      </w:pPr>
      <w:r>
        <w:rPr>
          <w:rFonts w:ascii="Times New Roman" w:hAnsi="Times New Roman"/>
          <w:sz w:val="23"/>
        </w:rPr>
        <w:t>Academic Year 2026–27</w:t>
      </w:r>
    </w:p>
    <w:p>
      <w:pPr>
        <w:spacing w:before="80"/>
        <w:jc w:val="center"/>
      </w:pPr>
      <w:r>
        <w:rPr>
          <w:rFonts w:ascii="Aptos" w:hAnsi="Aptos"/>
          <w:color w:val="2F75A5"/>
          <w:sz w:val="17"/>
        </w:rPr>
        <w:t>https://github.com/Harshad2321/JanSetu-AI</w:t>
      </w:r>
    </w:p>
    <w:p>
      <w:r>
        <w:br w:type="page"/>
      </w:r>
    </w:p>
    <w:p>
      <w:pPr>
        <w:spacing w:before="40" w:after="40"/>
      </w:pPr>
      <w:r>
        <w:rPr>
          <w:rFonts w:ascii="Aptos" w:hAnsi="Aptos"/>
          <w:b/>
          <w:color w:val="138A8A"/>
          <w:sz w:val="17"/>
        </w:rPr>
        <w:t>EXECUTIVE SUMMARY</w:t>
      </w:r>
    </w:p>
    <w:p>
      <w:pPr>
        <w:pStyle w:val="Heading1"/>
        <w:keepNext/>
      </w:pPr>
      <w:r>
        <w:t>Abstract</w:t>
      </w:r>
    </w:p>
    <w:p>
      <w:r>
        <w:t>JanSetu AI is a domain-specific, multi-agent proof of concept for coordinating civic incident resolution across reports involving potholes, road defects, waterlogging and garbage accumulation. Instead of treating a complaint as a static ticket, the platform models it as a workflow that must interpret incomplete evidence, assess urgency, consider nearby incidents, produce a feasible response plan, handle simulated execution failure and independently verify closure. The application combines a React and TypeScript interface, a FastAPI service layer, a LangGraph stateful orchestrator, a relational Civic Incident Twin and an append-only audit trail.</w:t>
      </w:r>
    </w:p>
    <w:p>
      <w:r>
        <w:t>Six specialist agents handle incident intelligence, geospatial analysis, risk and priority, response planning, adaptive recovery and independent verification. A separate Critic checks the feasibility and safety of proposed plans. Guardrails include multimodal disagreement handling, human review for unconfirmed duplicate merges, mandatory escalation for life-safety hazards, a two-retry recovery limit and an evidence-gated closure transition. The prototype uses synthetic complaint data and simulates all field execution; it does not dispatch real crews or prove physical repairs.</w:t>
      </w:r>
    </w:p>
    <w:p>
      <w:r>
        <w:t>The repository reports 194 backend tests passed, one live-API rate-limit test skipped and zero failures; all 11 system invariants passed. The synthetic NLP classifier reports 100% accuracy and Macro-F1 on a 60-sample held-out set, while performance on a 30-sample disjoint-vocabulary challenge set is approximately 73.3%. These results support the workflow's proof-of-concept status, not readiness for live municipal deployment.</w:t>
      </w:r>
    </w:p>
    <w:p>
      <w:pPr>
        <w:spacing w:before="120"/>
      </w:pPr>
      <w:r>
        <w:rPr>
          <w:b/>
          <w:color w:val="17365D"/>
        </w:rPr>
        <w:t xml:space="preserve">Keywords: </w:t>
      </w:r>
      <w:r>
        <w:t>Agentic AI, LangGraph, civic incident management, multi-agent orchestration, adaptive recovery, geospatial analysis, explainable prioritization, evidence-gated verification.</w:t>
      </w:r>
    </w:p>
    <w:p>
      <w:pPr>
        <w:pStyle w:val="Heading2"/>
        <w:keepNext/>
      </w:pPr>
      <w:r>
        <w:t>Acknowledgement</w:t>
      </w:r>
    </w:p>
    <w:p>
      <w:r>
        <w:t>We would like to acknowledge the academic guidance provided for the Foundation of Agentic AI project. We also acknowledge the project repository and its supporting technical documentation, validation records and limitation notes, which form the basis of this report.</w:t>
      </w:r>
    </w:p>
    <w:p>
      <w:pPr>
        <w:pStyle w:val="SmallNote"/>
      </w:pPr>
      <w:r>
        <w:t>Evidence policy: implementation details and reported metrics in this report are drawn from the public JanSetu-AI repository and its documentation. Proposed enhancements are explicitly identified as future scope.</w:t>
      </w:r>
    </w:p>
    <w:p>
      <w:r>
        <w:br w:type="page"/>
      </w:r>
    </w:p>
    <w:p>
      <w:pPr>
        <w:spacing w:before="40" w:after="40"/>
      </w:pPr>
      <w:r>
        <w:rPr>
          <w:rFonts w:ascii="Aptos" w:hAnsi="Aptos"/>
          <w:b/>
          <w:color w:val="138A8A"/>
          <w:sz w:val="17"/>
        </w:rPr>
        <w:t>NAVIGATION</w:t>
      </w:r>
    </w:p>
    <w:p>
      <w:pPr>
        <w:pStyle w:val="Heading1"/>
        <w:keepNext/>
      </w:pPr>
      <w:r>
        <w:t>Contents</w:t>
      </w:r>
    </w:p>
    <w:p>
      <w:pPr>
        <w:pStyle w:val="ListBullet"/>
        <w:spacing w:after="40"/>
        <w:ind w:left="317"/>
      </w:pPr>
      <w:r>
        <w:rPr>
          <w:rFonts w:ascii="Aptos" w:hAnsi="Aptos"/>
          <w:sz w:val="20"/>
        </w:rPr>
        <w:t>Abstract and Acknowledgement</w:t>
      </w:r>
    </w:p>
    <w:p>
      <w:pPr>
        <w:pStyle w:val="ListBullet"/>
        <w:spacing w:after="40"/>
        <w:ind w:left="317"/>
      </w:pPr>
      <w:r>
        <w:rPr>
          <w:rFonts w:ascii="Aptos" w:hAnsi="Aptos"/>
          <w:b/>
          <w:sz w:val="20"/>
        </w:rPr>
        <w:t>1. Introduction</w:t>
      </w:r>
    </w:p>
    <w:p>
      <w:pPr>
        <w:pStyle w:val="ListBullet"/>
        <w:spacing w:after="40"/>
        <w:ind w:left="317"/>
      </w:pPr>
      <w:r>
        <w:rPr>
          <w:rFonts w:ascii="Aptos" w:hAnsi="Aptos"/>
          <w:b/>
          <w:sz w:val="20"/>
        </w:rPr>
        <w:t>2. Problem Definition, Aim and Objectives</w:t>
      </w:r>
    </w:p>
    <w:p>
      <w:pPr>
        <w:pStyle w:val="ListBullet"/>
        <w:spacing w:after="40"/>
        <w:ind w:left="317"/>
      </w:pPr>
      <w:r>
        <w:rPr>
          <w:rFonts w:ascii="Aptos" w:hAnsi="Aptos"/>
          <w:b/>
          <w:sz w:val="20"/>
        </w:rPr>
        <w:t>3. Requirements and Scope</w:t>
      </w:r>
    </w:p>
    <w:p>
      <w:pPr>
        <w:pStyle w:val="ListBullet"/>
        <w:spacing w:after="40"/>
        <w:ind w:left="317"/>
      </w:pPr>
      <w:r>
        <w:rPr>
          <w:rFonts w:ascii="Aptos" w:hAnsi="Aptos"/>
          <w:b/>
          <w:sz w:val="20"/>
        </w:rPr>
        <w:t>4. System Architecture</w:t>
      </w:r>
    </w:p>
    <w:p>
      <w:pPr>
        <w:pStyle w:val="ListBullet"/>
        <w:spacing w:after="40"/>
        <w:ind w:left="317"/>
      </w:pPr>
      <w:r>
        <w:rPr>
          <w:rFonts w:ascii="Aptos" w:hAnsi="Aptos"/>
          <w:b/>
          <w:sz w:val="20"/>
        </w:rPr>
        <w:t>5. Agentic Workflow and Specialist Agents</w:t>
      </w:r>
    </w:p>
    <w:p>
      <w:pPr>
        <w:pStyle w:val="ListBullet"/>
        <w:spacing w:after="40"/>
        <w:ind w:left="317"/>
      </w:pPr>
      <w:r>
        <w:rPr>
          <w:rFonts w:ascii="Aptos" w:hAnsi="Aptos"/>
          <w:b/>
          <w:sz w:val="20"/>
        </w:rPr>
        <w:t>6. Technical Implementation</w:t>
      </w:r>
    </w:p>
    <w:p>
      <w:pPr>
        <w:pStyle w:val="ListBullet"/>
        <w:spacing w:after="40"/>
        <w:ind w:left="317"/>
      </w:pPr>
      <w:r>
        <w:rPr>
          <w:rFonts w:ascii="Aptos" w:hAnsi="Aptos"/>
          <w:b/>
          <w:sz w:val="20"/>
        </w:rPr>
        <w:t>7. Data, NLP, Vision and Decision Logic</w:t>
      </w:r>
    </w:p>
    <w:p>
      <w:pPr>
        <w:pStyle w:val="ListBullet"/>
        <w:spacing w:after="40"/>
        <w:ind w:left="317"/>
      </w:pPr>
      <w:r>
        <w:rPr>
          <w:rFonts w:ascii="Aptos" w:hAnsi="Aptos"/>
          <w:b/>
          <w:sz w:val="20"/>
        </w:rPr>
        <w:t>8. Persistence, APIs and Auditability</w:t>
      </w:r>
    </w:p>
    <w:p>
      <w:pPr>
        <w:pStyle w:val="ListBullet"/>
        <w:spacing w:after="40"/>
        <w:ind w:left="317"/>
      </w:pPr>
      <w:r>
        <w:rPr>
          <w:rFonts w:ascii="Aptos" w:hAnsi="Aptos"/>
          <w:b/>
          <w:sz w:val="20"/>
        </w:rPr>
        <w:t>9. End-to-End Workflow Scenario</w:t>
      </w:r>
    </w:p>
    <w:p>
      <w:pPr>
        <w:pStyle w:val="ListBullet"/>
        <w:spacing w:after="40"/>
        <w:ind w:left="317"/>
      </w:pPr>
      <w:r>
        <w:rPr>
          <w:rFonts w:ascii="Aptos" w:hAnsi="Aptos"/>
          <w:b/>
          <w:sz w:val="20"/>
        </w:rPr>
        <w:t>10. Testing and Evaluation Results</w:t>
      </w:r>
    </w:p>
    <w:p>
      <w:pPr>
        <w:pStyle w:val="ListBullet"/>
        <w:spacing w:after="40"/>
        <w:ind w:left="317"/>
      </w:pPr>
      <w:r>
        <w:rPr>
          <w:rFonts w:ascii="Aptos" w:hAnsi="Aptos"/>
          <w:b/>
          <w:sz w:val="20"/>
        </w:rPr>
        <w:t>11. Safety, Privacy and Governance</w:t>
      </w:r>
    </w:p>
    <w:p>
      <w:pPr>
        <w:pStyle w:val="ListBullet"/>
        <w:spacing w:after="40"/>
        <w:ind w:left="317"/>
      </w:pPr>
      <w:r>
        <w:rPr>
          <w:rFonts w:ascii="Aptos" w:hAnsi="Aptos"/>
          <w:b/>
          <w:sz w:val="20"/>
        </w:rPr>
        <w:t>12. Limitations and Risk Analysis</w:t>
      </w:r>
    </w:p>
    <w:p>
      <w:pPr>
        <w:pStyle w:val="ListBullet"/>
        <w:spacing w:after="40"/>
        <w:ind w:left="317"/>
      </w:pPr>
      <w:r>
        <w:rPr>
          <w:rFonts w:ascii="Aptos" w:hAnsi="Aptos"/>
          <w:b/>
          <w:sz w:val="20"/>
        </w:rPr>
        <w:t>13. Future Scope and Engineering Roadmap</w:t>
      </w:r>
    </w:p>
    <w:p>
      <w:pPr>
        <w:pStyle w:val="ListBullet"/>
        <w:spacing w:after="40"/>
        <w:ind w:left="317"/>
      </w:pPr>
      <w:r>
        <w:rPr>
          <w:rFonts w:ascii="Aptos" w:hAnsi="Aptos"/>
          <w:b/>
          <w:sz w:val="20"/>
        </w:rPr>
        <w:t>14. Setup and Demonstration Guide</w:t>
      </w:r>
    </w:p>
    <w:p>
      <w:pPr>
        <w:pStyle w:val="ListBullet"/>
        <w:spacing w:after="40"/>
        <w:ind w:left="317"/>
      </w:pPr>
      <w:r>
        <w:rPr>
          <w:rFonts w:ascii="Aptos" w:hAnsi="Aptos"/>
          <w:b/>
          <w:sz w:val="20"/>
        </w:rPr>
        <w:t>15. Conclusion</w:t>
      </w:r>
    </w:p>
    <w:p>
      <w:pPr>
        <w:pStyle w:val="ListBullet"/>
        <w:spacing w:after="40"/>
        <w:ind w:left="317"/>
      </w:pPr>
      <w:r>
        <w:rPr>
          <w:rFonts w:ascii="Aptos" w:hAnsi="Aptos"/>
          <w:sz w:val="20"/>
        </w:rPr>
        <w:t>References</w:t>
      </w:r>
    </w:p>
    <w:p>
      <w:pPr>
        <w:pStyle w:val="ListBullet"/>
        <w:spacing w:after="40"/>
        <w:ind w:left="317"/>
      </w:pPr>
      <w:r>
        <w:rPr>
          <w:rFonts w:ascii="Aptos" w:hAnsi="Aptos"/>
          <w:sz w:val="20"/>
        </w:rPr>
        <w:t>Appendix A — Glossary</w:t>
      </w:r>
    </w:p>
    <w:p>
      <w:pPr>
        <w:pStyle w:val="ListBullet"/>
        <w:spacing w:after="40"/>
        <w:ind w:left="317"/>
      </w:pPr>
      <w:r>
        <w:rPr>
          <w:rFonts w:ascii="Aptos" w:hAnsi="Aptos"/>
          <w:sz w:val="20"/>
        </w:rPr>
        <w:t>Appendix B — Representative API Endpoints</w:t>
      </w:r>
    </w:p>
    <w:p>
      <w:r>
        <w:br w:type="page"/>
      </w:r>
    </w:p>
    <w:p>
      <w:pPr>
        <w:keepNext/>
        <w:spacing w:before="40" w:after="40"/>
      </w:pPr>
      <w:r>
        <w:rPr>
          <w:rFonts w:ascii="Aptos" w:hAnsi="Aptos"/>
          <w:b/>
          <w:color w:val="138A8A"/>
          <w:sz w:val="17"/>
        </w:rPr>
        <w:t>01 / CONTEXT</w:t>
      </w:r>
    </w:p>
    <w:p>
      <w:pPr>
        <w:pStyle w:val="Heading1"/>
        <w:keepNext/>
      </w:pPr>
      <w:r>
        <w:t>1. Introduction</w:t>
      </w:r>
    </w:p>
    <w:p>
      <w:pPr>
        <w:spacing w:after="160"/>
      </w:pPr>
      <w:r>
        <w:rPr>
          <w:i/>
          <w:color w:val="667788"/>
          <w:sz w:val="20"/>
        </w:rPr>
        <w:t>A governed workflow from citizen report to verified simulated outcome.</w:t>
      </w:r>
    </w:p>
    <w:p>
      <w:pPr>
        <w:pStyle w:val="Heading2"/>
        <w:keepNext/>
      </w:pPr>
      <w:r>
        <w:t>1.1 Background</w:t>
      </w:r>
    </w:p>
    <w:p>
      <w:r>
        <w:t>Civic infrastructure issues are often reported through short text messages, photographs, forms or informal descriptions. The information may be incomplete, use mixed languages, omit duration or impact, or refer to an incident that has already been reported. A useful response requires more than categorizing the complaint: the system must understand the evidence, estimate urgency, account for nearby incidents and constraints, prepare a response and retain a trace of how the final status was reached.</w:t>
      </w:r>
    </w:p>
    <w:p>
      <w:r>
        <w:t>JanSetu AI explores this problem through agentic workflow design. Its central idea is that an incident should not be considered resolved merely because an execution step reports success. The system carries incident state through a controlled graph, preserves plans and attempts, handles failure explicitly and requires independent verification before a simulated incident can reach its verified-closed state. The project is an academic proof of concept, not a live municipal service [1–4].</w:t>
      </w:r>
    </w:p>
    <w:p>
      <w:pPr>
        <w:pStyle w:val="Heading2"/>
        <w:keepNext/>
      </w:pPr>
      <w:r>
        <w:t>1.2 Project overview</w:t>
      </w:r>
    </w:p>
    <w:p>
      <w:r>
        <w:t>The name JanSetu suggests a bridge between citizens and civic response teams. In the prototype, citizens or operators submit an incident, the system creates a structured incident record, and a coordinated set of specialist components analyzes it. The React interface provides an incident registry, a workspace for inspecting agent decisions, a geographic view, a simulation lab, an ML model lab and an audit timeline. The FastAPI backend exposes REST endpoints and hands workflow control to a LangGraph orchestrator.</w:t>
      </w:r>
    </w:p>
    <w:p>
      <w:pPr>
        <w:pStyle w:val="Heading2"/>
        <w:keepNext/>
      </w:pPr>
      <w:r>
        <w:t>1.3 Why an agentic approach?</w:t>
      </w:r>
    </w:p>
    <w:p>
      <w:r>
        <w:t>A conventional form or single prediction endpoint can classify an issue, but it does not naturally represent the conditional decisions that follow. JanSetu uses explicit state transitions and role-specific components so that the next action depends on the current evidence and outcome. A Critic can reject an unsafe plan; execution can fail for a simulated reason; recovery can create a revised plan; retry exhaustion can stop automation; and verification can keep the incident open when evidence or sign-off is missing. This is a bounded, auditable agentic workflow rather than unrestricted autonomy.</w:t>
      </w:r>
    </w:p>
    <w:p>
      <w:pPr>
        <w:pStyle w:val="Heading2"/>
        <w:keepNext/>
      </w:pPr>
      <w:r>
        <w:t>1.4 Intended stakeholders</w:t>
      </w:r>
    </w:p>
    <w:tbl>
      <w:tblPr>
        <w:tblStyle w:val="TableGrid"/>
        <w:tblW w:type="auto" w:w="0"/>
        <w:jc w:val="center"/>
        <w:tblLayout w:type="fixed"/>
        <w:tblLook w:firstColumn="1" w:firstRow="1" w:lastColumn="0" w:lastRow="0" w:noHBand="0" w:noVBand="1" w:val="04A0"/>
      </w:tblPr>
      <w:tblGrid>
        <w:gridCol w:w="4831"/>
        <w:gridCol w:w="4831"/>
      </w:tblGrid>
      <w:tr>
        <w:trPr>
          <w:tblHeader w:val="true"/>
        </w:trPr>
        <w:tc>
          <w:tcPr>
            <w:tcW w:type="dxa" w:w="2880"/>
            <w:vAlign w:val="center"/>
            <w:tcMar>
              <w:top w:w="90" w:type="dxa"/>
              <w:start w:w="100" w:type="dxa"/>
              <w:bottom w:w="90" w:type="dxa"/>
              <w:end w:w="100" w:type="dxa"/>
            </w:tcMar>
            <w:shd w:fill="17365D"/>
          </w:tcPr>
          <w:p>
            <w:pPr>
              <w:spacing w:after="0" w:before="0" w:line="240" w:lineRule="auto"/>
            </w:pPr>
            <w:r/>
            <w:r>
              <w:rPr>
                <w:rFonts w:ascii="Aptos" w:hAnsi="Aptos" w:eastAsia="Aptos"/>
                <w:b/>
                <w:color w:val="FFFFFF"/>
                <w:sz w:val="18"/>
              </w:rPr>
              <w:t>Stakeholder</w:t>
            </w:r>
          </w:p>
        </w:tc>
        <w:tc>
          <w:tcPr>
            <w:tcW w:type="dxa" w:w="6696"/>
            <w:vAlign w:val="center"/>
            <w:tcMar>
              <w:top w:w="90" w:type="dxa"/>
              <w:start w:w="100" w:type="dxa"/>
              <w:bottom w:w="90" w:type="dxa"/>
              <w:end w:w="100" w:type="dxa"/>
            </w:tcMar>
            <w:shd w:fill="17365D"/>
          </w:tcPr>
          <w:p>
            <w:pPr>
              <w:spacing w:after="0" w:before="0" w:line="240" w:lineRule="auto"/>
            </w:pPr>
            <w:r/>
            <w:r>
              <w:rPr>
                <w:rFonts w:ascii="Aptos" w:hAnsi="Aptos" w:eastAsia="Aptos"/>
                <w:b/>
                <w:color w:val="FFFFFF"/>
                <w:sz w:val="18"/>
              </w:rPr>
              <w:t>Potential value in the prototype</w:t>
            </w:r>
          </w:p>
        </w:tc>
      </w:tr>
      <w:tr>
        <w:tc>
          <w:tcPr>
            <w:tcW w:type="dxa" w:w="2880"/>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8"/>
              </w:rPr>
              <w:t>Citizens / complainants</w:t>
            </w:r>
          </w:p>
        </w:tc>
        <w:tc>
          <w:tcPr>
            <w:tcW w:type="dxa" w:w="6696"/>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8"/>
              </w:rPr>
              <w:t>A structured incident record, clearer status and a more traceable path from report to outcome.</w:t>
            </w:r>
          </w:p>
        </w:tc>
      </w:tr>
      <w:tr>
        <w:tc>
          <w:tcPr>
            <w:tcW w:type="dxa" w:w="2880"/>
            <w:vAlign w:val="center"/>
            <w:tcMar>
              <w:top w:w="90" w:type="dxa"/>
              <w:start w:w="100" w:type="dxa"/>
              <w:bottom w:w="90" w:type="dxa"/>
              <w:end w:w="100" w:type="dxa"/>
            </w:tcMar>
            <w:shd w:fill="F4F7FA"/>
          </w:tcPr>
          <w:p>
            <w:pPr>
              <w:spacing w:after="0" w:before="0" w:line="240" w:lineRule="auto"/>
            </w:pPr>
            <w:r/>
            <w:r>
              <w:rPr>
                <w:rFonts w:ascii="Cambria" w:hAnsi="Cambria" w:eastAsia="Cambria"/>
                <w:b/>
                <w:color w:val="273746"/>
                <w:sz w:val="18"/>
              </w:rPr>
              <w:t>Dispatchers / supervisors</w:t>
            </w:r>
          </w:p>
        </w:tc>
        <w:tc>
          <w:tcPr>
            <w:tcW w:type="dxa" w:w="6696"/>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8"/>
              </w:rPr>
              <w:t>Reviewable duplicate candidates, risk explanations, approval decisions and escalation controls.</w:t>
            </w:r>
          </w:p>
        </w:tc>
      </w:tr>
      <w:tr>
        <w:tc>
          <w:tcPr>
            <w:tcW w:type="dxa" w:w="2880"/>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8"/>
              </w:rPr>
              <w:t>Civic administrators</w:t>
            </w:r>
          </w:p>
        </w:tc>
        <w:tc>
          <w:tcPr>
            <w:tcW w:type="dxa" w:w="6696"/>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8"/>
              </w:rPr>
              <w:t>An incident history, plan versions, execution attempts and audit exports for process inspection.</w:t>
            </w:r>
          </w:p>
        </w:tc>
      </w:tr>
      <w:tr>
        <w:tc>
          <w:tcPr>
            <w:tcW w:type="dxa" w:w="2880"/>
            <w:vAlign w:val="center"/>
            <w:tcMar>
              <w:top w:w="90" w:type="dxa"/>
              <w:start w:w="100" w:type="dxa"/>
              <w:bottom w:w="90" w:type="dxa"/>
              <w:end w:w="100" w:type="dxa"/>
            </w:tcMar>
            <w:shd w:fill="F4F7FA"/>
          </w:tcPr>
          <w:p>
            <w:pPr>
              <w:spacing w:after="0" w:before="0" w:line="240" w:lineRule="auto"/>
            </w:pPr>
            <w:r/>
            <w:r>
              <w:rPr>
                <w:rFonts w:ascii="Cambria" w:hAnsi="Cambria" w:eastAsia="Cambria"/>
                <w:b/>
                <w:color w:val="273746"/>
                <w:sz w:val="18"/>
              </w:rPr>
              <w:t>Project evaluators</w:t>
            </w:r>
          </w:p>
        </w:tc>
        <w:tc>
          <w:tcPr>
            <w:tcW w:type="dxa" w:w="6696"/>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8"/>
              </w:rPr>
              <w:t>A demonstrable multi-agent graph with observable states, failure injection and invariant checks.</w:t>
            </w:r>
          </w:p>
        </w:tc>
      </w:tr>
    </w:tbl>
    <w:p>
      <w:pPr>
        <w:spacing w:after="20"/>
      </w:pPr>
    </w:p>
    <w:p>
      <w:pPr>
        <w:keepNext/>
        <w:spacing w:before="40" w:after="40"/>
      </w:pPr>
      <w:r>
        <w:rPr>
          <w:rFonts w:ascii="Aptos" w:hAnsi="Aptos"/>
          <w:b/>
          <w:color w:val="138A8A"/>
          <w:sz w:val="17"/>
        </w:rPr>
        <w:t>02 / DEFINITION</w:t>
      </w:r>
    </w:p>
    <w:p>
      <w:pPr>
        <w:pStyle w:val="Heading1"/>
        <w:keepNext/>
      </w:pPr>
      <w:r>
        <w:t>2. Problem Definition, Aim and Objectives</w:t>
      </w:r>
    </w:p>
    <w:p>
      <w:pPr>
        <w:pStyle w:val="Heading2"/>
        <w:keepNext/>
      </w:pPr>
      <w:r>
        <w:t>2.1 Problem statement</w:t>
      </w:r>
    </w:p>
    <w:p>
      <w:r>
        <w:t>Unstructured civic reports, uncertain evidence, possible duplicate incidents and changing resource constraints make it difficult to prioritize complaints, prepare feasible responses, recover from failed execution and demonstrate that closure is justified. JanSetu AI addresses this workflow gap by coordinating incident understanding, spatial and risk analysis, response planning, simulated recovery and independent evidence-based closure checks.</w:t>
      </w:r>
    </w:p>
    <w:p>
      <w:pPr>
        <w:pStyle w:val="Heading2"/>
        <w:keepNext/>
      </w:pPr>
      <w:r>
        <w:t>2.2 Aim</w:t>
      </w:r>
    </w:p>
    <w:p>
      <w:r>
        <w:t>To design and validate a governed agentic AI proof of concept that transforms synthetic civic complaints into structured, prioritized, planned and independently verified simulated incident outcomes.</w:t>
      </w:r>
    </w:p>
    <w:p>
      <w:pPr>
        <w:pStyle w:val="Heading2"/>
        <w:keepNext/>
      </w:pPr>
      <w:r>
        <w:t>2.3 Objectives</w:t>
      </w:r>
    </w:p>
    <w:p>
      <w:pPr>
        <w:pStyle w:val="ListBullet"/>
        <w:spacing w:after="60"/>
        <w:ind w:left="403" w:hanging="230"/>
      </w:pPr>
      <w:r>
        <w:t>Accept civic incident descriptions, optional images and location information through a web interface and convert them into structured records.</w:t>
      </w:r>
    </w:p>
    <w:p>
      <w:pPr>
        <w:pStyle w:val="ListBullet"/>
        <w:spacing w:after="60"/>
        <w:ind w:left="403" w:hanging="230"/>
      </w:pPr>
      <w:r>
        <w:t>Classify incidents using multilingual text processing and optional vision-language analysis, while surfacing disagreement instead of forcing an unsupported category.</w:t>
      </w:r>
    </w:p>
    <w:p>
      <w:pPr>
        <w:pStyle w:val="ListBullet"/>
        <w:spacing w:after="60"/>
        <w:ind w:left="403" w:hanging="230"/>
      </w:pPr>
      <w:r>
        <w:t>Identify nearby, textually similar reports as unconfirmed duplicate candidates without automatically merging records.</w:t>
      </w:r>
    </w:p>
    <w:p>
      <w:pPr>
        <w:pStyle w:val="ListBullet"/>
        <w:spacing w:after="60"/>
        <w:ind w:left="403" w:hanging="230"/>
      </w:pPr>
      <w:r>
        <w:t>Compute an explainable priority score and apply mandatory escalation rules for direct life-safety threats or vulnerable-population exposure.</w:t>
      </w:r>
    </w:p>
    <w:p>
      <w:pPr>
        <w:pStyle w:val="ListBullet"/>
        <w:spacing w:after="60"/>
        <w:ind w:left="403" w:hanging="230"/>
      </w:pPr>
      <w:r>
        <w:t>Generate both immediate mitigation and permanent-resolution plans with resource requirements and measurable closure criteria.</w:t>
      </w:r>
    </w:p>
    <w:p>
      <w:pPr>
        <w:pStyle w:val="ListBullet"/>
        <w:spacing w:after="60"/>
        <w:ind w:left="403" w:hanging="230"/>
      </w:pPr>
      <w:r>
        <w:t>Simulate execution obstacles and use bounded adaptive recovery to revise plans or escalate to human review.</w:t>
      </w:r>
    </w:p>
    <w:p>
      <w:pPr>
        <w:pStyle w:val="ListBullet"/>
        <w:spacing w:after="60"/>
        <w:ind w:left="403" w:hanging="230"/>
      </w:pPr>
      <w:r>
        <w:t>Prevent closure unless independent verification passes and required supervisor sign-off is present.</w:t>
      </w:r>
    </w:p>
    <w:p>
      <w:pPr>
        <w:pStyle w:val="ListBullet"/>
        <w:spacing w:after="60"/>
        <w:ind w:left="403" w:hanging="230"/>
      </w:pPr>
      <w:r>
        <w:t>Preserve incident state, plan versions, execution attempts and audit events for inspection and reproducible evaluation.</w:t>
      </w:r>
    </w:p>
    <w:p>
      <w:pPr>
        <w:pStyle w:val="Heading2"/>
        <w:keepNext/>
      </w:pPr>
      <w:r>
        <w:t>2.4 Scope and boundaries</w:t>
      </w:r>
    </w:p>
    <w:tbl>
      <w:tblPr>
        <w:tblStyle w:val="TableGrid"/>
        <w:tblW w:type="auto" w:w="0"/>
        <w:jc w:val="center"/>
        <w:tblLayout w:type="fixed"/>
        <w:tblLook w:firstColumn="1" w:firstRow="1" w:lastColumn="0" w:lastRow="0" w:noHBand="0" w:noVBand="1" w:val="04A0"/>
      </w:tblPr>
      <w:tblGrid>
        <w:gridCol w:w="4831"/>
        <w:gridCol w:w="4831"/>
      </w:tblGrid>
      <w:tr>
        <w:trPr>
          <w:tblHeader w:val="true"/>
        </w:trPr>
        <w:tc>
          <w:tcPr>
            <w:tcW w:type="dxa" w:w="4752"/>
            <w:vAlign w:val="center"/>
            <w:tcMar>
              <w:top w:w="90" w:type="dxa"/>
              <w:start w:w="100" w:type="dxa"/>
              <w:bottom w:w="90" w:type="dxa"/>
              <w:end w:w="100" w:type="dxa"/>
            </w:tcMar>
            <w:shd w:fill="17365D"/>
          </w:tcPr>
          <w:p>
            <w:pPr>
              <w:spacing w:after="0" w:before="0" w:line="240" w:lineRule="auto"/>
            </w:pPr>
            <w:r/>
            <w:r>
              <w:rPr>
                <w:rFonts w:ascii="Aptos" w:hAnsi="Aptos" w:eastAsia="Aptos"/>
                <w:b/>
                <w:color w:val="FFFFFF"/>
                <w:sz w:val="17"/>
              </w:rPr>
              <w:t>Included in the proof of concept</w:t>
            </w:r>
          </w:p>
        </w:tc>
        <w:tc>
          <w:tcPr>
            <w:tcW w:type="dxa" w:w="4824"/>
            <w:vAlign w:val="center"/>
            <w:tcMar>
              <w:top w:w="90" w:type="dxa"/>
              <w:start w:w="100" w:type="dxa"/>
              <w:bottom w:w="90" w:type="dxa"/>
              <w:end w:w="100" w:type="dxa"/>
            </w:tcMar>
            <w:shd w:fill="17365D"/>
          </w:tcPr>
          <w:p>
            <w:pPr>
              <w:spacing w:after="0" w:before="0" w:line="240" w:lineRule="auto"/>
            </w:pPr>
            <w:r/>
            <w:r>
              <w:rPr>
                <w:rFonts w:ascii="Aptos" w:hAnsi="Aptos" w:eastAsia="Aptos"/>
                <w:b/>
                <w:color w:val="FFFFFF"/>
                <w:sz w:val="17"/>
              </w:rPr>
              <w:t>Explicitly outside the current scope</w:t>
            </w:r>
          </w:p>
        </w:tc>
      </w:tr>
      <w:tr>
        <w:tc>
          <w:tcPr>
            <w:tcW w:type="dxa" w:w="4752"/>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7"/>
              </w:rPr>
              <w:t>Synthetic civic incidents involving potholes, road defects, waterlogging and garbage accumulation.</w:t>
            </w:r>
          </w:p>
        </w:tc>
        <w:tc>
          <w:tcPr>
            <w:tcW w:type="dxa" w:w="4824"/>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7"/>
              </w:rPr>
              <w:t>Real citizen-service deployment or processing of a live municipal complaint stream.</w:t>
            </w:r>
          </w:p>
        </w:tc>
      </w:tr>
      <w:tr>
        <w:tc>
          <w:tcPr>
            <w:tcW w:type="dxa" w:w="4752"/>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7"/>
              </w:rPr>
              <w:t>React frontend, FastAPI REST backend and LangGraph orchestration.</w:t>
            </w:r>
          </w:p>
        </w:tc>
        <w:tc>
          <w:tcPr>
            <w:tcW w:type="dxa" w:w="4824"/>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7"/>
              </w:rPr>
              <w:t>Live dispatch of municipal crews, vehicles or contractors.</w:t>
            </w:r>
          </w:p>
        </w:tc>
      </w:tr>
      <w:tr>
        <w:tc>
          <w:tcPr>
            <w:tcW w:type="dxa" w:w="4752"/>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7"/>
              </w:rPr>
              <w:t>NLP classification, optional vision analysis, spatial candidate detection and rule-based priority scoring.</w:t>
            </w:r>
          </w:p>
        </w:tc>
        <w:tc>
          <w:tcPr>
            <w:tcW w:type="dxa" w:w="4824"/>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7"/>
              </w:rPr>
              <w:t>A validated public-safety risk model or calibrated vision confidence.</w:t>
            </w:r>
          </w:p>
        </w:tc>
      </w:tr>
      <w:tr>
        <w:tc>
          <w:tcPr>
            <w:tcW w:type="dxa" w:w="4752"/>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7"/>
              </w:rPr>
              <w:t>Deterministic execution simulation, injected failures and bounded recovery.</w:t>
            </w:r>
          </w:p>
        </w:tc>
        <w:tc>
          <w:tcPr>
            <w:tcW w:type="dxa" w:w="4824"/>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7"/>
              </w:rPr>
              <w:t>Physical road repair, live crew tracking or confirmation of structural road safety.</w:t>
            </w:r>
          </w:p>
        </w:tc>
      </w:tr>
      <w:tr>
        <w:tc>
          <w:tcPr>
            <w:tcW w:type="dxa" w:w="4752"/>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7"/>
              </w:rPr>
              <w:t>Evidence-gated simulated closure, supervisor sign-off checks and audit history.</w:t>
            </w:r>
          </w:p>
        </w:tc>
        <w:tc>
          <w:tcPr>
            <w:tcW w:type="dxa" w:w="4824"/>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7"/>
              </w:rPr>
              <w:t>Automatic merging of reports or autonomous closure without required evidence.</w:t>
            </w:r>
          </w:p>
        </w:tc>
      </w:tr>
    </w:tbl>
    <w:p>
      <w:pPr>
        <w:spacing w:after="20"/>
      </w:pPr>
    </w:p>
    <w:p>
      <w:pPr>
        <w:pStyle w:val="SmallNote"/>
      </w:pPr>
      <w:r>
        <w:t>All execution attempts are explicitly marked simulated=True. A VERIFIED_CLOSED status means that the prototype's simulated closure criteria passed; it is not proof that a real road or public space has been repaired.</w:t>
      </w:r>
    </w:p>
    <w:p>
      <w:pPr>
        <w:keepNext/>
        <w:spacing w:before="40" w:after="40"/>
      </w:pPr>
      <w:r>
        <w:rPr>
          <w:rFonts w:ascii="Aptos" w:hAnsi="Aptos"/>
          <w:b/>
          <w:color w:val="138A8A"/>
          <w:sz w:val="17"/>
        </w:rPr>
        <w:t>03 / REQUIREMENTS</w:t>
      </w:r>
    </w:p>
    <w:p>
      <w:pPr>
        <w:pStyle w:val="Heading1"/>
        <w:keepNext/>
      </w:pPr>
      <w:r>
        <w:t>3. Requirements and Scope</w:t>
      </w:r>
    </w:p>
    <w:p>
      <w:pPr>
        <w:pStyle w:val="Heading2"/>
        <w:keepNext/>
      </w:pPr>
      <w:r>
        <w:t>3.1 Functional requirements</w:t>
      </w:r>
    </w:p>
    <w:tbl>
      <w:tblPr>
        <w:tblStyle w:val="TableGrid"/>
        <w:tblW w:type="auto" w:w="0"/>
        <w:jc w:val="center"/>
        <w:tblLayout w:type="fixed"/>
        <w:tblLook w:firstColumn="1" w:firstRow="1" w:lastColumn="0" w:lastRow="0" w:noHBand="0" w:noVBand="1" w:val="04A0"/>
      </w:tblPr>
      <w:tblGrid>
        <w:gridCol w:w="3221"/>
        <w:gridCol w:w="3221"/>
        <w:gridCol w:w="3221"/>
      </w:tblGrid>
      <w:tr>
        <w:trPr>
          <w:tblHeader w:val="true"/>
        </w:trPr>
        <w:tc>
          <w:tcPr>
            <w:tcW w:type="dxa" w:w="936"/>
            <w:vAlign w:val="center"/>
            <w:tcMar>
              <w:top w:w="90" w:type="dxa"/>
              <w:start w:w="100" w:type="dxa"/>
              <w:bottom w:w="90" w:type="dxa"/>
              <w:end w:w="100" w:type="dxa"/>
            </w:tcMar>
            <w:shd w:fill="17365D"/>
          </w:tcPr>
          <w:p>
            <w:pPr>
              <w:spacing w:after="0" w:before="0" w:line="240" w:lineRule="auto"/>
            </w:pPr>
            <w:r/>
            <w:r>
              <w:rPr>
                <w:rFonts w:ascii="Aptos" w:hAnsi="Aptos" w:eastAsia="Aptos"/>
                <w:b/>
                <w:color w:val="FFFFFF"/>
                <w:sz w:val="16"/>
              </w:rPr>
              <w:t>ID</w:t>
            </w:r>
          </w:p>
        </w:tc>
        <w:tc>
          <w:tcPr>
            <w:tcW w:type="dxa" w:w="2232"/>
            <w:vAlign w:val="center"/>
            <w:tcMar>
              <w:top w:w="90" w:type="dxa"/>
              <w:start w:w="100" w:type="dxa"/>
              <w:bottom w:w="90" w:type="dxa"/>
              <w:end w:w="100" w:type="dxa"/>
            </w:tcMar>
            <w:shd w:fill="17365D"/>
          </w:tcPr>
          <w:p>
            <w:pPr>
              <w:spacing w:after="0" w:before="0" w:line="240" w:lineRule="auto"/>
            </w:pPr>
            <w:r/>
            <w:r>
              <w:rPr>
                <w:rFonts w:ascii="Aptos" w:hAnsi="Aptos" w:eastAsia="Aptos"/>
                <w:b/>
                <w:color w:val="FFFFFF"/>
                <w:sz w:val="16"/>
              </w:rPr>
              <w:t>Requirement</w:t>
            </w:r>
          </w:p>
        </w:tc>
        <w:tc>
          <w:tcPr>
            <w:tcW w:type="dxa" w:w="6408"/>
            <w:vAlign w:val="center"/>
            <w:tcMar>
              <w:top w:w="90" w:type="dxa"/>
              <w:start w:w="100" w:type="dxa"/>
              <w:bottom w:w="90" w:type="dxa"/>
              <w:end w:w="100" w:type="dxa"/>
            </w:tcMar>
            <w:shd w:fill="17365D"/>
          </w:tcPr>
          <w:p>
            <w:pPr>
              <w:spacing w:after="0" w:before="0" w:line="240" w:lineRule="auto"/>
            </w:pPr>
            <w:r/>
            <w:r>
              <w:rPr>
                <w:rFonts w:ascii="Aptos" w:hAnsi="Aptos" w:eastAsia="Aptos"/>
                <w:b/>
                <w:color w:val="FFFFFF"/>
                <w:sz w:val="16"/>
              </w:rPr>
              <w:t>Expected system behavior</w:t>
            </w:r>
          </w:p>
        </w:tc>
      </w:tr>
      <w:tr>
        <w:tc>
          <w:tcPr>
            <w:tcW w:type="dxa" w:w="936"/>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6"/>
              </w:rPr>
              <w:t>FR-01</w:t>
            </w:r>
          </w:p>
        </w:tc>
        <w:tc>
          <w:tcPr>
            <w:tcW w:type="dxa" w:w="2232"/>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6"/>
              </w:rPr>
              <w:t>Incident intake</w:t>
            </w:r>
          </w:p>
        </w:tc>
        <w:tc>
          <w:tcPr>
            <w:tcW w:type="dxa" w:w="6408"/>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6"/>
              </w:rPr>
              <w:t>Accept complaint text, category-related details, coordinates and optional image; create a tracked incident.</w:t>
            </w:r>
          </w:p>
        </w:tc>
      </w:tr>
      <w:tr>
        <w:tc>
          <w:tcPr>
            <w:tcW w:type="dxa" w:w="936"/>
            <w:vAlign w:val="center"/>
            <w:tcMar>
              <w:top w:w="90" w:type="dxa"/>
              <w:start w:w="100" w:type="dxa"/>
              <w:bottom w:w="90" w:type="dxa"/>
              <w:end w:w="100" w:type="dxa"/>
            </w:tcMar>
            <w:shd w:fill="F4F7FA"/>
          </w:tcPr>
          <w:p>
            <w:pPr>
              <w:spacing w:after="0" w:before="0" w:line="240" w:lineRule="auto"/>
            </w:pPr>
            <w:r/>
            <w:r>
              <w:rPr>
                <w:rFonts w:ascii="Cambria" w:hAnsi="Cambria" w:eastAsia="Cambria"/>
                <w:b/>
                <w:color w:val="273746"/>
                <w:sz w:val="16"/>
              </w:rPr>
              <w:t>FR-02</w:t>
            </w:r>
          </w:p>
        </w:tc>
        <w:tc>
          <w:tcPr>
            <w:tcW w:type="dxa" w:w="2232"/>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6"/>
              </w:rPr>
              <w:t>Evidence-aware classification</w:t>
            </w:r>
          </w:p>
        </w:tc>
        <w:tc>
          <w:tcPr>
            <w:tcW w:type="dxa" w:w="6408"/>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6"/>
              </w:rPr>
              <w:t>Return a category and available confidence/context; request clarification when NLP and vision disagree.</w:t>
            </w:r>
          </w:p>
        </w:tc>
      </w:tr>
      <w:tr>
        <w:tc>
          <w:tcPr>
            <w:tcW w:type="dxa" w:w="936"/>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6"/>
              </w:rPr>
              <w:t>FR-03</w:t>
            </w:r>
          </w:p>
        </w:tc>
        <w:tc>
          <w:tcPr>
            <w:tcW w:type="dxa" w:w="2232"/>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6"/>
              </w:rPr>
              <w:t>Geospatial context</w:t>
            </w:r>
          </w:p>
        </w:tc>
        <w:tc>
          <w:tcPr>
            <w:tcW w:type="dxa" w:w="6408"/>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6"/>
              </w:rPr>
              <w:t>Compare coordinates and text similarity; retain possible duplicates as UNCONFIRMED candidates.</w:t>
            </w:r>
          </w:p>
        </w:tc>
      </w:tr>
      <w:tr>
        <w:tc>
          <w:tcPr>
            <w:tcW w:type="dxa" w:w="936"/>
            <w:vAlign w:val="center"/>
            <w:tcMar>
              <w:top w:w="90" w:type="dxa"/>
              <w:start w:w="100" w:type="dxa"/>
              <w:bottom w:w="90" w:type="dxa"/>
              <w:end w:w="100" w:type="dxa"/>
            </w:tcMar>
            <w:shd w:fill="F4F7FA"/>
          </w:tcPr>
          <w:p>
            <w:pPr>
              <w:spacing w:after="0" w:before="0" w:line="240" w:lineRule="auto"/>
            </w:pPr>
            <w:r/>
            <w:r>
              <w:rPr>
                <w:rFonts w:ascii="Cambria" w:hAnsi="Cambria" w:eastAsia="Cambria"/>
                <w:b/>
                <w:color w:val="273746"/>
                <w:sz w:val="16"/>
              </w:rPr>
              <w:t>FR-04</w:t>
            </w:r>
          </w:p>
        </w:tc>
        <w:tc>
          <w:tcPr>
            <w:tcW w:type="dxa" w:w="2232"/>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6"/>
              </w:rPr>
              <w:t>Risk and priority</w:t>
            </w:r>
          </w:p>
        </w:tc>
        <w:tc>
          <w:tcPr>
            <w:tcW w:type="dxa" w:w="6408"/>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6"/>
              </w:rPr>
              <w:t>Produce a transparent 0–100 score and apply mandatory danger escalation independently of baseline score.</w:t>
            </w:r>
          </w:p>
        </w:tc>
      </w:tr>
      <w:tr>
        <w:tc>
          <w:tcPr>
            <w:tcW w:type="dxa" w:w="936"/>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6"/>
              </w:rPr>
              <w:t>FR-05</w:t>
            </w:r>
          </w:p>
        </w:tc>
        <w:tc>
          <w:tcPr>
            <w:tcW w:type="dxa" w:w="2232"/>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6"/>
              </w:rPr>
              <w:t>Response planning</w:t>
            </w:r>
          </w:p>
        </w:tc>
        <w:tc>
          <w:tcPr>
            <w:tcW w:type="dxa" w:w="6408"/>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6"/>
              </w:rPr>
              <w:t>Create temporary-mitigation and permanent-repair phases, required resources and closure criteria.</w:t>
            </w:r>
          </w:p>
        </w:tc>
      </w:tr>
      <w:tr>
        <w:tc>
          <w:tcPr>
            <w:tcW w:type="dxa" w:w="936"/>
            <w:vAlign w:val="center"/>
            <w:tcMar>
              <w:top w:w="90" w:type="dxa"/>
              <w:start w:w="100" w:type="dxa"/>
              <w:bottom w:w="90" w:type="dxa"/>
              <w:end w:w="100" w:type="dxa"/>
            </w:tcMar>
            <w:shd w:fill="F4F7FA"/>
          </w:tcPr>
          <w:p>
            <w:pPr>
              <w:spacing w:after="0" w:before="0" w:line="240" w:lineRule="auto"/>
            </w:pPr>
            <w:r/>
            <w:r>
              <w:rPr>
                <w:rFonts w:ascii="Cambria" w:hAnsi="Cambria" w:eastAsia="Cambria"/>
                <w:b/>
                <w:color w:val="273746"/>
                <w:sz w:val="16"/>
              </w:rPr>
              <w:t>FR-06</w:t>
            </w:r>
          </w:p>
        </w:tc>
        <w:tc>
          <w:tcPr>
            <w:tcW w:type="dxa" w:w="2232"/>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6"/>
              </w:rPr>
              <w:t>Critic validation</w:t>
            </w:r>
          </w:p>
        </w:tc>
        <w:tc>
          <w:tcPr>
            <w:tcW w:type="dxa" w:w="6408"/>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6"/>
              </w:rPr>
              <w:t>Check safety, feasibility, material availability and resource constraints; approve, reject or escalate.</w:t>
            </w:r>
          </w:p>
        </w:tc>
      </w:tr>
      <w:tr>
        <w:tc>
          <w:tcPr>
            <w:tcW w:type="dxa" w:w="936"/>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6"/>
              </w:rPr>
              <w:t>FR-07</w:t>
            </w:r>
          </w:p>
        </w:tc>
        <w:tc>
          <w:tcPr>
            <w:tcW w:type="dxa" w:w="2232"/>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6"/>
              </w:rPr>
              <w:t>Simulated execution</w:t>
            </w:r>
          </w:p>
        </w:tc>
        <w:tc>
          <w:tcPr>
            <w:tcW w:type="dxa" w:w="6408"/>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6"/>
              </w:rPr>
              <w:t>Record execution attempts and support injected obstacles such as crew or material shortage and weather blocks.</w:t>
            </w:r>
          </w:p>
        </w:tc>
      </w:tr>
      <w:tr>
        <w:tc>
          <w:tcPr>
            <w:tcW w:type="dxa" w:w="936"/>
            <w:vAlign w:val="center"/>
            <w:tcMar>
              <w:top w:w="90" w:type="dxa"/>
              <w:start w:w="100" w:type="dxa"/>
              <w:bottom w:w="90" w:type="dxa"/>
              <w:end w:w="100" w:type="dxa"/>
            </w:tcMar>
            <w:shd w:fill="F4F7FA"/>
          </w:tcPr>
          <w:p>
            <w:pPr>
              <w:spacing w:after="0" w:before="0" w:line="240" w:lineRule="auto"/>
            </w:pPr>
            <w:r/>
            <w:r>
              <w:rPr>
                <w:rFonts w:ascii="Cambria" w:hAnsi="Cambria" w:eastAsia="Cambria"/>
                <w:b/>
                <w:color w:val="273746"/>
                <w:sz w:val="16"/>
              </w:rPr>
              <w:t>FR-08</w:t>
            </w:r>
          </w:p>
        </w:tc>
        <w:tc>
          <w:tcPr>
            <w:tcW w:type="dxa" w:w="2232"/>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6"/>
              </w:rPr>
              <w:t>Adaptive recovery</w:t>
            </w:r>
          </w:p>
        </w:tc>
        <w:tc>
          <w:tcPr>
            <w:tcW w:type="dxa" w:w="6408"/>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6"/>
              </w:rPr>
              <w:t>Diagnose execution failure, preserve prior plan history, generate a safe alternative and cap autonomous retries at two.</w:t>
            </w:r>
          </w:p>
        </w:tc>
      </w:tr>
      <w:tr>
        <w:tc>
          <w:tcPr>
            <w:tcW w:type="dxa" w:w="936"/>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6"/>
              </w:rPr>
              <w:t>FR-09</w:t>
            </w:r>
          </w:p>
        </w:tc>
        <w:tc>
          <w:tcPr>
            <w:tcW w:type="dxa" w:w="2232"/>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6"/>
              </w:rPr>
              <w:t>Independent verification</w:t>
            </w:r>
          </w:p>
        </w:tc>
        <w:tc>
          <w:tcPr>
            <w:tcW w:type="dxa" w:w="6408"/>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6"/>
              </w:rPr>
              <w:t>Check post-intervention evidence and required sign-off; block closure when criteria are incomplete.</w:t>
            </w:r>
          </w:p>
        </w:tc>
      </w:tr>
      <w:tr>
        <w:tc>
          <w:tcPr>
            <w:tcW w:type="dxa" w:w="936"/>
            <w:vAlign w:val="center"/>
            <w:tcMar>
              <w:top w:w="90" w:type="dxa"/>
              <w:start w:w="100" w:type="dxa"/>
              <w:bottom w:w="90" w:type="dxa"/>
              <w:end w:w="100" w:type="dxa"/>
            </w:tcMar>
            <w:shd w:fill="F4F7FA"/>
          </w:tcPr>
          <w:p>
            <w:pPr>
              <w:spacing w:after="0" w:before="0" w:line="240" w:lineRule="auto"/>
            </w:pPr>
            <w:r/>
            <w:r>
              <w:rPr>
                <w:rFonts w:ascii="Cambria" w:hAnsi="Cambria" w:eastAsia="Cambria"/>
                <w:b/>
                <w:color w:val="273746"/>
                <w:sz w:val="16"/>
              </w:rPr>
              <w:t>FR-10</w:t>
            </w:r>
          </w:p>
        </w:tc>
        <w:tc>
          <w:tcPr>
            <w:tcW w:type="dxa" w:w="2232"/>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6"/>
              </w:rPr>
              <w:t>Audit and inspection</w:t>
            </w:r>
          </w:p>
        </w:tc>
        <w:tc>
          <w:tcPr>
            <w:tcW w:type="dxa" w:w="6408"/>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6"/>
              </w:rPr>
              <w:t>Expose incident history, state transitions, agent decisions, plan versions and execution attempts.</w:t>
            </w:r>
          </w:p>
        </w:tc>
      </w:tr>
      <w:tr>
        <w:tc>
          <w:tcPr>
            <w:tcW w:type="dxa" w:w="936"/>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6"/>
              </w:rPr>
              <w:t>FR-11</w:t>
            </w:r>
          </w:p>
        </w:tc>
        <w:tc>
          <w:tcPr>
            <w:tcW w:type="dxa" w:w="2232"/>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6"/>
              </w:rPr>
              <w:t>Evaluation</w:t>
            </w:r>
          </w:p>
        </w:tc>
        <w:tc>
          <w:tcPr>
            <w:tcW w:type="dxa" w:w="6408"/>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6"/>
              </w:rPr>
              <w:t>Provide ML metrics and automated tests for workflow invariants and decision rules.</w:t>
            </w:r>
          </w:p>
        </w:tc>
      </w:tr>
    </w:tbl>
    <w:p>
      <w:pPr>
        <w:spacing w:after="20"/>
      </w:pPr>
    </w:p>
    <w:p>
      <w:pPr>
        <w:pStyle w:val="Heading2"/>
        <w:keepNext/>
      </w:pPr>
      <w:r>
        <w:t>3.2 Non-functional requirements and design qualities</w:t>
      </w:r>
    </w:p>
    <w:tbl>
      <w:tblPr>
        <w:tblStyle w:val="TableGrid"/>
        <w:tblW w:type="auto" w:w="0"/>
        <w:jc w:val="center"/>
        <w:tblLayout w:type="fixed"/>
        <w:tblLook w:firstColumn="1" w:firstRow="1" w:lastColumn="0" w:lastRow="0" w:noHBand="0" w:noVBand="1" w:val="04A0"/>
      </w:tblPr>
      <w:tblGrid>
        <w:gridCol w:w="4831"/>
        <w:gridCol w:w="4831"/>
      </w:tblGrid>
      <w:tr>
        <w:trPr>
          <w:tblHeader w:val="true"/>
        </w:trPr>
        <w:tc>
          <w:tcPr>
            <w:tcW w:type="dxa" w:w="2088"/>
            <w:vAlign w:val="center"/>
            <w:tcMar>
              <w:top w:w="90" w:type="dxa"/>
              <w:start w:w="100" w:type="dxa"/>
              <w:bottom w:w="90" w:type="dxa"/>
              <w:end w:w="100" w:type="dxa"/>
            </w:tcMar>
            <w:shd w:fill="17365D"/>
          </w:tcPr>
          <w:p>
            <w:pPr>
              <w:spacing w:after="0" w:before="0" w:line="240" w:lineRule="auto"/>
            </w:pPr>
            <w:r/>
            <w:r>
              <w:rPr>
                <w:rFonts w:ascii="Aptos" w:hAnsi="Aptos" w:eastAsia="Aptos"/>
                <w:b/>
                <w:color w:val="FFFFFF"/>
                <w:sz w:val="17"/>
              </w:rPr>
              <w:t>Quality</w:t>
            </w:r>
          </w:p>
        </w:tc>
        <w:tc>
          <w:tcPr>
            <w:tcW w:type="dxa" w:w="7488"/>
            <w:vAlign w:val="center"/>
            <w:tcMar>
              <w:top w:w="90" w:type="dxa"/>
              <w:start w:w="100" w:type="dxa"/>
              <w:bottom w:w="90" w:type="dxa"/>
              <w:end w:w="100" w:type="dxa"/>
            </w:tcMar>
            <w:shd w:fill="17365D"/>
          </w:tcPr>
          <w:p>
            <w:pPr>
              <w:spacing w:after="0" w:before="0" w:line="240" w:lineRule="auto"/>
            </w:pPr>
            <w:r/>
            <w:r>
              <w:rPr>
                <w:rFonts w:ascii="Aptos" w:hAnsi="Aptos" w:eastAsia="Aptos"/>
                <w:b/>
                <w:color w:val="FFFFFF"/>
                <w:sz w:val="17"/>
              </w:rPr>
              <w:t>How the prototype addresses it</w:t>
            </w:r>
          </w:p>
        </w:tc>
      </w:tr>
      <w:tr>
        <w:tc>
          <w:tcPr>
            <w:tcW w:type="dxa" w:w="2088"/>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7"/>
              </w:rPr>
              <w:t>Safety</w:t>
            </w:r>
          </w:p>
        </w:tc>
        <w:tc>
          <w:tcPr>
            <w:tcW w:type="dxa" w:w="7488"/>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7"/>
              </w:rPr>
              <w:t>Critical hazard escalation, a Critic safety gate, rejection of unsafe alternatives and closure gating.</w:t>
            </w:r>
          </w:p>
        </w:tc>
      </w:tr>
      <w:tr>
        <w:tc>
          <w:tcPr>
            <w:tcW w:type="dxa" w:w="2088"/>
            <w:vAlign w:val="center"/>
            <w:tcMar>
              <w:top w:w="90" w:type="dxa"/>
              <w:start w:w="100" w:type="dxa"/>
              <w:bottom w:w="90" w:type="dxa"/>
              <w:end w:w="100" w:type="dxa"/>
            </w:tcMar>
            <w:shd w:fill="F4F7FA"/>
          </w:tcPr>
          <w:p>
            <w:pPr>
              <w:spacing w:after="0" w:before="0" w:line="240" w:lineRule="auto"/>
            </w:pPr>
            <w:r/>
            <w:r>
              <w:rPr>
                <w:rFonts w:ascii="Cambria" w:hAnsi="Cambria" w:eastAsia="Cambria"/>
                <w:b/>
                <w:color w:val="273746"/>
                <w:sz w:val="17"/>
              </w:rPr>
              <w:t>Traceability</w:t>
            </w:r>
          </w:p>
        </w:tc>
        <w:tc>
          <w:tcPr>
            <w:tcW w:type="dxa" w:w="7488"/>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7"/>
              </w:rPr>
              <w:t>Incident identifiers, versioned plans, stored attempts and append-only audit events.</w:t>
            </w:r>
          </w:p>
        </w:tc>
      </w:tr>
      <w:tr>
        <w:tc>
          <w:tcPr>
            <w:tcW w:type="dxa" w:w="2088"/>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7"/>
              </w:rPr>
              <w:t>Bounded autonomy</w:t>
            </w:r>
          </w:p>
        </w:tc>
        <w:tc>
          <w:tcPr>
            <w:tcW w:type="dxa" w:w="7488"/>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7"/>
              </w:rPr>
              <w:t>A maximum of two autonomous recovery retries followed by HUMAN_REVIEW.</w:t>
            </w:r>
          </w:p>
        </w:tc>
      </w:tr>
      <w:tr>
        <w:tc>
          <w:tcPr>
            <w:tcW w:type="dxa" w:w="2088"/>
            <w:vAlign w:val="center"/>
            <w:tcMar>
              <w:top w:w="90" w:type="dxa"/>
              <w:start w:w="100" w:type="dxa"/>
              <w:bottom w:w="90" w:type="dxa"/>
              <w:end w:w="100" w:type="dxa"/>
            </w:tcMar>
            <w:shd w:fill="F4F7FA"/>
          </w:tcPr>
          <w:p>
            <w:pPr>
              <w:spacing w:after="0" w:before="0" w:line="240" w:lineRule="auto"/>
            </w:pPr>
            <w:r/>
            <w:r>
              <w:rPr>
                <w:rFonts w:ascii="Cambria" w:hAnsi="Cambria" w:eastAsia="Cambria"/>
                <w:b/>
                <w:color w:val="273746"/>
                <w:sz w:val="17"/>
              </w:rPr>
              <w:t>Explainability</w:t>
            </w:r>
          </w:p>
        </w:tc>
        <w:tc>
          <w:tcPr>
            <w:tcW w:type="dxa" w:w="7488"/>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7"/>
              </w:rPr>
              <w:t>Rule-based priority scoring, recorded reasons and inspectable state transitions.</w:t>
            </w:r>
          </w:p>
        </w:tc>
      </w:tr>
      <w:tr>
        <w:tc>
          <w:tcPr>
            <w:tcW w:type="dxa" w:w="2088"/>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7"/>
              </w:rPr>
              <w:t>Fault tolerance</w:t>
            </w:r>
          </w:p>
        </w:tc>
        <w:tc>
          <w:tcPr>
            <w:tcW w:type="dxa" w:w="7488"/>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7"/>
              </w:rPr>
              <w:t>Structured unavailable-model responses and deterministic fallback behavior where supported.</w:t>
            </w:r>
          </w:p>
        </w:tc>
      </w:tr>
      <w:tr>
        <w:tc>
          <w:tcPr>
            <w:tcW w:type="dxa" w:w="2088"/>
            <w:vAlign w:val="center"/>
            <w:tcMar>
              <w:top w:w="90" w:type="dxa"/>
              <w:start w:w="100" w:type="dxa"/>
              <w:bottom w:w="90" w:type="dxa"/>
              <w:end w:w="100" w:type="dxa"/>
            </w:tcMar>
            <w:shd w:fill="F4F7FA"/>
          </w:tcPr>
          <w:p>
            <w:pPr>
              <w:spacing w:after="0" w:before="0" w:line="240" w:lineRule="auto"/>
            </w:pPr>
            <w:r/>
            <w:r>
              <w:rPr>
                <w:rFonts w:ascii="Cambria" w:hAnsi="Cambria" w:eastAsia="Cambria"/>
                <w:b/>
                <w:color w:val="273746"/>
                <w:sz w:val="17"/>
              </w:rPr>
              <w:t>Data minimization</w:t>
            </w:r>
          </w:p>
        </w:tc>
        <w:tc>
          <w:tcPr>
            <w:tcW w:type="dxa" w:w="7488"/>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7"/>
              </w:rPr>
              <w:t>Image EXIF sanitization at intake; synthetic records used for the academic evaluation.</w:t>
            </w:r>
          </w:p>
        </w:tc>
      </w:tr>
      <w:tr>
        <w:tc>
          <w:tcPr>
            <w:tcW w:type="dxa" w:w="2088"/>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7"/>
              </w:rPr>
              <w:t>Maintainability</w:t>
            </w:r>
          </w:p>
        </w:tc>
        <w:tc>
          <w:tcPr>
            <w:tcW w:type="dxa" w:w="7488"/>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7"/>
              </w:rPr>
              <w:t>Separation between frontend, API, agents, graph orchestration, persistence and evaluation.</w:t>
            </w:r>
          </w:p>
        </w:tc>
      </w:tr>
      <w:tr>
        <w:tc>
          <w:tcPr>
            <w:tcW w:type="dxa" w:w="2088"/>
            <w:vAlign w:val="center"/>
            <w:tcMar>
              <w:top w:w="90" w:type="dxa"/>
              <w:start w:w="100" w:type="dxa"/>
              <w:bottom w:w="90" w:type="dxa"/>
              <w:end w:w="100" w:type="dxa"/>
            </w:tcMar>
            <w:shd w:fill="F4F7FA"/>
          </w:tcPr>
          <w:p>
            <w:pPr>
              <w:spacing w:after="0" w:before="0" w:line="240" w:lineRule="auto"/>
            </w:pPr>
            <w:r/>
            <w:r>
              <w:rPr>
                <w:rFonts w:ascii="Cambria" w:hAnsi="Cambria" w:eastAsia="Cambria"/>
                <w:b/>
                <w:color w:val="273746"/>
                <w:sz w:val="17"/>
              </w:rPr>
              <w:t>Portability</w:t>
            </w:r>
          </w:p>
        </w:tc>
        <w:tc>
          <w:tcPr>
            <w:tcW w:type="dxa" w:w="7488"/>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7"/>
              </w:rPr>
              <w:t>Local development setup with Python and Node.js; optional external vision integration.</w:t>
            </w:r>
          </w:p>
        </w:tc>
      </w:tr>
    </w:tbl>
    <w:p>
      <w:pPr>
        <w:spacing w:after="20"/>
      </w:pPr>
    </w:p>
    <w:p>
      <w:pPr>
        <w:pStyle w:val="Heading2"/>
        <w:keepNext/>
      </w:pPr>
      <w:r>
        <w:t>3.3 Success criteria</w:t>
      </w:r>
    </w:p>
    <w:p>
      <w:pPr>
        <w:pStyle w:val="ListBullet"/>
        <w:spacing w:after="60"/>
        <w:ind w:left="403" w:hanging="230"/>
      </w:pPr>
      <w:r>
        <w:t>All 11 documented system invariants and workflow checks pass in the repository's validation runner.</w:t>
      </w:r>
    </w:p>
    <w:p>
      <w:pPr>
        <w:pStyle w:val="ListBullet"/>
        <w:spacing w:after="60"/>
        <w:ind w:left="403" w:hanging="230"/>
      </w:pPr>
      <w:r>
        <w:t>The backend test suite completes with no failures, while any skipped live-service test is disclosed.</w:t>
      </w:r>
    </w:p>
    <w:p>
      <w:pPr>
        <w:pStyle w:val="ListBullet"/>
        <w:spacing w:after="60"/>
        <w:ind w:left="403" w:hanging="230"/>
      </w:pPr>
      <w:r>
        <w:t>The frontend production build completes without TypeScript/build errors.</w:t>
      </w:r>
    </w:p>
    <w:p>
      <w:pPr>
        <w:pStyle w:val="ListBullet"/>
        <w:spacing w:after="60"/>
        <w:ind w:left="403" w:hanging="230"/>
      </w:pPr>
      <w:r>
        <w:t>The system demonstrates both successful and unsuccessful paths, including failure injection, bounded recovery and closure denial when evidence is missing.</w:t>
      </w:r>
    </w:p>
    <w:p>
      <w:pPr>
        <w:pStyle w:val="ListBullet"/>
        <w:spacing w:after="60"/>
        <w:ind w:left="403" w:hanging="230"/>
      </w:pPr>
      <w:r>
        <w:t>Reported model metrics are accompanied by dataset size and a warning that synthetic evaluation does not establish real-world performance.</w:t>
      </w:r>
    </w:p>
    <w:p>
      <w:pPr>
        <w:keepNext/>
        <w:spacing w:before="40" w:after="40"/>
      </w:pPr>
      <w:r>
        <w:rPr>
          <w:rFonts w:ascii="Aptos" w:hAnsi="Aptos"/>
          <w:b/>
          <w:color w:val="138A8A"/>
          <w:sz w:val="17"/>
        </w:rPr>
        <w:t>04 / SYSTEM DESIGN</w:t>
      </w:r>
    </w:p>
    <w:p>
      <w:pPr>
        <w:pStyle w:val="Heading1"/>
        <w:keepNext/>
      </w:pPr>
      <w:r>
        <w:t>4. System Architecture</w:t>
      </w:r>
    </w:p>
    <w:p>
      <w:pPr>
        <w:spacing w:after="160"/>
      </w:pPr>
      <w:r>
        <w:rPr>
          <w:i/>
          <w:color w:val="667788"/>
          <w:sz w:val="20"/>
        </w:rPr>
        <w:t>Layered interface, stateful orchestration, specialist agents and shared persistence.</w:t>
      </w:r>
    </w:p>
    <w:p>
      <w:pPr>
        <w:pStyle w:val="Heading2"/>
        <w:keepNext/>
      </w:pPr>
      <w:r>
        <w:t>4.1 Architecture overview</w:t>
      </w:r>
    </w:p>
    <w:p>
      <w:r>
        <w:t>The architecture separates the user-facing application from the API and orchestration engine, and separates workflow logic from persistence and model services. The browser communicates with FastAPI through REST endpoints. FastAPI invokes a LangGraph state machine that coordinates the specialist agents and routes based on state, decisions and failure outcomes. Shared services provide NLP/vision inference, geospatial and risk rules, persistent incident records and an append-only audit trail [1].</w:t>
      </w:r>
    </w:p>
    <w:p>
      <w:pPr>
        <w:pStyle w:val="Heading2"/>
        <w:keepNext/>
      </w:pPr>
      <w:r>
        <w:t>4.2 Architecture diagram</w:t>
      </w:r>
    </w:p>
    <w:p>
      <w:pPr>
        <w:spacing w:after="0"/>
        <w:jc w:val="center"/>
      </w:pPr>
      <w:r>
        <w:t>The full-width architecture diagram is provided on the dedicated landscape page in this chapter.</w:t>
      </w:r>
    </w:p>
    <w:p>
      <w:pPr>
        <w:pStyle w:val="SmallNote"/>
      </w:pPr>
      <w:r>
        <w:t>The diagram is a high-level view. The repository's LangGraph orchestrator models 15 discrete states; individual agent nodes are coordinated by the graph rather than running as independent services.</w:t>
      </w:r>
    </w:p>
    <w:p>
      <w:pPr>
        <w:pStyle w:val="Heading2"/>
        <w:keepNext/>
      </w:pPr>
      <w:r>
        <w:t>4.3 Layer responsibilities</w:t>
      </w:r>
    </w:p>
    <w:tbl>
      <w:tblPr>
        <w:tblStyle w:val="TableGrid"/>
        <w:tblW w:type="auto" w:w="0"/>
        <w:jc w:val="center"/>
        <w:tblLayout w:type="fixed"/>
        <w:tblLook w:firstColumn="1" w:firstRow="1" w:lastColumn="0" w:lastRow="0" w:noHBand="0" w:noVBand="1" w:val="04A0"/>
      </w:tblPr>
      <w:tblGrid>
        <w:gridCol w:w="3221"/>
        <w:gridCol w:w="3221"/>
        <w:gridCol w:w="3221"/>
      </w:tblGrid>
      <w:tr>
        <w:trPr>
          <w:tblHeader w:val="true"/>
        </w:trPr>
        <w:tc>
          <w:tcPr>
            <w:tcW w:type="dxa" w:w="1944"/>
            <w:vAlign w:val="center"/>
            <w:tcMar>
              <w:top w:w="90" w:type="dxa"/>
              <w:start w:w="100" w:type="dxa"/>
              <w:bottom w:w="90" w:type="dxa"/>
              <w:end w:w="100" w:type="dxa"/>
            </w:tcMar>
            <w:shd w:fill="17365D"/>
          </w:tcPr>
          <w:p>
            <w:pPr>
              <w:spacing w:after="0" w:before="0" w:line="240" w:lineRule="auto"/>
            </w:pPr>
            <w:r/>
            <w:r>
              <w:rPr>
                <w:rFonts w:ascii="Aptos" w:hAnsi="Aptos" w:eastAsia="Aptos"/>
                <w:b/>
                <w:color w:val="FFFFFF"/>
                <w:sz w:val="15"/>
              </w:rPr>
              <w:t>Layer / component</w:t>
            </w:r>
          </w:p>
        </w:tc>
        <w:tc>
          <w:tcPr>
            <w:tcW w:type="dxa" w:w="4536"/>
            <w:vAlign w:val="center"/>
            <w:tcMar>
              <w:top w:w="90" w:type="dxa"/>
              <w:start w:w="100" w:type="dxa"/>
              <w:bottom w:w="90" w:type="dxa"/>
              <w:end w:w="100" w:type="dxa"/>
            </w:tcMar>
            <w:shd w:fill="17365D"/>
          </w:tcPr>
          <w:p>
            <w:pPr>
              <w:spacing w:after="0" w:before="0" w:line="240" w:lineRule="auto"/>
            </w:pPr>
            <w:r/>
            <w:r>
              <w:rPr>
                <w:rFonts w:ascii="Aptos" w:hAnsi="Aptos" w:eastAsia="Aptos"/>
                <w:b/>
                <w:color w:val="FFFFFF"/>
                <w:sz w:val="15"/>
              </w:rPr>
              <w:t>Main responsibilities</w:t>
            </w:r>
          </w:p>
        </w:tc>
        <w:tc>
          <w:tcPr>
            <w:tcW w:type="dxa" w:w="3096"/>
            <w:vAlign w:val="center"/>
            <w:tcMar>
              <w:top w:w="90" w:type="dxa"/>
              <w:start w:w="100" w:type="dxa"/>
              <w:bottom w:w="90" w:type="dxa"/>
              <w:end w:w="100" w:type="dxa"/>
            </w:tcMar>
            <w:shd w:fill="17365D"/>
          </w:tcPr>
          <w:p>
            <w:pPr>
              <w:spacing w:after="0" w:before="0" w:line="240" w:lineRule="auto"/>
            </w:pPr>
            <w:r/>
            <w:r>
              <w:rPr>
                <w:rFonts w:ascii="Aptos" w:hAnsi="Aptos" w:eastAsia="Aptos"/>
                <w:b/>
                <w:color w:val="FFFFFF"/>
                <w:sz w:val="15"/>
              </w:rPr>
              <w:t>Implementation</w:t>
            </w:r>
          </w:p>
        </w:tc>
      </w:tr>
      <w:tr>
        <w:tc>
          <w:tcPr>
            <w:tcW w:type="dxa" w:w="1944"/>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5"/>
              </w:rPr>
              <w:t>Presentation layer</w:t>
            </w:r>
          </w:p>
        </w:tc>
        <w:tc>
          <w:tcPr>
            <w:tcW w:type="dxa" w:w="4536"/>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5"/>
              </w:rPr>
              <w:t>Citizen intake, incident registry, map and filters, agent-step inspection, simulation lab, ML metrics, audit timeline and exports.</w:t>
            </w:r>
          </w:p>
        </w:tc>
        <w:tc>
          <w:tcPr>
            <w:tcW w:type="dxa" w:w="3096"/>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5"/>
              </w:rPr>
              <w:t>React 19, TypeScript, Vite 8, Tailwind CSS, Leaflet, @xyflow/react.</w:t>
            </w:r>
          </w:p>
        </w:tc>
      </w:tr>
      <w:tr>
        <w:tc>
          <w:tcPr>
            <w:tcW w:type="dxa" w:w="1944"/>
            <w:vAlign w:val="center"/>
            <w:tcMar>
              <w:top w:w="90" w:type="dxa"/>
              <w:start w:w="100" w:type="dxa"/>
              <w:bottom w:w="90" w:type="dxa"/>
              <w:end w:w="100" w:type="dxa"/>
            </w:tcMar>
            <w:shd w:fill="F4F7FA"/>
          </w:tcPr>
          <w:p>
            <w:pPr>
              <w:spacing w:after="0" w:before="0" w:line="240" w:lineRule="auto"/>
            </w:pPr>
            <w:r/>
            <w:r>
              <w:rPr>
                <w:rFonts w:ascii="Cambria" w:hAnsi="Cambria" w:eastAsia="Cambria"/>
                <w:b/>
                <w:color w:val="273746"/>
                <w:sz w:val="15"/>
              </w:rPr>
              <w:t>API layer</w:t>
            </w:r>
          </w:p>
        </w:tc>
        <w:tc>
          <w:tcPr>
            <w:tcW w:type="dxa" w:w="4536"/>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5"/>
              </w:rPr>
              <w:t>Validate requests, expose incident and simulation operations, return structured responses and connect the UI to backend services.</w:t>
            </w:r>
          </w:p>
        </w:tc>
        <w:tc>
          <w:tcPr>
            <w:tcW w:type="dxa" w:w="3096"/>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5"/>
              </w:rPr>
              <w:t>FastAPI, Pydantic v2, centralized frontend API client.</w:t>
            </w:r>
          </w:p>
        </w:tc>
      </w:tr>
      <w:tr>
        <w:tc>
          <w:tcPr>
            <w:tcW w:type="dxa" w:w="1944"/>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5"/>
              </w:rPr>
              <w:t>Orchestration layer</w:t>
            </w:r>
          </w:p>
        </w:tc>
        <w:tc>
          <w:tcPr>
            <w:tcW w:type="dxa" w:w="4536"/>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5"/>
              </w:rPr>
              <w:t>Maintain workflow state, dispatch agents, route conditionally, enforce retry bounds and handle escalation.</w:t>
            </w:r>
          </w:p>
        </w:tc>
        <w:tc>
          <w:tcPr>
            <w:tcW w:type="dxa" w:w="3096"/>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5"/>
              </w:rPr>
              <w:t>LangGraph graph / state machine with 15 discrete states.</w:t>
            </w:r>
          </w:p>
        </w:tc>
      </w:tr>
      <w:tr>
        <w:tc>
          <w:tcPr>
            <w:tcW w:type="dxa" w:w="1944"/>
            <w:vAlign w:val="center"/>
            <w:tcMar>
              <w:top w:w="90" w:type="dxa"/>
              <w:start w:w="100" w:type="dxa"/>
              <w:bottom w:w="90" w:type="dxa"/>
              <w:end w:w="100" w:type="dxa"/>
            </w:tcMar>
            <w:shd w:fill="F4F7FA"/>
          </w:tcPr>
          <w:p>
            <w:pPr>
              <w:spacing w:after="0" w:before="0" w:line="240" w:lineRule="auto"/>
            </w:pPr>
            <w:r/>
            <w:r>
              <w:rPr>
                <w:rFonts w:ascii="Cambria" w:hAnsi="Cambria" w:eastAsia="Cambria"/>
                <w:b/>
                <w:color w:val="273746"/>
                <w:sz w:val="15"/>
              </w:rPr>
              <w:t>Agent layer</w:t>
            </w:r>
          </w:p>
        </w:tc>
        <w:tc>
          <w:tcPr>
            <w:tcW w:type="dxa" w:w="4536"/>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5"/>
              </w:rPr>
              <w:t>Analyze incidents, detect spatial candidates, score risk, plan responses, recover from failure and verify closure.</w:t>
            </w:r>
          </w:p>
        </w:tc>
        <w:tc>
          <w:tcPr>
            <w:tcW w:type="dxa" w:w="3096"/>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5"/>
              </w:rPr>
              <w:t>Six specialist agents plus the independent Critic.</w:t>
            </w:r>
          </w:p>
        </w:tc>
      </w:tr>
      <w:tr>
        <w:tc>
          <w:tcPr>
            <w:tcW w:type="dxa" w:w="1944"/>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5"/>
              </w:rPr>
              <w:t>Model and rule services</w:t>
            </w:r>
          </w:p>
        </w:tc>
        <w:tc>
          <w:tcPr>
            <w:tcW w:type="dxa" w:w="4536"/>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5"/>
              </w:rPr>
              <w:t>Text classification, optional image interpretation, deterministic geospatial comparisons and configurable risk weights.</w:t>
            </w:r>
          </w:p>
        </w:tc>
        <w:tc>
          <w:tcPr>
            <w:tcW w:type="dxa" w:w="3096"/>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5"/>
              </w:rPr>
              <w:t>TF-IDF + Logistic Regression, optional Groq/Ollama vision, Haversine and cosine similarity rules.</w:t>
            </w:r>
          </w:p>
        </w:tc>
      </w:tr>
      <w:tr>
        <w:tc>
          <w:tcPr>
            <w:tcW w:type="dxa" w:w="1944"/>
            <w:vAlign w:val="center"/>
            <w:tcMar>
              <w:top w:w="90" w:type="dxa"/>
              <w:start w:w="100" w:type="dxa"/>
              <w:bottom w:w="90" w:type="dxa"/>
              <w:end w:w="100" w:type="dxa"/>
            </w:tcMar>
            <w:shd w:fill="F4F7FA"/>
          </w:tcPr>
          <w:p>
            <w:pPr>
              <w:spacing w:after="0" w:before="0" w:line="240" w:lineRule="auto"/>
            </w:pPr>
            <w:r/>
            <w:r>
              <w:rPr>
                <w:rFonts w:ascii="Cambria" w:hAnsi="Cambria" w:eastAsia="Cambria"/>
                <w:b/>
                <w:color w:val="273746"/>
                <w:sz w:val="15"/>
              </w:rPr>
              <w:t>Persistence layer</w:t>
            </w:r>
          </w:p>
        </w:tc>
        <w:tc>
          <w:tcPr>
            <w:tcW w:type="dxa" w:w="4536"/>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5"/>
              </w:rPr>
              <w:t>Store incident state, candidate matches, plan versions, attempts and audit history.</w:t>
            </w:r>
          </w:p>
        </w:tc>
        <w:tc>
          <w:tcPr>
            <w:tcW w:type="dxa" w:w="3096"/>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5"/>
              </w:rPr>
              <w:t>SQLite with WAL mode, SQLAlchemy 2.0 ORM and repositories.</w:t>
            </w:r>
          </w:p>
        </w:tc>
      </w:tr>
      <w:tr>
        <w:tc>
          <w:tcPr>
            <w:tcW w:type="dxa" w:w="1944"/>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5"/>
              </w:rPr>
              <w:t>Simulation / governance</w:t>
            </w:r>
          </w:p>
        </w:tc>
        <w:tc>
          <w:tcPr>
            <w:tcW w:type="dxa" w:w="4536"/>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5"/>
              </w:rPr>
              <w:t>Model field obstacles, record simulated execution and require review and evidence for closure.</w:t>
            </w:r>
          </w:p>
        </w:tc>
        <w:tc>
          <w:tcPr>
            <w:tcW w:type="dxa" w:w="3096"/>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5"/>
              </w:rPr>
              <w:t>Deterministic simulation scenarios and guarded state transitions.</w:t>
            </w:r>
          </w:p>
        </w:tc>
      </w:tr>
    </w:tbl>
    <w:p>
      <w:pPr>
        <w:spacing w:after="20"/>
      </w:pPr>
    </w:p>
    <w:p>
      <w:pPr>
        <w:pStyle w:val="Heading2"/>
        <w:keepNext/>
      </w:pPr>
      <w:r>
        <w:t>4.4 Architectural choices</w:t>
      </w:r>
    </w:p>
    <w:p>
      <w:pPr>
        <w:pStyle w:val="ListBullet"/>
        <w:spacing w:after="60"/>
        <w:ind w:left="403" w:hanging="230"/>
      </w:pPr>
      <w:r>
        <w:t>Graph-based orchestration: explicit nodes and conditional edges make the workflow inspectable and support recovery paths.</w:t>
      </w:r>
    </w:p>
    <w:p>
      <w:pPr>
        <w:pStyle w:val="ListBullet"/>
        <w:spacing w:after="60"/>
        <w:ind w:left="403" w:hanging="230"/>
      </w:pPr>
      <w:r>
        <w:t>Separation of agent roles: each specialist has a narrow responsibility and produces information used by later stages.</w:t>
      </w:r>
    </w:p>
    <w:p>
      <w:pPr>
        <w:pStyle w:val="ListBullet"/>
        <w:spacing w:after="60"/>
        <w:ind w:left="403" w:hanging="230"/>
      </w:pPr>
      <w:r>
        <w:t>Independent Critic and verifier: planning approval and closure verification are separate control points rather than a single success flag.</w:t>
      </w:r>
    </w:p>
    <w:p>
      <w:pPr>
        <w:pStyle w:val="ListBullet"/>
        <w:spacing w:after="60"/>
        <w:ind w:left="403" w:hanging="230"/>
      </w:pPr>
      <w:r>
        <w:t>Persistent incident twin: the current state is backed by plan history, execution attempts and audit events instead of being held only in a transient chat.</w:t>
      </w:r>
    </w:p>
    <w:p>
      <w:pPr>
        <w:pStyle w:val="ListBullet"/>
        <w:spacing w:after="60"/>
        <w:ind w:left="403" w:hanging="230"/>
      </w:pPr>
      <w:r>
        <w:t>Simulation-first operation: failure cases can be demonstrated safely without claiming real-world dispatch or repair.</w:t>
      </w:r>
    </w:p>
    <w:p>
      <w:pPr>
        <w:sectPr>
          <w:headerReference w:type="default" r:id="rId9"/>
          <w:footerReference w:type="default" r:id="rId10"/>
          <w:pgSz w:w="11909" w:h="16834"/>
          <w:pgMar w:top="1037" w:right="1123" w:bottom="1037" w:left="1123" w:header="490" w:footer="504" w:gutter="0"/>
          <w:cols w:space="720"/>
          <w:docGrid w:linePitch="360"/>
          <w:pgBorders w:offsetFrom="text">
            <w:top w:val="single" w:sz="8" w:space="18" w:color="D6E2EE"/>
            <w:left w:val="single" w:sz="8" w:space="18" w:color="D6E2EE"/>
            <w:bottom w:val="single" w:sz="8" w:space="18" w:color="D6E2EE"/>
            <w:right w:val="single" w:sz="8" w:space="18" w:color="D6E2EE"/>
          </w:pgBorders>
        </w:sectPr>
      </w:pPr>
    </w:p>
    <w:p>
      <w:pPr>
        <w:spacing w:before="0" w:after="100"/>
        <w:jc w:val="center"/>
      </w:pPr>
      <w:r>
        <w:rPr>
          <w:rFonts w:ascii="Aptos Display" w:hAnsi="Aptos Display"/>
          <w:b/>
          <w:color w:val="17365D"/>
          <w:sz w:val="34"/>
        </w:rPr>
        <w:t>JANSETU AI — SYSTEM ARCHITECTURE</w:t>
      </w:r>
    </w:p>
    <w:p>
      <w:pPr>
        <w:spacing w:after="60"/>
        <w:jc w:val="center"/>
      </w:pPr>
      <w:r>
        <w:drawing>
          <wp:inline xmlns:a="http://schemas.openxmlformats.org/drawingml/2006/main" xmlns:pic="http://schemas.openxmlformats.org/drawingml/2006/picture">
            <wp:extent cx="9464040" cy="5241622"/>
            <wp:docPr id="3" name="Picture 3"/>
            <wp:cNvGraphicFramePr>
              <a:graphicFrameLocks noChangeAspect="1"/>
            </wp:cNvGraphicFramePr>
            <a:graphic>
              <a:graphicData uri="http://schemas.openxmlformats.org/drawingml/2006/picture">
                <pic:pic>
                  <pic:nvPicPr>
                    <pic:cNvPr id="0" name="JanSetu_AI_Architecture_Preview.png"/>
                    <pic:cNvPicPr/>
                  </pic:nvPicPr>
                  <pic:blipFill>
                    <a:blip r:embed="rId12"/>
                    <a:stretch>
                      <a:fillRect/>
                    </a:stretch>
                  </pic:blipFill>
                  <pic:spPr>
                    <a:xfrm>
                      <a:off x="0" y="0"/>
                      <a:ext cx="9464040" cy="5241622"/>
                    </a:xfrm>
                    <a:prstGeom prst="rect"/>
                  </pic:spPr>
                </pic:pic>
              </a:graphicData>
            </a:graphic>
          </wp:inline>
        </w:drawing>
      </w:r>
    </w:p>
    <w:p>
      <w:pPr>
        <w:pStyle w:val="CaptionCustom"/>
      </w:pPr>
      <w:r>
        <w:t>Figure 1. Full-width architecture diagram. Solid arrows show the principal workflow; dashed and red paths show orchestration, revalidation, escalation and failure recovery.</w:t>
      </w:r>
    </w:p>
    <w:p>
      <w:pPr>
        <w:pStyle w:val="SmallNote"/>
      </w:pPr>
      <w:r>
        <w:t>Closure guardrail: the incident cannot enter VERIFIED_CLOSED without a passing independent verification result and required supervisor sign-off. All field actions shown are simulated.</w:t>
      </w:r>
    </w:p>
    <w:p>
      <w:pPr>
        <w:sectPr>
          <w:pgSz w:w="16834" w:h="11909" w:orient="landscape"/>
          <w:pgMar w:top="792" w:right="792" w:bottom="792" w:left="792" w:header="360" w:footer="360" w:gutter="0"/>
          <w:cols w:space="720"/>
          <w:docGrid w:linePitch="360"/>
          <w:pgBorders w:offsetFrom="text">
            <w:top w:val="single" w:sz="6" w:space="18" w:color="D6E2EE"/>
            <w:left w:val="single" w:sz="6" w:space="18" w:color="D6E2EE"/>
            <w:bottom w:val="single" w:sz="6" w:space="18" w:color="D6E2EE"/>
            <w:right w:val="single" w:sz="6" w:space="18" w:color="D6E2EE"/>
          </w:pgBorders>
        </w:sectPr>
      </w:pPr>
    </w:p>
    <w:p>
      <w:pPr>
        <w:keepNext/>
        <w:spacing w:before="40" w:after="40"/>
      </w:pPr>
      <w:r>
        <w:rPr>
          <w:rFonts w:ascii="Aptos" w:hAnsi="Aptos"/>
          <w:b/>
          <w:color w:val="138A8A"/>
          <w:sz w:val="17"/>
        </w:rPr>
        <w:t>05 / ORCHESTRATION</w:t>
      </w:r>
    </w:p>
    <w:p>
      <w:pPr>
        <w:pStyle w:val="Heading1"/>
        <w:keepNext/>
      </w:pPr>
      <w:r>
        <w:t>5. Agentic Workflow and Specialist Agents</w:t>
      </w:r>
    </w:p>
    <w:p>
      <w:pPr>
        <w:pStyle w:val="Heading2"/>
        <w:keepNext/>
      </w:pPr>
      <w:r>
        <w:t>5.1 Workflow at a glance</w:t>
      </w:r>
    </w:p>
    <w:p>
      <w:r>
        <w:t>The high-level path begins with incident intake and A1's structured interpretation. A2 (geospatial intelligence) and A3 (risk and priority) provide complementary context. Their outputs feed A4's response plan, which is evaluated by the independent Critic. An approved plan enters the execution simulator. If execution fails, A5 diagnoses the reason and proposes a constrained alternative; the revised plan is sent through validation again. A6 evaluates post-intervention evidence and sign-off. Only a passing result permits simulated closure; missing evidence or exhausted retries leads to an open incident or human review.</w:t>
      </w:r>
    </w:p>
    <w:tbl>
      <w:tblPr>
        <w:tblStyle w:val="TableGrid"/>
        <w:tblW w:type="auto" w:w="0"/>
        <w:jc w:val="center"/>
        <w:tblLayout w:type="fixed"/>
        <w:tblLook w:firstColumn="1" w:firstRow="1" w:lastColumn="0" w:lastRow="0" w:noHBand="0" w:noVBand="1" w:val="04A0"/>
      </w:tblPr>
      <w:tblGrid>
        <w:gridCol w:w="3221"/>
        <w:gridCol w:w="3221"/>
        <w:gridCol w:w="3221"/>
      </w:tblGrid>
      <w:tr>
        <w:trPr>
          <w:tblHeader w:val="true"/>
        </w:trPr>
        <w:tc>
          <w:tcPr>
            <w:tcW w:type="dxa" w:w="2160"/>
            <w:vAlign w:val="center"/>
            <w:tcMar>
              <w:top w:w="90" w:type="dxa"/>
              <w:start w:w="100" w:type="dxa"/>
              <w:bottom w:w="90" w:type="dxa"/>
              <w:end w:w="100" w:type="dxa"/>
            </w:tcMar>
            <w:shd w:fill="17365D"/>
          </w:tcPr>
          <w:p>
            <w:pPr>
              <w:spacing w:after="0" w:before="0" w:line="240" w:lineRule="auto"/>
            </w:pPr>
            <w:r/>
            <w:r>
              <w:rPr>
                <w:rFonts w:ascii="Aptos" w:hAnsi="Aptos" w:eastAsia="Aptos"/>
                <w:b/>
                <w:color w:val="FFFFFF"/>
                <w:sz w:val="15"/>
              </w:rPr>
              <w:t>Component</w:t>
            </w:r>
          </w:p>
        </w:tc>
        <w:tc>
          <w:tcPr>
            <w:tcW w:type="dxa" w:w="3384"/>
            <w:vAlign w:val="center"/>
            <w:tcMar>
              <w:top w:w="90" w:type="dxa"/>
              <w:start w:w="100" w:type="dxa"/>
              <w:bottom w:w="90" w:type="dxa"/>
              <w:end w:w="100" w:type="dxa"/>
            </w:tcMar>
            <w:shd w:fill="17365D"/>
          </w:tcPr>
          <w:p>
            <w:pPr>
              <w:spacing w:after="0" w:before="0" w:line="240" w:lineRule="auto"/>
            </w:pPr>
            <w:r/>
            <w:r>
              <w:rPr>
                <w:rFonts w:ascii="Aptos" w:hAnsi="Aptos" w:eastAsia="Aptos"/>
                <w:b/>
                <w:color w:val="FFFFFF"/>
                <w:sz w:val="15"/>
              </w:rPr>
              <w:t>Role and inputs</w:t>
            </w:r>
          </w:p>
        </w:tc>
        <w:tc>
          <w:tcPr>
            <w:tcW w:type="dxa" w:w="4032"/>
            <w:vAlign w:val="center"/>
            <w:tcMar>
              <w:top w:w="90" w:type="dxa"/>
              <w:start w:w="100" w:type="dxa"/>
              <w:bottom w:w="90" w:type="dxa"/>
              <w:end w:w="100" w:type="dxa"/>
            </w:tcMar>
            <w:shd w:fill="17365D"/>
          </w:tcPr>
          <w:p>
            <w:pPr>
              <w:spacing w:after="0" w:before="0" w:line="240" w:lineRule="auto"/>
            </w:pPr>
            <w:r/>
            <w:r>
              <w:rPr>
                <w:rFonts w:ascii="Aptos" w:hAnsi="Aptos" w:eastAsia="Aptos"/>
                <w:b/>
                <w:color w:val="FFFFFF"/>
                <w:sz w:val="15"/>
              </w:rPr>
              <w:t>Outputs / guardrail</w:t>
            </w:r>
          </w:p>
        </w:tc>
      </w:tr>
      <w:tr>
        <w:tc>
          <w:tcPr>
            <w:tcW w:type="dxa" w:w="2160"/>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5"/>
              </w:rPr>
              <w:t>A1 — Incident Intelligence</w:t>
            </w:r>
          </w:p>
        </w:tc>
        <w:tc>
          <w:tcPr>
            <w:tcW w:type="dxa" w:w="3384"/>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5"/>
              </w:rPr>
              <w:t>Complaint text, optional image, location metadata and impact details.</w:t>
            </w:r>
          </w:p>
        </w:tc>
        <w:tc>
          <w:tcPr>
            <w:tcW w:type="dxa" w:w="4032"/>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5"/>
              </w:rPr>
              <w:t>Structured incident facts, category, evidence status and clarification questions. If NLP and vision disagree, route to DISAGREEMENT rather than guessing.</w:t>
            </w:r>
          </w:p>
        </w:tc>
      </w:tr>
      <w:tr>
        <w:tc>
          <w:tcPr>
            <w:tcW w:type="dxa" w:w="2160"/>
            <w:vAlign w:val="center"/>
            <w:tcMar>
              <w:top w:w="90" w:type="dxa"/>
              <w:start w:w="100" w:type="dxa"/>
              <w:bottom w:w="90" w:type="dxa"/>
              <w:end w:w="100" w:type="dxa"/>
            </w:tcMar>
            <w:shd w:fill="F4F7FA"/>
          </w:tcPr>
          <w:p>
            <w:pPr>
              <w:spacing w:after="0" w:before="0" w:line="240" w:lineRule="auto"/>
            </w:pPr>
            <w:r/>
            <w:r>
              <w:rPr>
                <w:rFonts w:ascii="Cambria" w:hAnsi="Cambria" w:eastAsia="Cambria"/>
                <w:b/>
                <w:color w:val="273746"/>
                <w:sz w:val="15"/>
              </w:rPr>
              <w:t>A2 — Geo-Spatial Intelligence</w:t>
            </w:r>
          </w:p>
        </w:tc>
        <w:tc>
          <w:tcPr>
            <w:tcW w:type="dxa" w:w="3384"/>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5"/>
              </w:rPr>
              <w:t>Coordinates, location details, incident descriptions and active incident registry.</w:t>
            </w:r>
          </w:p>
        </w:tc>
        <w:tc>
          <w:tcPr>
            <w:tcW w:type="dxa" w:w="4032"/>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5"/>
              </w:rPr>
              <w:t>Candidate duplicates and hotspot/spatial signals. Uses a 50 m Haversine radius and text similarity; candidates remain UNCONFIRMED.</w:t>
            </w:r>
          </w:p>
        </w:tc>
      </w:tr>
      <w:tr>
        <w:tc>
          <w:tcPr>
            <w:tcW w:type="dxa" w:w="2160"/>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5"/>
              </w:rPr>
              <w:t>A3 — Risk &amp; Priority</w:t>
            </w:r>
          </w:p>
        </w:tc>
        <w:tc>
          <w:tcPr>
            <w:tcW w:type="dxa" w:w="3384"/>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5"/>
              </w:rPr>
              <w:t>Structured facts, duration, vulnerability and exposure indicators.</w:t>
            </w:r>
          </w:p>
        </w:tc>
        <w:tc>
          <w:tcPr>
            <w:tcW w:type="dxa" w:w="4032"/>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5"/>
              </w:rPr>
              <w:t>Explainable 0–100 score, priority band and escalation decision. Mandatory life-safety triggers can force CRITICAL priority.</w:t>
            </w:r>
          </w:p>
        </w:tc>
      </w:tr>
      <w:tr>
        <w:tc>
          <w:tcPr>
            <w:tcW w:type="dxa" w:w="2160"/>
            <w:vAlign w:val="center"/>
            <w:tcMar>
              <w:top w:w="90" w:type="dxa"/>
              <w:start w:w="100" w:type="dxa"/>
              <w:bottom w:w="90" w:type="dxa"/>
              <w:end w:w="100" w:type="dxa"/>
            </w:tcMar>
            <w:shd w:fill="F4F7FA"/>
          </w:tcPr>
          <w:p>
            <w:pPr>
              <w:spacing w:after="0" w:before="0" w:line="240" w:lineRule="auto"/>
            </w:pPr>
            <w:r/>
            <w:r>
              <w:rPr>
                <w:rFonts w:ascii="Cambria" w:hAnsi="Cambria" w:eastAsia="Cambria"/>
                <w:b/>
                <w:color w:val="273746"/>
                <w:sz w:val="15"/>
              </w:rPr>
              <w:t>A4 — Response Planning</w:t>
            </w:r>
          </w:p>
        </w:tc>
        <w:tc>
          <w:tcPr>
            <w:tcW w:type="dxa" w:w="3384"/>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5"/>
              </w:rPr>
              <w:t>Priority, incident evidence, candidate-review context and available synthetic resources.</w:t>
            </w:r>
          </w:p>
        </w:tc>
        <w:tc>
          <w:tcPr>
            <w:tcW w:type="dxa" w:w="4032"/>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5"/>
              </w:rPr>
              <w:t>Two-phase plan: immediate mitigation plus permanent resolution, resource requirements and measurable closure criteria.</w:t>
            </w:r>
          </w:p>
        </w:tc>
      </w:tr>
      <w:tr>
        <w:tc>
          <w:tcPr>
            <w:tcW w:type="dxa" w:w="2160"/>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5"/>
              </w:rPr>
              <w:t>The Critic — Independent Validator</w:t>
            </w:r>
          </w:p>
        </w:tc>
        <w:tc>
          <w:tcPr>
            <w:tcW w:type="dxa" w:w="3384"/>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5"/>
              </w:rPr>
              <w:t>Proposed plan, safety requirements, material availability and resource constraints.</w:t>
            </w:r>
          </w:p>
        </w:tc>
        <w:tc>
          <w:tcPr>
            <w:tcW w:type="dxa" w:w="4032"/>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5"/>
              </w:rPr>
              <w:t>Approve, reject with feedback or escalate. Rejected plans return for bounded revision; the Critic is not the same as the closure verifier.</w:t>
            </w:r>
          </w:p>
        </w:tc>
      </w:tr>
      <w:tr>
        <w:tc>
          <w:tcPr>
            <w:tcW w:type="dxa" w:w="2160"/>
            <w:vAlign w:val="center"/>
            <w:tcMar>
              <w:top w:w="90" w:type="dxa"/>
              <w:start w:w="100" w:type="dxa"/>
              <w:bottom w:w="90" w:type="dxa"/>
              <w:end w:w="100" w:type="dxa"/>
            </w:tcMar>
            <w:shd w:fill="F4F7FA"/>
          </w:tcPr>
          <w:p>
            <w:pPr>
              <w:spacing w:after="0" w:before="0" w:line="240" w:lineRule="auto"/>
            </w:pPr>
            <w:r/>
            <w:r>
              <w:rPr>
                <w:rFonts w:ascii="Cambria" w:hAnsi="Cambria" w:eastAsia="Cambria"/>
                <w:b/>
                <w:color w:val="273746"/>
                <w:sz w:val="15"/>
              </w:rPr>
              <w:t>A5 — Adaptive Recovery</w:t>
            </w:r>
          </w:p>
        </w:tc>
        <w:tc>
          <w:tcPr>
            <w:tcW w:type="dxa" w:w="3384"/>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5"/>
              </w:rPr>
              <w:t>Failed execution reason, previous plan, current constraints and certified alternatives.</w:t>
            </w:r>
          </w:p>
        </w:tc>
        <w:tc>
          <w:tcPr>
            <w:tcW w:type="dxa" w:w="4032"/>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5"/>
              </w:rPr>
              <w:t>Revised plan and preserved history. Autonomous recovery is capped at two retries; unsafe or unauthorized alternatives are rejected.</w:t>
            </w:r>
          </w:p>
        </w:tc>
      </w:tr>
      <w:tr>
        <w:tc>
          <w:tcPr>
            <w:tcW w:type="dxa" w:w="2160"/>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5"/>
              </w:rPr>
              <w:t>A6 — Independent Verification</w:t>
            </w:r>
          </w:p>
        </w:tc>
        <w:tc>
          <w:tcPr>
            <w:tcW w:type="dxa" w:w="3384"/>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5"/>
              </w:rPr>
              <w:t>Execution result, post-intervention evidence, closure criteria and supervisor sign-off.</w:t>
            </w:r>
          </w:p>
        </w:tc>
        <w:tc>
          <w:tcPr>
            <w:tcW w:type="dxa" w:w="4032"/>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5"/>
              </w:rPr>
              <w:t>Pass, reject, reopen or require human review. Closure is blocked unless the required evidence and sign-off conditions pass.</w:t>
            </w:r>
          </w:p>
        </w:tc>
      </w:tr>
    </w:tbl>
    <w:p>
      <w:pPr>
        <w:spacing w:after="20"/>
      </w:pPr>
    </w:p>
    <w:p>
      <w:pPr>
        <w:pStyle w:val="Heading2"/>
        <w:keepNext/>
      </w:pPr>
      <w:r>
        <w:t>5.2 Why the Critic is separate</w:t>
      </w:r>
    </w:p>
    <w:p>
      <w:r>
        <w:t>The Critic acts as a plan-level safety and feasibility gate. It evaluates whether the proposed response is suitable before execution. A6 performs a different job: it evaluates the result after simulated intervention. Keeping these checks separate reduces the risk of treating an approved plan as proof of a successful outcome. The workflow can therefore reject a plan before execution and can also keep an incident open after execution if closure evidence is inadequate.</w:t>
      </w:r>
    </w:p>
    <w:p>
      <w:pPr>
        <w:pStyle w:val="Heading2"/>
        <w:keepNext/>
      </w:pPr>
      <w:r>
        <w:t>5.3 Conditional routing and state</w:t>
      </w:r>
    </w:p>
    <w:p>
      <w:r>
        <w:t>The LangGraph orchestrator represents the workflow as a 15-state graph. It maintains state across intake, analysis, prioritization, planning, Critic review, execution, recovery, verification and human escalation. Conditional edges select the next node based on the current state and decision result. Representative states documented in the repository include INTAKE_PENDING, INCIDENT_ANALYZED, PRIORITIZED, PLAN_PROPOSED, CRITIC_EVALUATED, PLAN_APPROVED, EXECUTION_FAILED, ADAPTIVE_RECOVERY, HUMAN_REVIEW and VERIFIED_CLOSED. This list is illustrative, not the complete set of 15 states.</w:t>
      </w:r>
    </w:p>
    <w:p>
      <w:pPr>
        <w:pStyle w:val="Heading2"/>
        <w:keepNext/>
      </w:pPr>
      <w:r>
        <w:t>5.4 Core workflow guardrails</w:t>
      </w:r>
    </w:p>
    <w:p>
      <w:pPr>
        <w:pStyle w:val="ListBullet"/>
        <w:spacing w:after="60"/>
        <w:ind w:left="403" w:hanging="230"/>
      </w:pPr>
      <w:r>
        <w:t>No automatic duplicate merge: similarity creates a review candidate, not a confirmed identity.</w:t>
      </w:r>
    </w:p>
    <w:p>
      <w:pPr>
        <w:pStyle w:val="ListBullet"/>
        <w:spacing w:after="60"/>
        <w:ind w:left="403" w:hanging="230"/>
      </w:pPr>
      <w:r>
        <w:t>No forced category on multimodal disagreement: the system requests clarification.</w:t>
      </w:r>
    </w:p>
    <w:p>
      <w:pPr>
        <w:pStyle w:val="ListBullet"/>
        <w:spacing w:after="60"/>
        <w:ind w:left="403" w:hanging="230"/>
      </w:pPr>
      <w:r>
        <w:t>No risk-score override of mandatory danger triggers: direct life-safety rules take precedence.</w:t>
      </w:r>
    </w:p>
    <w:p>
      <w:pPr>
        <w:pStyle w:val="ListBullet"/>
        <w:spacing w:after="60"/>
        <w:ind w:left="403" w:hanging="230"/>
      </w:pPr>
      <w:r>
        <w:t>No unbounded self-replanning: two recovery retries are allowed before human review.</w:t>
      </w:r>
    </w:p>
    <w:p>
      <w:pPr>
        <w:pStyle w:val="ListBullet"/>
        <w:spacing w:after="60"/>
        <w:ind w:left="403" w:hanging="230"/>
      </w:pPr>
      <w:r>
        <w:t>No closure based on a success message alone: the independent verifier and deterministic transition guard must pass.</w:t>
      </w:r>
    </w:p>
    <w:p>
      <w:pPr>
        <w:keepNext/>
        <w:spacing w:before="40" w:after="40"/>
      </w:pPr>
      <w:r>
        <w:rPr>
          <w:rFonts w:ascii="Aptos" w:hAnsi="Aptos"/>
          <w:b/>
          <w:color w:val="138A8A"/>
          <w:sz w:val="17"/>
        </w:rPr>
        <w:t>06 / IMPLEMENTATION</w:t>
      </w:r>
    </w:p>
    <w:p>
      <w:pPr>
        <w:pStyle w:val="Heading1"/>
        <w:keepNext/>
      </w:pPr>
      <w:r>
        <w:t>6. Technical Implementation</w:t>
      </w:r>
    </w:p>
    <w:p>
      <w:pPr>
        <w:pStyle w:val="Heading2"/>
        <w:keepNext/>
      </w:pPr>
      <w:r>
        <w:t>6.1 Technology stack</w:t>
      </w:r>
    </w:p>
    <w:tbl>
      <w:tblPr>
        <w:tblStyle w:val="TableGrid"/>
        <w:tblW w:type="auto" w:w="0"/>
        <w:jc w:val="center"/>
        <w:tblLayout w:type="fixed"/>
        <w:tblLook w:firstColumn="1" w:firstRow="1" w:lastColumn="0" w:lastRow="0" w:noHBand="0" w:noVBand="1" w:val="04A0"/>
      </w:tblPr>
      <w:tblGrid>
        <w:gridCol w:w="3221"/>
        <w:gridCol w:w="3221"/>
        <w:gridCol w:w="3221"/>
      </w:tblGrid>
      <w:tr>
        <w:trPr>
          <w:tblHeader w:val="true"/>
        </w:trPr>
        <w:tc>
          <w:tcPr>
            <w:tcW w:type="dxa" w:w="1728"/>
            <w:vAlign w:val="center"/>
            <w:tcMar>
              <w:top w:w="90" w:type="dxa"/>
              <w:start w:w="100" w:type="dxa"/>
              <w:bottom w:w="90" w:type="dxa"/>
              <w:end w:w="100" w:type="dxa"/>
            </w:tcMar>
            <w:shd w:fill="17365D"/>
          </w:tcPr>
          <w:p>
            <w:pPr>
              <w:spacing w:after="0" w:before="0" w:line="240" w:lineRule="auto"/>
            </w:pPr>
            <w:r/>
            <w:r>
              <w:rPr>
                <w:rFonts w:ascii="Aptos" w:hAnsi="Aptos" w:eastAsia="Aptos"/>
                <w:b/>
                <w:color w:val="FFFFFF"/>
                <w:sz w:val="16"/>
              </w:rPr>
              <w:t>Area</w:t>
            </w:r>
          </w:p>
        </w:tc>
        <w:tc>
          <w:tcPr>
            <w:tcW w:type="dxa" w:w="3024"/>
            <w:vAlign w:val="center"/>
            <w:tcMar>
              <w:top w:w="90" w:type="dxa"/>
              <w:start w:w="100" w:type="dxa"/>
              <w:bottom w:w="90" w:type="dxa"/>
              <w:end w:w="100" w:type="dxa"/>
            </w:tcMar>
            <w:shd w:fill="17365D"/>
          </w:tcPr>
          <w:p>
            <w:pPr>
              <w:spacing w:after="0" w:before="0" w:line="240" w:lineRule="auto"/>
            </w:pPr>
            <w:r/>
            <w:r>
              <w:rPr>
                <w:rFonts w:ascii="Aptos" w:hAnsi="Aptos" w:eastAsia="Aptos"/>
                <w:b/>
                <w:color w:val="FFFFFF"/>
                <w:sz w:val="16"/>
              </w:rPr>
              <w:t>Technology / library</w:t>
            </w:r>
          </w:p>
        </w:tc>
        <w:tc>
          <w:tcPr>
            <w:tcW w:type="dxa" w:w="4824"/>
            <w:vAlign w:val="center"/>
            <w:tcMar>
              <w:top w:w="90" w:type="dxa"/>
              <w:start w:w="100" w:type="dxa"/>
              <w:bottom w:w="90" w:type="dxa"/>
              <w:end w:w="100" w:type="dxa"/>
            </w:tcMar>
            <w:shd w:fill="17365D"/>
          </w:tcPr>
          <w:p>
            <w:pPr>
              <w:spacing w:after="0" w:before="0" w:line="240" w:lineRule="auto"/>
            </w:pPr>
            <w:r/>
            <w:r>
              <w:rPr>
                <w:rFonts w:ascii="Aptos" w:hAnsi="Aptos" w:eastAsia="Aptos"/>
                <w:b/>
                <w:color w:val="FFFFFF"/>
                <w:sz w:val="16"/>
              </w:rPr>
              <w:t>Purpose in JanSetu AI</w:t>
            </w:r>
          </w:p>
        </w:tc>
      </w:tr>
      <w:tr>
        <w:tc>
          <w:tcPr>
            <w:tcW w:type="dxa" w:w="1728"/>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6"/>
              </w:rPr>
              <w:t>Frontend</w:t>
            </w:r>
          </w:p>
        </w:tc>
        <w:tc>
          <w:tcPr>
            <w:tcW w:type="dxa" w:w="3024"/>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6"/>
              </w:rPr>
              <w:t>React 19 + TypeScript</w:t>
            </w:r>
          </w:p>
        </w:tc>
        <w:tc>
          <w:tcPr>
            <w:tcW w:type="dxa" w:w="4824"/>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6"/>
              </w:rPr>
              <w:t>Component-based citizen and operator interface with typed data contracts.</w:t>
            </w:r>
          </w:p>
        </w:tc>
      </w:tr>
      <w:tr>
        <w:tc>
          <w:tcPr>
            <w:tcW w:type="dxa" w:w="1728"/>
            <w:vAlign w:val="center"/>
            <w:tcMar>
              <w:top w:w="90" w:type="dxa"/>
              <w:start w:w="100" w:type="dxa"/>
              <w:bottom w:w="90" w:type="dxa"/>
              <w:end w:w="100" w:type="dxa"/>
            </w:tcMar>
            <w:shd w:fill="F4F7FA"/>
          </w:tcPr>
          <w:p>
            <w:pPr>
              <w:spacing w:after="0" w:before="0" w:line="240" w:lineRule="auto"/>
            </w:pPr>
            <w:r/>
            <w:r>
              <w:rPr>
                <w:rFonts w:ascii="Cambria" w:hAnsi="Cambria" w:eastAsia="Cambria"/>
                <w:b/>
                <w:color w:val="273746"/>
                <w:sz w:val="16"/>
              </w:rPr>
              <w:t>Frontend build and styling</w:t>
            </w:r>
          </w:p>
        </w:tc>
        <w:tc>
          <w:tcPr>
            <w:tcW w:type="dxa" w:w="3024"/>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6"/>
              </w:rPr>
              <w:t>Vite 8 + Tailwind CSS</w:t>
            </w:r>
          </w:p>
        </w:tc>
        <w:tc>
          <w:tcPr>
            <w:tcW w:type="dxa" w:w="4824"/>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6"/>
              </w:rPr>
              <w:t>Development server, production bundle and consistent utility-based styling.</w:t>
            </w:r>
          </w:p>
        </w:tc>
      </w:tr>
      <w:tr>
        <w:tc>
          <w:tcPr>
            <w:tcW w:type="dxa" w:w="1728"/>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6"/>
              </w:rPr>
              <w:t>Maps and graph</w:t>
            </w:r>
          </w:p>
        </w:tc>
        <w:tc>
          <w:tcPr>
            <w:tcW w:type="dxa" w:w="3024"/>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6"/>
              </w:rPr>
              <w:t>Leaflet + @xyflow/react</w:t>
            </w:r>
          </w:p>
        </w:tc>
        <w:tc>
          <w:tcPr>
            <w:tcW w:type="dxa" w:w="4824"/>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6"/>
              </w:rPr>
              <w:t>Geographic incident exploration and interactive view of agent/state transitions.</w:t>
            </w:r>
          </w:p>
        </w:tc>
      </w:tr>
      <w:tr>
        <w:tc>
          <w:tcPr>
            <w:tcW w:type="dxa" w:w="1728"/>
            <w:vAlign w:val="center"/>
            <w:tcMar>
              <w:top w:w="90" w:type="dxa"/>
              <w:start w:w="100" w:type="dxa"/>
              <w:bottom w:w="90" w:type="dxa"/>
              <w:end w:w="100" w:type="dxa"/>
            </w:tcMar>
            <w:shd w:fill="F4F7FA"/>
          </w:tcPr>
          <w:p>
            <w:pPr>
              <w:spacing w:after="0" w:before="0" w:line="240" w:lineRule="auto"/>
            </w:pPr>
            <w:r/>
            <w:r>
              <w:rPr>
                <w:rFonts w:ascii="Cambria" w:hAnsi="Cambria" w:eastAsia="Cambria"/>
                <w:b/>
                <w:color w:val="273746"/>
                <w:sz w:val="16"/>
              </w:rPr>
              <w:t>Backend</w:t>
            </w:r>
          </w:p>
        </w:tc>
        <w:tc>
          <w:tcPr>
            <w:tcW w:type="dxa" w:w="3024"/>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6"/>
              </w:rPr>
              <w:t>Python 3.11+ + FastAPI</w:t>
            </w:r>
          </w:p>
        </w:tc>
        <w:tc>
          <w:tcPr>
            <w:tcW w:type="dxa" w:w="4824"/>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6"/>
              </w:rPr>
              <w:t>REST API, request validation, workflow entry points and API documentation.</w:t>
            </w:r>
          </w:p>
        </w:tc>
      </w:tr>
      <w:tr>
        <w:tc>
          <w:tcPr>
            <w:tcW w:type="dxa" w:w="1728"/>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6"/>
              </w:rPr>
              <w:t>Orchestration</w:t>
            </w:r>
          </w:p>
        </w:tc>
        <w:tc>
          <w:tcPr>
            <w:tcW w:type="dxa" w:w="3024"/>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6"/>
              </w:rPr>
              <w:t>LangGraph</w:t>
            </w:r>
          </w:p>
        </w:tc>
        <w:tc>
          <w:tcPr>
            <w:tcW w:type="dxa" w:w="4824"/>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6"/>
              </w:rPr>
              <w:t>Stateful graph, conditional routing, agent dispatch and bounded recovery.</w:t>
            </w:r>
          </w:p>
        </w:tc>
      </w:tr>
      <w:tr>
        <w:tc>
          <w:tcPr>
            <w:tcW w:type="dxa" w:w="1728"/>
            <w:vAlign w:val="center"/>
            <w:tcMar>
              <w:top w:w="90" w:type="dxa"/>
              <w:start w:w="100" w:type="dxa"/>
              <w:bottom w:w="90" w:type="dxa"/>
              <w:end w:w="100" w:type="dxa"/>
            </w:tcMar>
            <w:shd w:fill="F4F7FA"/>
          </w:tcPr>
          <w:p>
            <w:pPr>
              <w:spacing w:after="0" w:before="0" w:line="240" w:lineRule="auto"/>
            </w:pPr>
            <w:r/>
            <w:r>
              <w:rPr>
                <w:rFonts w:ascii="Cambria" w:hAnsi="Cambria" w:eastAsia="Cambria"/>
                <w:b/>
                <w:color w:val="273746"/>
                <w:sz w:val="16"/>
              </w:rPr>
              <w:t>Schemas</w:t>
            </w:r>
          </w:p>
        </w:tc>
        <w:tc>
          <w:tcPr>
            <w:tcW w:type="dxa" w:w="3024"/>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6"/>
              </w:rPr>
              <w:t>Pydantic v2</w:t>
            </w:r>
          </w:p>
        </w:tc>
        <w:tc>
          <w:tcPr>
            <w:tcW w:type="dxa" w:w="4824"/>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6"/>
              </w:rPr>
              <w:t>Structured request/result models and validation of workflow data.</w:t>
            </w:r>
          </w:p>
        </w:tc>
      </w:tr>
      <w:tr>
        <w:tc>
          <w:tcPr>
            <w:tcW w:type="dxa" w:w="1728"/>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6"/>
              </w:rPr>
              <w:t>Persistence</w:t>
            </w:r>
          </w:p>
        </w:tc>
        <w:tc>
          <w:tcPr>
            <w:tcW w:type="dxa" w:w="3024"/>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6"/>
              </w:rPr>
              <w:t>SQLAlchemy 2.0 + SQLite WAL</w:t>
            </w:r>
          </w:p>
        </w:tc>
        <w:tc>
          <w:tcPr>
            <w:tcW w:type="dxa" w:w="4824"/>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6"/>
              </w:rPr>
              <w:t>Relational persistence, repository pattern and transactional state updates.</w:t>
            </w:r>
          </w:p>
        </w:tc>
      </w:tr>
      <w:tr>
        <w:tc>
          <w:tcPr>
            <w:tcW w:type="dxa" w:w="1728"/>
            <w:vAlign w:val="center"/>
            <w:tcMar>
              <w:top w:w="90" w:type="dxa"/>
              <w:start w:w="100" w:type="dxa"/>
              <w:bottom w:w="90" w:type="dxa"/>
              <w:end w:w="100" w:type="dxa"/>
            </w:tcMar>
            <w:shd w:fill="F4F7FA"/>
          </w:tcPr>
          <w:p>
            <w:pPr>
              <w:spacing w:after="0" w:before="0" w:line="240" w:lineRule="auto"/>
            </w:pPr>
            <w:r/>
            <w:r>
              <w:rPr>
                <w:rFonts w:ascii="Cambria" w:hAnsi="Cambria" w:eastAsia="Cambria"/>
                <w:b/>
                <w:color w:val="273746"/>
                <w:sz w:val="16"/>
              </w:rPr>
              <w:t>NLP</w:t>
            </w:r>
          </w:p>
        </w:tc>
        <w:tc>
          <w:tcPr>
            <w:tcW w:type="dxa" w:w="3024"/>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6"/>
              </w:rPr>
              <w:t>TF-IDF + Logistic Regression</w:t>
            </w:r>
          </w:p>
        </w:tc>
        <w:tc>
          <w:tcPr>
            <w:tcW w:type="dxa" w:w="4824"/>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6"/>
              </w:rPr>
              <w:t>Multilingual complaint-category classifier trained on synthetic examples.</w:t>
            </w:r>
          </w:p>
        </w:tc>
      </w:tr>
      <w:tr>
        <w:tc>
          <w:tcPr>
            <w:tcW w:type="dxa" w:w="1728"/>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6"/>
              </w:rPr>
              <w:t>Vision</w:t>
            </w:r>
          </w:p>
        </w:tc>
        <w:tc>
          <w:tcPr>
            <w:tcW w:type="dxa" w:w="3024"/>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6"/>
              </w:rPr>
              <w:t>Optional Groq-hosted VLM or local Ollama</w:t>
            </w:r>
          </w:p>
        </w:tc>
        <w:tc>
          <w:tcPr>
            <w:tcW w:type="dxa" w:w="4824"/>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6"/>
              </w:rPr>
              <w:t>Image interpretation where configured; unavailable-model paths are handled explicitly.</w:t>
            </w:r>
          </w:p>
        </w:tc>
      </w:tr>
      <w:tr>
        <w:tc>
          <w:tcPr>
            <w:tcW w:type="dxa" w:w="1728"/>
            <w:vAlign w:val="center"/>
            <w:tcMar>
              <w:top w:w="90" w:type="dxa"/>
              <w:start w:w="100" w:type="dxa"/>
              <w:bottom w:w="90" w:type="dxa"/>
              <w:end w:w="100" w:type="dxa"/>
            </w:tcMar>
            <w:shd w:fill="F4F7FA"/>
          </w:tcPr>
          <w:p>
            <w:pPr>
              <w:spacing w:after="0" w:before="0" w:line="240" w:lineRule="auto"/>
            </w:pPr>
            <w:r/>
            <w:r>
              <w:rPr>
                <w:rFonts w:ascii="Cambria" w:hAnsi="Cambria" w:eastAsia="Cambria"/>
                <w:b/>
                <w:color w:val="273746"/>
                <w:sz w:val="16"/>
              </w:rPr>
              <w:t>Testing</w:t>
            </w:r>
          </w:p>
        </w:tc>
        <w:tc>
          <w:tcPr>
            <w:tcW w:type="dxa" w:w="3024"/>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6"/>
              </w:rPr>
              <w:t>pytest + repository validation runner</w:t>
            </w:r>
          </w:p>
        </w:tc>
        <w:tc>
          <w:tcPr>
            <w:tcW w:type="dxa" w:w="4824"/>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6"/>
              </w:rPr>
              <w:t>Backend behavior, API contracts, state transitions and 11 invariant/workflow checks.</w:t>
            </w:r>
          </w:p>
        </w:tc>
      </w:tr>
    </w:tbl>
    <w:p>
      <w:pPr>
        <w:spacing w:after="20"/>
      </w:pPr>
    </w:p>
    <w:p>
      <w:pPr>
        <w:pStyle w:val="Heading2"/>
        <w:keepNext/>
      </w:pPr>
      <w:r>
        <w:t>6.2 Frontend modules</w:t>
      </w:r>
    </w:p>
    <w:p>
      <w:r>
        <w:t>The repository describes the frontend as a single-page React application. The dashboard presents the incident registry and summary statistics. The citizen submission form collects text and optional imagery. The incident workspace shows the Civic Incident Twin and its audit timeline. The agent command center exposes agent steps and Critic review. The system architecture view renders the state graph interactively, while the simulation lab injects obstacles and demonstrates recovery. The incident explorer supports geographic review and candidate inspection, and the ML model lab exposes inference and evaluation metrics. These modules make the workflow observable instead of hiding the decisions behind a single final response.</w:t>
      </w:r>
    </w:p>
    <w:p>
      <w:pPr>
        <w:pStyle w:val="Heading2"/>
        <w:keepNext/>
      </w:pPr>
      <w:r>
        <w:t>6.3 Backend modules</w:t>
      </w:r>
    </w:p>
    <w:p>
      <w:r>
        <w:t>The backend is organized into agent implementations, API routes, core security and settings utilities, graph orchestration, ML services, ORM models, repositories, schemas, simulation and application startup. This separation allows individual behaviors to be tested without requiring a live municipal system. The REST API is documented through FastAPI's OpenAPI interface, and the repository includes health, incident, audit, simulation and ML endpoints.</w:t>
      </w:r>
    </w:p>
    <w:p>
      <w:pPr>
        <w:pStyle w:val="Heading2"/>
        <w:keepNext/>
      </w:pPr>
      <w:r>
        <w:t>6.4 Fault handling</w:t>
      </w:r>
    </w:p>
    <w:p>
      <w:r>
        <w:t>The system distinguishes an unavailable model from a valid prediction. When a model artifact or external vision service is unavailable, the documented invariant requires an explicit unavailable result rather than a fabricated category. The simulation layer makes operational obstacles reproducible, while the graph determines whether to retry, revalidate or escalate. Database transaction rollback is also tested so that a failed multi-step update does not leave a partially committed incident record.</w:t>
      </w:r>
    </w:p>
    <w:p>
      <w:pPr>
        <w:keepNext/>
        <w:spacing w:before="40" w:after="40"/>
      </w:pPr>
      <w:r>
        <w:rPr>
          <w:rFonts w:ascii="Aptos" w:hAnsi="Aptos"/>
          <w:b/>
          <w:color w:val="138A8A"/>
          <w:sz w:val="17"/>
        </w:rPr>
        <w:t>07 / INTELLIGENCE</w:t>
      </w:r>
    </w:p>
    <w:p>
      <w:pPr>
        <w:pStyle w:val="Heading1"/>
        <w:keepNext/>
      </w:pPr>
      <w:r>
        <w:t>7. Data, NLP, Vision and Decision Logic</w:t>
      </w:r>
    </w:p>
    <w:p>
      <w:pPr>
        <w:pStyle w:val="Heading2"/>
        <w:keepNext/>
      </w:pPr>
      <w:r>
        <w:t>7.1 Synthetic complaint dataset</w:t>
      </w:r>
    </w:p>
    <w:p>
      <w:r>
        <w:t>The project includes synthetic complaint examples spanning English, Hindi, Marathi and Hinglish. The main NLP evaluation uses 300 generated samples, partitioned into 240 training samples and a 60-sample held-out test set with seed 42. A separate 30-sample challenge set uses disjoint vocabulary to test whether performance persists when surface wording changes. The repository reports zero vocabulary overlap between the held-out evaluation and challenge design. The dataset is intentionally controlled and does not represent the full variability of actual citizen complaints [1, 3, 4].</w:t>
      </w:r>
    </w:p>
    <w:tbl>
      <w:tblPr>
        <w:tblStyle w:val="TableGrid"/>
        <w:tblW w:type="auto" w:w="0"/>
        <w:jc w:val="center"/>
        <w:tblLayout w:type="fixed"/>
        <w:tblLook w:firstColumn="1" w:firstRow="1" w:lastColumn="0" w:lastRow="0" w:noHBand="0" w:noVBand="1" w:val="04A0"/>
      </w:tblPr>
      <w:tblGrid>
        <w:gridCol w:w="2416"/>
        <w:gridCol w:w="2416"/>
        <w:gridCol w:w="2416"/>
        <w:gridCol w:w="2416"/>
      </w:tblGrid>
      <w:tr>
        <w:trPr>
          <w:tblHeader w:val="true"/>
        </w:trPr>
        <w:tc>
          <w:tcPr>
            <w:tcW w:type="dxa" w:w="1944"/>
            <w:vAlign w:val="center"/>
            <w:tcMar>
              <w:top w:w="90" w:type="dxa"/>
              <w:start w:w="100" w:type="dxa"/>
              <w:bottom w:w="90" w:type="dxa"/>
              <w:end w:w="100" w:type="dxa"/>
            </w:tcMar>
            <w:shd w:fill="17365D"/>
          </w:tcPr>
          <w:p>
            <w:pPr>
              <w:spacing w:after="0" w:before="0" w:line="240" w:lineRule="auto"/>
            </w:pPr>
            <w:r/>
            <w:r>
              <w:rPr>
                <w:rFonts w:ascii="Aptos" w:hAnsi="Aptos" w:eastAsia="Aptos"/>
                <w:b/>
                <w:color w:val="FFFFFF"/>
                <w:sz w:val="17"/>
              </w:rPr>
              <w:t>Dataset partition</w:t>
            </w:r>
          </w:p>
        </w:tc>
        <w:tc>
          <w:tcPr>
            <w:tcW w:type="dxa" w:w="1080"/>
            <w:vAlign w:val="center"/>
            <w:tcMar>
              <w:top w:w="90" w:type="dxa"/>
              <w:start w:w="100" w:type="dxa"/>
              <w:bottom w:w="90" w:type="dxa"/>
              <w:end w:w="100" w:type="dxa"/>
            </w:tcMar>
            <w:shd w:fill="17365D"/>
          </w:tcPr>
          <w:p>
            <w:pPr>
              <w:spacing w:after="0" w:before="0" w:line="240" w:lineRule="auto"/>
            </w:pPr>
            <w:r/>
            <w:r>
              <w:rPr>
                <w:rFonts w:ascii="Aptos" w:hAnsi="Aptos" w:eastAsia="Aptos"/>
                <w:b/>
                <w:color w:val="FFFFFF"/>
                <w:sz w:val="17"/>
              </w:rPr>
              <w:t>Samples</w:t>
            </w:r>
          </w:p>
        </w:tc>
        <w:tc>
          <w:tcPr>
            <w:tcW w:type="dxa" w:w="3672"/>
            <w:vAlign w:val="center"/>
            <w:tcMar>
              <w:top w:w="90" w:type="dxa"/>
              <w:start w:w="100" w:type="dxa"/>
              <w:bottom w:w="90" w:type="dxa"/>
              <w:end w:w="100" w:type="dxa"/>
            </w:tcMar>
            <w:shd w:fill="17365D"/>
          </w:tcPr>
          <w:p>
            <w:pPr>
              <w:spacing w:after="0" w:before="0" w:line="240" w:lineRule="auto"/>
            </w:pPr>
            <w:r/>
            <w:r>
              <w:rPr>
                <w:rFonts w:ascii="Aptos" w:hAnsi="Aptos" w:eastAsia="Aptos"/>
                <w:b/>
                <w:color w:val="FFFFFF"/>
                <w:sz w:val="17"/>
              </w:rPr>
              <w:t>Use</w:t>
            </w:r>
          </w:p>
        </w:tc>
        <w:tc>
          <w:tcPr>
            <w:tcW w:type="dxa" w:w="2880"/>
            <w:vAlign w:val="center"/>
            <w:tcMar>
              <w:top w:w="90" w:type="dxa"/>
              <w:start w:w="100" w:type="dxa"/>
              <w:bottom w:w="90" w:type="dxa"/>
              <w:end w:w="100" w:type="dxa"/>
            </w:tcMar>
            <w:shd w:fill="17365D"/>
          </w:tcPr>
          <w:p>
            <w:pPr>
              <w:spacing w:after="0" w:before="0" w:line="240" w:lineRule="auto"/>
            </w:pPr>
            <w:r/>
            <w:r>
              <w:rPr>
                <w:rFonts w:ascii="Aptos" w:hAnsi="Aptos" w:eastAsia="Aptos"/>
                <w:b/>
                <w:color w:val="FFFFFF"/>
                <w:sz w:val="17"/>
              </w:rPr>
              <w:t>Reported result</w:t>
            </w:r>
          </w:p>
        </w:tc>
      </w:tr>
      <w:tr>
        <w:tc>
          <w:tcPr>
            <w:tcW w:type="dxa" w:w="1944"/>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7"/>
              </w:rPr>
              <w:t>Training</w:t>
            </w:r>
          </w:p>
        </w:tc>
        <w:tc>
          <w:tcPr>
            <w:tcW w:type="dxa" w:w="1080"/>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7"/>
              </w:rPr>
              <w:t>240</w:t>
            </w:r>
          </w:p>
        </w:tc>
        <w:tc>
          <w:tcPr>
            <w:tcW w:type="dxa" w:w="3672"/>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7"/>
              </w:rPr>
              <w:t>Fit the TF-IDF + Logistic Regression classifier.</w:t>
            </w:r>
          </w:p>
        </w:tc>
        <w:tc>
          <w:tcPr>
            <w:tcW w:type="dxa" w:w="2880"/>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7"/>
              </w:rPr>
              <w:t>Not a final evaluation partition.</w:t>
            </w:r>
          </w:p>
        </w:tc>
      </w:tr>
      <w:tr>
        <w:tc>
          <w:tcPr>
            <w:tcW w:type="dxa" w:w="1944"/>
            <w:vAlign w:val="center"/>
            <w:tcMar>
              <w:top w:w="90" w:type="dxa"/>
              <w:start w:w="100" w:type="dxa"/>
              <w:bottom w:w="90" w:type="dxa"/>
              <w:end w:w="100" w:type="dxa"/>
            </w:tcMar>
            <w:shd w:fill="F4F7FA"/>
          </w:tcPr>
          <w:p>
            <w:pPr>
              <w:spacing w:after="0" w:before="0" w:line="240" w:lineRule="auto"/>
            </w:pPr>
            <w:r/>
            <w:r>
              <w:rPr>
                <w:rFonts w:ascii="Cambria" w:hAnsi="Cambria" w:eastAsia="Cambria"/>
                <w:b/>
                <w:color w:val="273746"/>
                <w:sz w:val="17"/>
              </w:rPr>
              <w:t>Held-out test</w:t>
            </w:r>
          </w:p>
        </w:tc>
        <w:tc>
          <w:tcPr>
            <w:tcW w:type="dxa" w:w="1080"/>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7"/>
              </w:rPr>
              <w:t>60</w:t>
            </w:r>
          </w:p>
        </w:tc>
        <w:tc>
          <w:tcPr>
            <w:tcW w:type="dxa" w:w="3672"/>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7"/>
              </w:rPr>
              <w:t>In-domain evaluation, stratified seed 42.</w:t>
            </w:r>
          </w:p>
        </w:tc>
        <w:tc>
          <w:tcPr>
            <w:tcW w:type="dxa" w:w="2880"/>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7"/>
              </w:rPr>
              <w:t>100.0% accuracy and 100.0% Macro-F1.</w:t>
            </w:r>
          </w:p>
        </w:tc>
      </w:tr>
      <w:tr>
        <w:tc>
          <w:tcPr>
            <w:tcW w:type="dxa" w:w="1944"/>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7"/>
              </w:rPr>
              <w:t>Challenge set</w:t>
            </w:r>
          </w:p>
        </w:tc>
        <w:tc>
          <w:tcPr>
            <w:tcW w:type="dxa" w:w="1080"/>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7"/>
              </w:rPr>
              <w:t>30</w:t>
            </w:r>
          </w:p>
        </w:tc>
        <w:tc>
          <w:tcPr>
            <w:tcW w:type="dxa" w:w="3672"/>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7"/>
              </w:rPr>
              <w:t>Disjoint-vocabulary evaluation.</w:t>
            </w:r>
          </w:p>
        </w:tc>
        <w:tc>
          <w:tcPr>
            <w:tcW w:type="dxa" w:w="2880"/>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7"/>
              </w:rPr>
              <w:t>73.33% accuracy; about 73.3% Macro-F1.</w:t>
            </w:r>
          </w:p>
        </w:tc>
      </w:tr>
    </w:tbl>
    <w:p>
      <w:pPr>
        <w:spacing w:after="20"/>
      </w:pPr>
    </w:p>
    <w:p>
      <w:pPr>
        <w:pStyle w:val="Heading2"/>
        <w:keepNext/>
      </w:pPr>
      <w:r>
        <w:t>7.2 Text and vision interpretation</w:t>
      </w:r>
    </w:p>
    <w:p>
      <w:r>
        <w:t>The text classifier uses TF-IDF features and Logistic Regression to predict a civic incident category from a complaint. Optional vision-language analysis can interpret an attached image through a Groq-hosted model or local Ollama configuration. The system is designed to combine available evidence rather than silently assume that every model is available. When text and vision outputs conflict, the documented WF-1 behavior routes the incident to DISAGREEMENT and produces a clarification prompt. Confidence values produced by a vision-language model are not treated as calibrated probabilities.</w:t>
      </w:r>
    </w:p>
    <w:p>
      <w:pPr>
        <w:pStyle w:val="Heading2"/>
        <w:keepNext/>
      </w:pPr>
      <w:r>
        <w:t>7.3 Geospatial duplicate candidates</w:t>
      </w:r>
    </w:p>
    <w:p>
      <w:r>
        <w:t>A2 uses Haversine distance to compare incident coordinates within a 50-metre radius and TF-IDF cosine text similarity with a documented threshold above 0.25. The result is a candidate relationship, not an automatic merge. Both records remain present until a dispatcher confirms or rejects the match. This design is important because two distinct hazards can exist close together, and reports of one large waterlogged area can originate from different locations or viewpoints.</w:t>
      </w:r>
    </w:p>
    <w:p>
      <w:pPr>
        <w:pStyle w:val="Heading2"/>
        <w:keepNext/>
      </w:pPr>
      <w:r>
        <w:t>7.4 Explainable risk and priority</w:t>
      </w:r>
    </w:p>
    <w:p>
      <w:r>
        <w:t>A3 produces a 0–100 priority score using configurable weighted factors such as category baseline, self-reported severity, duration, location vulnerability and exposure. It also records missing factors and uncertainty. Mandatory danger rules override the baseline numerical score for direct life-safety threats and hazards affecting vulnerable populations, including school or care-facility contexts. The weights are engineering heuristics and have not been externally validated as a public-safety risk model.</w:t>
      </w:r>
    </w:p>
    <w:p>
      <w:pPr>
        <w:pStyle w:val="Heading2"/>
        <w:keepNext/>
      </w:pPr>
      <w:r>
        <w:t>7.5 Two-stage response planning</w:t>
      </w:r>
    </w:p>
    <w:p>
      <w:r>
        <w:t>A4 creates a bifurcated remediation plan. Phase 1 addresses immediate risk through temporary mitigation, such as barricading or temporary surface protection. Phase 2 represents permanent engineering resolution, such as a lasting road repair. The plan records resource requirements, relevant safety certifications and objective closure criteria. The Critic then checks feasibility and safety before the plan is allowed to proceed to simulated execution.</w:t>
      </w:r>
    </w:p>
    <w:p>
      <w:pPr>
        <w:keepNext/>
        <w:spacing w:before="40" w:after="40"/>
      </w:pPr>
      <w:r>
        <w:rPr>
          <w:rFonts w:ascii="Aptos" w:hAnsi="Aptos"/>
          <w:b/>
          <w:color w:val="138A8A"/>
          <w:sz w:val="17"/>
        </w:rPr>
        <w:t>08 / DATA SERVICES</w:t>
      </w:r>
    </w:p>
    <w:p>
      <w:pPr>
        <w:pStyle w:val="Heading1"/>
        <w:keepNext/>
      </w:pPr>
      <w:r>
        <w:t>8. Persistence, APIs and Auditability</w:t>
      </w:r>
    </w:p>
    <w:p>
      <w:pPr>
        <w:pStyle w:val="Heading2"/>
        <w:keepNext/>
      </w:pPr>
      <w:r>
        <w:t>8.1 Civic Incident Twin</w:t>
      </w:r>
    </w:p>
    <w:p>
      <w:r>
        <w:t>The Civic Incident Twin is the persistent representation of an incident and its lifecycle. The repository uses SQLite in WAL mode through SQLAlchemy 2.0. The relational model and repository layer preserve incident metadata, candidate matches, plan versions, execution attempts and audit history. This enables the interface to display not just the current status but also how the incident reached that status. SQLite is suitable for the local proof of concept, but the repository itself identifies it as a single-node limitation for a high-concurrency municipal deployment.</w:t>
      </w:r>
    </w:p>
    <w:p>
      <w:pPr>
        <w:pStyle w:val="Heading2"/>
        <w:keepNext/>
      </w:pPr>
      <w:r>
        <w:t>8.2 Audit trail</w:t>
      </w:r>
    </w:p>
    <w:p>
      <w:r>
        <w:t>The append-only audit trail records state transitions, agent decisions, Critic verdicts, plan revisions, simulation attempts and human interventions. The repository describes timestamped actor identity, input snapshots and transition justification as inspectable audit context. This improves accountability and debugging because a reviewer can distinguish a failed attempt from a later revised plan. The audit trail is an application-level record; the project does not claim blockchain-style or cryptographic tamper-proof storage.</w:t>
      </w:r>
    </w:p>
    <w:p>
      <w:pPr>
        <w:pStyle w:val="Heading2"/>
        <w:keepNext/>
      </w:pPr>
      <w:r>
        <w:t>8.3 Representative API surface</w:t>
      </w:r>
    </w:p>
    <w:tbl>
      <w:tblPr>
        <w:tblStyle w:val="TableGrid"/>
        <w:tblW w:type="auto" w:w="0"/>
        <w:jc w:val="center"/>
        <w:tblLayout w:type="fixed"/>
        <w:tblLook w:firstColumn="1" w:firstRow="1" w:lastColumn="0" w:lastRow="0" w:noHBand="0" w:noVBand="1" w:val="04A0"/>
      </w:tblPr>
      <w:tblGrid>
        <w:gridCol w:w="3221"/>
        <w:gridCol w:w="3221"/>
        <w:gridCol w:w="3221"/>
      </w:tblGrid>
      <w:tr>
        <w:trPr>
          <w:tblHeader w:val="true"/>
        </w:trPr>
        <w:tc>
          <w:tcPr>
            <w:tcW w:type="dxa" w:w="1080"/>
            <w:vAlign w:val="center"/>
            <w:tcMar>
              <w:top w:w="90" w:type="dxa"/>
              <w:start w:w="100" w:type="dxa"/>
              <w:bottom w:w="90" w:type="dxa"/>
              <w:end w:w="100" w:type="dxa"/>
            </w:tcMar>
            <w:shd w:fill="17365D"/>
          </w:tcPr>
          <w:p>
            <w:pPr>
              <w:spacing w:after="0" w:before="0" w:line="240" w:lineRule="auto"/>
            </w:pPr>
            <w:r/>
            <w:r>
              <w:rPr>
                <w:rFonts w:ascii="Aptos" w:hAnsi="Aptos" w:eastAsia="Aptos"/>
                <w:b/>
                <w:color w:val="FFFFFF"/>
                <w:sz w:val="16"/>
              </w:rPr>
              <w:t>Method</w:t>
            </w:r>
          </w:p>
        </w:tc>
        <w:tc>
          <w:tcPr>
            <w:tcW w:type="dxa" w:w="3240"/>
            <w:vAlign w:val="center"/>
            <w:tcMar>
              <w:top w:w="90" w:type="dxa"/>
              <w:start w:w="100" w:type="dxa"/>
              <w:bottom w:w="90" w:type="dxa"/>
              <w:end w:w="100" w:type="dxa"/>
            </w:tcMar>
            <w:shd w:fill="17365D"/>
          </w:tcPr>
          <w:p>
            <w:pPr>
              <w:spacing w:after="0" w:before="0" w:line="240" w:lineRule="auto"/>
            </w:pPr>
            <w:r/>
            <w:r>
              <w:rPr>
                <w:rFonts w:ascii="Aptos" w:hAnsi="Aptos" w:eastAsia="Aptos"/>
                <w:b/>
                <w:color w:val="FFFFFF"/>
                <w:sz w:val="16"/>
              </w:rPr>
              <w:t>Endpoint</w:t>
            </w:r>
          </w:p>
        </w:tc>
        <w:tc>
          <w:tcPr>
            <w:tcW w:type="dxa" w:w="5256"/>
            <w:vAlign w:val="center"/>
            <w:tcMar>
              <w:top w:w="90" w:type="dxa"/>
              <w:start w:w="100" w:type="dxa"/>
              <w:bottom w:w="90" w:type="dxa"/>
              <w:end w:w="100" w:type="dxa"/>
            </w:tcMar>
            <w:shd w:fill="17365D"/>
          </w:tcPr>
          <w:p>
            <w:pPr>
              <w:spacing w:after="0" w:before="0" w:line="240" w:lineRule="auto"/>
            </w:pPr>
            <w:r/>
            <w:r>
              <w:rPr>
                <w:rFonts w:ascii="Aptos" w:hAnsi="Aptos" w:eastAsia="Aptos"/>
                <w:b/>
                <w:color w:val="FFFFFF"/>
                <w:sz w:val="16"/>
              </w:rPr>
              <w:t>Purpose</w:t>
            </w:r>
          </w:p>
        </w:tc>
      </w:tr>
      <w:tr>
        <w:tc>
          <w:tcPr>
            <w:tcW w:type="dxa" w:w="1080"/>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6"/>
              </w:rPr>
              <w:t>GET</w:t>
            </w:r>
          </w:p>
        </w:tc>
        <w:tc>
          <w:tcPr>
            <w:tcW w:type="dxa" w:w="3240"/>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6"/>
              </w:rPr>
              <w:t>/health</w:t>
            </w:r>
          </w:p>
        </w:tc>
        <w:tc>
          <w:tcPr>
            <w:tcW w:type="dxa" w:w="5256"/>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6"/>
              </w:rPr>
              <w:t>Liveness/readiness check and database connectivity status.</w:t>
            </w:r>
          </w:p>
        </w:tc>
      </w:tr>
      <w:tr>
        <w:tc>
          <w:tcPr>
            <w:tcW w:type="dxa" w:w="1080"/>
            <w:vAlign w:val="center"/>
            <w:tcMar>
              <w:top w:w="90" w:type="dxa"/>
              <w:start w:w="100" w:type="dxa"/>
              <w:bottom w:w="90" w:type="dxa"/>
              <w:end w:w="100" w:type="dxa"/>
            </w:tcMar>
            <w:shd w:fill="F4F7FA"/>
          </w:tcPr>
          <w:p>
            <w:pPr>
              <w:spacing w:after="0" w:before="0" w:line="240" w:lineRule="auto"/>
            </w:pPr>
            <w:r/>
            <w:r>
              <w:rPr>
                <w:rFonts w:ascii="Cambria" w:hAnsi="Cambria" w:eastAsia="Cambria"/>
                <w:b/>
                <w:color w:val="273746"/>
                <w:sz w:val="16"/>
              </w:rPr>
              <w:t>POST</w:t>
            </w:r>
          </w:p>
        </w:tc>
        <w:tc>
          <w:tcPr>
            <w:tcW w:type="dxa" w:w="3240"/>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6"/>
              </w:rPr>
              <w:t>/incidents</w:t>
            </w:r>
          </w:p>
        </w:tc>
        <w:tc>
          <w:tcPr>
            <w:tcW w:type="dxa" w:w="5256"/>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6"/>
              </w:rPr>
              <w:t>Submit a new complaint, sanitize image EXIF metadata and trigger triage.</w:t>
            </w:r>
          </w:p>
        </w:tc>
      </w:tr>
      <w:tr>
        <w:tc>
          <w:tcPr>
            <w:tcW w:type="dxa" w:w="1080"/>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6"/>
              </w:rPr>
              <w:t>GET</w:t>
            </w:r>
          </w:p>
        </w:tc>
        <w:tc>
          <w:tcPr>
            <w:tcW w:type="dxa" w:w="3240"/>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6"/>
              </w:rPr>
              <w:t>/incidents</w:t>
            </w:r>
          </w:p>
        </w:tc>
        <w:tc>
          <w:tcPr>
            <w:tcW w:type="dxa" w:w="5256"/>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6"/>
              </w:rPr>
              <w:t>List and filter incidents by category, status or priority.</w:t>
            </w:r>
          </w:p>
        </w:tc>
      </w:tr>
      <w:tr>
        <w:tc>
          <w:tcPr>
            <w:tcW w:type="dxa" w:w="1080"/>
            <w:vAlign w:val="center"/>
            <w:tcMar>
              <w:top w:w="90" w:type="dxa"/>
              <w:start w:w="100" w:type="dxa"/>
              <w:bottom w:w="90" w:type="dxa"/>
              <w:end w:w="100" w:type="dxa"/>
            </w:tcMar>
            <w:shd w:fill="F4F7FA"/>
          </w:tcPr>
          <w:p>
            <w:pPr>
              <w:spacing w:after="0" w:before="0" w:line="240" w:lineRule="auto"/>
            </w:pPr>
            <w:r/>
            <w:r>
              <w:rPr>
                <w:rFonts w:ascii="Cambria" w:hAnsi="Cambria" w:eastAsia="Cambria"/>
                <w:b/>
                <w:color w:val="273746"/>
                <w:sz w:val="16"/>
              </w:rPr>
              <w:t>GET</w:t>
            </w:r>
          </w:p>
        </w:tc>
        <w:tc>
          <w:tcPr>
            <w:tcW w:type="dxa" w:w="3240"/>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6"/>
              </w:rPr>
              <w:t>/incidents/{id}</w:t>
            </w:r>
          </w:p>
        </w:tc>
        <w:tc>
          <w:tcPr>
            <w:tcW w:type="dxa" w:w="5256"/>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6"/>
              </w:rPr>
              <w:t>Retrieve incident details, plans, attempts and duplicate candidates.</w:t>
            </w:r>
          </w:p>
        </w:tc>
      </w:tr>
      <w:tr>
        <w:tc>
          <w:tcPr>
            <w:tcW w:type="dxa" w:w="1080"/>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6"/>
              </w:rPr>
              <w:t>GET</w:t>
            </w:r>
          </w:p>
        </w:tc>
        <w:tc>
          <w:tcPr>
            <w:tcW w:type="dxa" w:w="3240"/>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6"/>
              </w:rPr>
              <w:t>/incidents/{id}/audit</w:t>
            </w:r>
          </w:p>
        </w:tc>
        <w:tc>
          <w:tcPr>
            <w:tcW w:type="dxa" w:w="5256"/>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6"/>
              </w:rPr>
              <w:t>Retrieve audit events and state history.</w:t>
            </w:r>
          </w:p>
        </w:tc>
      </w:tr>
      <w:tr>
        <w:tc>
          <w:tcPr>
            <w:tcW w:type="dxa" w:w="1080"/>
            <w:vAlign w:val="center"/>
            <w:tcMar>
              <w:top w:w="90" w:type="dxa"/>
              <w:start w:w="100" w:type="dxa"/>
              <w:bottom w:w="90" w:type="dxa"/>
              <w:end w:w="100" w:type="dxa"/>
            </w:tcMar>
            <w:shd w:fill="F4F7FA"/>
          </w:tcPr>
          <w:p>
            <w:pPr>
              <w:spacing w:after="0" w:before="0" w:line="240" w:lineRule="auto"/>
            </w:pPr>
            <w:r/>
            <w:r>
              <w:rPr>
                <w:rFonts w:ascii="Cambria" w:hAnsi="Cambria" w:eastAsia="Cambria"/>
                <w:b/>
                <w:color w:val="273746"/>
                <w:sz w:val="16"/>
              </w:rPr>
              <w:t>POST</w:t>
            </w:r>
          </w:p>
        </w:tc>
        <w:tc>
          <w:tcPr>
            <w:tcW w:type="dxa" w:w="3240"/>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6"/>
              </w:rPr>
              <w:t>/simulation/step</w:t>
            </w:r>
          </w:p>
        </w:tc>
        <w:tc>
          <w:tcPr>
            <w:tcW w:type="dxa" w:w="5256"/>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6"/>
              </w:rPr>
              <w:t>Execute one deterministic simulation step, optionally with an injected obstacle.</w:t>
            </w:r>
          </w:p>
        </w:tc>
      </w:tr>
      <w:tr>
        <w:tc>
          <w:tcPr>
            <w:tcW w:type="dxa" w:w="1080"/>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6"/>
              </w:rPr>
              <w:t>POST</w:t>
            </w:r>
          </w:p>
        </w:tc>
        <w:tc>
          <w:tcPr>
            <w:tcW w:type="dxa" w:w="3240"/>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6"/>
              </w:rPr>
              <w:t>/simulation/verify</w:t>
            </w:r>
          </w:p>
        </w:tc>
        <w:tc>
          <w:tcPr>
            <w:tcW w:type="dxa" w:w="5256"/>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6"/>
              </w:rPr>
              <w:t>Submit post-intervention evidence for independent verification.</w:t>
            </w:r>
          </w:p>
        </w:tc>
      </w:tr>
      <w:tr>
        <w:tc>
          <w:tcPr>
            <w:tcW w:type="dxa" w:w="1080"/>
            <w:vAlign w:val="center"/>
            <w:tcMar>
              <w:top w:w="90" w:type="dxa"/>
              <w:start w:w="100" w:type="dxa"/>
              <w:bottom w:w="90" w:type="dxa"/>
              <w:end w:w="100" w:type="dxa"/>
            </w:tcMar>
            <w:shd w:fill="F4F7FA"/>
          </w:tcPr>
          <w:p>
            <w:pPr>
              <w:spacing w:after="0" w:before="0" w:line="240" w:lineRule="auto"/>
            </w:pPr>
            <w:r/>
            <w:r>
              <w:rPr>
                <w:rFonts w:ascii="Cambria" w:hAnsi="Cambria" w:eastAsia="Cambria"/>
                <w:b/>
                <w:color w:val="273746"/>
                <w:sz w:val="16"/>
              </w:rPr>
              <w:t>POST</w:t>
            </w:r>
          </w:p>
        </w:tc>
        <w:tc>
          <w:tcPr>
            <w:tcW w:type="dxa" w:w="3240"/>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6"/>
              </w:rPr>
              <w:t>/ml/predict</w:t>
            </w:r>
          </w:p>
        </w:tc>
        <w:tc>
          <w:tcPr>
            <w:tcW w:type="dxa" w:w="5256"/>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6"/>
              </w:rPr>
              <w:t>Run multilingual NLP category prediction.</w:t>
            </w:r>
          </w:p>
        </w:tc>
      </w:tr>
      <w:tr>
        <w:tc>
          <w:tcPr>
            <w:tcW w:type="dxa" w:w="1080"/>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6"/>
              </w:rPr>
              <w:t>GET</w:t>
            </w:r>
          </w:p>
        </w:tc>
        <w:tc>
          <w:tcPr>
            <w:tcW w:type="dxa" w:w="3240"/>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6"/>
              </w:rPr>
              <w:t>/ml/metrics</w:t>
            </w:r>
          </w:p>
        </w:tc>
        <w:tc>
          <w:tcPr>
            <w:tcW w:type="dxa" w:w="5256"/>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6"/>
              </w:rPr>
              <w:t>Return active ML evaluation metrics and vocabulary-leakage checks.</w:t>
            </w:r>
          </w:p>
        </w:tc>
      </w:tr>
    </w:tbl>
    <w:p>
      <w:pPr>
        <w:spacing w:after="20"/>
      </w:pPr>
    </w:p>
    <w:p>
      <w:pPr>
        <w:pStyle w:val="Heading2"/>
        <w:keepNext/>
      </w:pPr>
      <w:r>
        <w:t>8.4 Transaction integrity</w:t>
      </w:r>
    </w:p>
    <w:p>
      <w:r>
        <w:t>The repository includes a database rollback invariant. If a multi-step update fails, the transaction must roll back rather than leaving a partial write. This is particularly important when a single workflow step changes incident status, stores a plan version and records an execution attempt. Consistent transaction boundaries support a coherent history of what the system proposed and what it actually simulated.</w:t>
      </w:r>
    </w:p>
    <w:p>
      <w:pPr>
        <w:keepNext/>
        <w:spacing w:before="40" w:after="40"/>
      </w:pPr>
      <w:r>
        <w:rPr>
          <w:rFonts w:ascii="Aptos" w:hAnsi="Aptos"/>
          <w:b/>
          <w:color w:val="138A8A"/>
          <w:sz w:val="17"/>
        </w:rPr>
        <w:t>09 / SCENARIO</w:t>
      </w:r>
    </w:p>
    <w:p>
      <w:pPr>
        <w:pStyle w:val="Heading1"/>
        <w:keepNext/>
      </w:pPr>
      <w:r>
        <w:t>9. End-to-End Workflow Scenario</w:t>
      </w:r>
    </w:p>
    <w:p>
      <w:r>
        <w:t>The following scenario illustrates how the components interact. It is a representative demonstration path based on the repository's evaluator guide; the example does not describe a real municipal repair.</w:t>
      </w:r>
    </w:p>
    <w:p>
      <w:pPr>
        <w:pStyle w:val="Heading2"/>
        <w:keepNext/>
      </w:pPr>
      <w:r>
        <w:t>9.1 Intake and interpretation</w:t>
      </w:r>
    </w:p>
    <w:p>
      <w:r>
        <w:t>A user submits a synthetic pothole report near a school, describing a deep road defect and traffic exposure, with coordinates and optionally a photograph. The application creates an incident identifier and removes EXIF metadata from uploaded imagery. A1 structures the complaint and identifies missing or conflicting facts. If text and vision disagree, the incident is routed for clarification rather than receiving an unsupported forced category.</w:t>
      </w:r>
    </w:p>
    <w:p>
      <w:pPr>
        <w:pStyle w:val="Heading2"/>
        <w:keepNext/>
      </w:pPr>
      <w:r>
        <w:t>9.2 Spatial and priority analysis</w:t>
      </w:r>
    </w:p>
    <w:p>
      <w:r>
        <w:t>A2 compares the location and description with active incidents. If a similar report lies within the configured spatial and text-similarity thresholds, the system records an UNCONFIRMED candidate while retaining both records. A3 computes a priority score and checks mandatory danger rules. If a direct life-safety trigger is present, the incident can be escalated to CRITICAL regardless of the baseline score.</w:t>
      </w:r>
    </w:p>
    <w:p>
      <w:pPr>
        <w:pStyle w:val="Heading2"/>
        <w:keepNext/>
      </w:pPr>
      <w:r>
        <w:t>9.3 Plan and Critic review</w:t>
      </w:r>
    </w:p>
    <w:p>
      <w:r>
        <w:t>A4 proposes immediate mitigation and a permanent repair, with required resources and closure criteria. The Critic reviews the plan for safety, feasibility and resource constraints. An approved plan advances to simulation; a rejected plan returns to the planner with feedback; an escalation routes the decision to human review.</w:t>
      </w:r>
    </w:p>
    <w:p>
      <w:pPr>
        <w:pStyle w:val="Heading2"/>
        <w:keepNext/>
      </w:pPr>
      <w:r>
        <w:t>9.4 Injected execution failure and recovery</w:t>
      </w:r>
    </w:p>
    <w:p>
      <w:r>
        <w:t>The simulation lab can inject a crew shortage, material shortage or weather block. The attempt is recorded as simulated. A5 diagnoses the failure and creates a revised plan using a permitted alternative. The previous plan and attempt remain in history, and the revised plan must pass the Critic again before another simulated execution. When the two-retry limit is exhausted, the workflow stops autonomous recovery and transitions to HUMAN_REVIEW.</w:t>
      </w:r>
    </w:p>
    <w:p>
      <w:pPr>
        <w:pStyle w:val="Heading2"/>
        <w:keepNext/>
      </w:pPr>
      <w:r>
        <w:t>9.5 Verification and closure</w:t>
      </w:r>
    </w:p>
    <w:p>
      <w:r>
        <w:t>After simulated execution, A6 checks the submitted evidence against the plan's closure criteria. A closure attempt without evidence is rejected. For critical or high-traffic incidents, the required supervisor sign-off must also be present. A failed verification leaves the incident open and requests further evidence or review. Only a passing verification result and required sign-off permit VERIFIED_CLOSED.</w:t>
      </w:r>
    </w:p>
    <w:p>
      <w:pPr>
        <w:pStyle w:val="Heading2"/>
        <w:keepNext/>
      </w:pPr>
      <w:r>
        <w:t>9.6 Exception-path summary</w:t>
      </w:r>
    </w:p>
    <w:tbl>
      <w:tblPr>
        <w:tblStyle w:val="TableGrid"/>
        <w:tblW w:type="auto" w:w="0"/>
        <w:jc w:val="center"/>
        <w:tblLayout w:type="fixed"/>
        <w:tblLook w:firstColumn="1" w:firstRow="1" w:lastColumn="0" w:lastRow="0" w:noHBand="0" w:noVBand="1" w:val="04A0"/>
      </w:tblPr>
      <w:tblGrid>
        <w:gridCol w:w="4831"/>
        <w:gridCol w:w="4831"/>
      </w:tblGrid>
      <w:tr>
        <w:trPr>
          <w:tblHeader w:val="true"/>
        </w:trPr>
        <w:tc>
          <w:tcPr>
            <w:tcW w:type="dxa" w:w="3024"/>
            <w:vAlign w:val="center"/>
            <w:tcMar>
              <w:top w:w="90" w:type="dxa"/>
              <w:start w:w="100" w:type="dxa"/>
              <w:bottom w:w="90" w:type="dxa"/>
              <w:end w:w="100" w:type="dxa"/>
            </w:tcMar>
            <w:shd w:fill="17365D"/>
          </w:tcPr>
          <w:p>
            <w:pPr>
              <w:spacing w:after="0" w:before="0" w:line="240" w:lineRule="auto"/>
            </w:pPr>
            <w:r/>
            <w:r>
              <w:rPr>
                <w:rFonts w:ascii="Aptos" w:hAnsi="Aptos" w:eastAsia="Aptos"/>
                <w:b/>
                <w:color w:val="FFFFFF"/>
                <w:sz w:val="17"/>
              </w:rPr>
              <w:t>Condition</w:t>
            </w:r>
          </w:p>
        </w:tc>
        <w:tc>
          <w:tcPr>
            <w:tcW w:type="dxa" w:w="6552"/>
            <w:vAlign w:val="center"/>
            <w:tcMar>
              <w:top w:w="90" w:type="dxa"/>
              <w:start w:w="100" w:type="dxa"/>
              <w:bottom w:w="90" w:type="dxa"/>
              <w:end w:w="100" w:type="dxa"/>
            </w:tcMar>
            <w:shd w:fill="17365D"/>
          </w:tcPr>
          <w:p>
            <w:pPr>
              <w:spacing w:after="0" w:before="0" w:line="240" w:lineRule="auto"/>
            </w:pPr>
            <w:r/>
            <w:r>
              <w:rPr>
                <w:rFonts w:ascii="Aptos" w:hAnsi="Aptos" w:eastAsia="Aptos"/>
                <w:b/>
                <w:color w:val="FFFFFF"/>
                <w:sz w:val="17"/>
              </w:rPr>
              <w:t>Expected system response</w:t>
            </w:r>
          </w:p>
        </w:tc>
      </w:tr>
      <w:tr>
        <w:tc>
          <w:tcPr>
            <w:tcW w:type="dxa" w:w="3024"/>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7"/>
              </w:rPr>
              <w:t>Text and vision disagree</w:t>
            </w:r>
          </w:p>
        </w:tc>
        <w:tc>
          <w:tcPr>
            <w:tcW w:type="dxa" w:w="6552"/>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7"/>
              </w:rPr>
              <w:t>Route to DISAGREEMENT; ask for clarification; do not force a category.</w:t>
            </w:r>
          </w:p>
        </w:tc>
      </w:tr>
      <w:tr>
        <w:tc>
          <w:tcPr>
            <w:tcW w:type="dxa" w:w="3024"/>
            <w:vAlign w:val="center"/>
            <w:tcMar>
              <w:top w:w="90" w:type="dxa"/>
              <w:start w:w="100" w:type="dxa"/>
              <w:bottom w:w="90" w:type="dxa"/>
              <w:end w:w="100" w:type="dxa"/>
            </w:tcMar>
            <w:shd w:fill="F4F7FA"/>
          </w:tcPr>
          <w:p>
            <w:pPr>
              <w:spacing w:after="0" w:before="0" w:line="240" w:lineRule="auto"/>
            </w:pPr>
            <w:r/>
            <w:r>
              <w:rPr>
                <w:rFonts w:ascii="Cambria" w:hAnsi="Cambria" w:eastAsia="Cambria"/>
                <w:b/>
                <w:color w:val="273746"/>
                <w:sz w:val="17"/>
              </w:rPr>
              <w:t>Possible duplicate found</w:t>
            </w:r>
          </w:p>
        </w:tc>
        <w:tc>
          <w:tcPr>
            <w:tcW w:type="dxa" w:w="6552"/>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7"/>
              </w:rPr>
              <w:t>Create UNCONFIRMED candidate; preserve both incidents for human review.</w:t>
            </w:r>
          </w:p>
        </w:tc>
      </w:tr>
      <w:tr>
        <w:tc>
          <w:tcPr>
            <w:tcW w:type="dxa" w:w="3024"/>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7"/>
              </w:rPr>
              <w:t>Life-safety trigger detected</w:t>
            </w:r>
          </w:p>
        </w:tc>
        <w:tc>
          <w:tcPr>
            <w:tcW w:type="dxa" w:w="6552"/>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7"/>
              </w:rPr>
              <w:t>Force critical priority and escalation even if the baseline score is lower.</w:t>
            </w:r>
          </w:p>
        </w:tc>
      </w:tr>
      <w:tr>
        <w:tc>
          <w:tcPr>
            <w:tcW w:type="dxa" w:w="3024"/>
            <w:vAlign w:val="center"/>
            <w:tcMar>
              <w:top w:w="90" w:type="dxa"/>
              <w:start w:w="100" w:type="dxa"/>
              <w:bottom w:w="90" w:type="dxa"/>
              <w:end w:w="100" w:type="dxa"/>
            </w:tcMar>
            <w:shd w:fill="F4F7FA"/>
          </w:tcPr>
          <w:p>
            <w:pPr>
              <w:spacing w:after="0" w:before="0" w:line="240" w:lineRule="auto"/>
            </w:pPr>
            <w:r/>
            <w:r>
              <w:rPr>
                <w:rFonts w:ascii="Cambria" w:hAnsi="Cambria" w:eastAsia="Cambria"/>
                <w:b/>
                <w:color w:val="273746"/>
                <w:sz w:val="17"/>
              </w:rPr>
              <w:t>Critic rejects the plan</w:t>
            </w:r>
          </w:p>
        </w:tc>
        <w:tc>
          <w:tcPr>
            <w:tcW w:type="dxa" w:w="6552"/>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7"/>
              </w:rPr>
              <w:t>Return to planning with rejection feedback or escalate when appropriate.</w:t>
            </w:r>
          </w:p>
        </w:tc>
      </w:tr>
      <w:tr>
        <w:tc>
          <w:tcPr>
            <w:tcW w:type="dxa" w:w="3024"/>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7"/>
              </w:rPr>
              <w:t>Execution fails</w:t>
            </w:r>
          </w:p>
        </w:tc>
        <w:tc>
          <w:tcPr>
            <w:tcW w:type="dxa" w:w="6552"/>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7"/>
              </w:rPr>
              <w:t>Send the failure reason to A5, preserve history, revise and revalidate the plan.</w:t>
            </w:r>
          </w:p>
        </w:tc>
      </w:tr>
      <w:tr>
        <w:tc>
          <w:tcPr>
            <w:tcW w:type="dxa" w:w="3024"/>
            <w:vAlign w:val="center"/>
            <w:tcMar>
              <w:top w:w="90" w:type="dxa"/>
              <w:start w:w="100" w:type="dxa"/>
              <w:bottom w:w="90" w:type="dxa"/>
              <w:end w:w="100" w:type="dxa"/>
            </w:tcMar>
            <w:shd w:fill="F4F7FA"/>
          </w:tcPr>
          <w:p>
            <w:pPr>
              <w:spacing w:after="0" w:before="0" w:line="240" w:lineRule="auto"/>
            </w:pPr>
            <w:r/>
            <w:r>
              <w:rPr>
                <w:rFonts w:ascii="Cambria" w:hAnsi="Cambria" w:eastAsia="Cambria"/>
                <w:b/>
                <w:color w:val="273746"/>
                <w:sz w:val="17"/>
              </w:rPr>
              <w:t>Recovery retries exhausted</w:t>
            </w:r>
          </w:p>
        </w:tc>
        <w:tc>
          <w:tcPr>
            <w:tcW w:type="dxa" w:w="6552"/>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7"/>
              </w:rPr>
              <w:t>Stop autonomous retries and route to HUMAN_REVIEW.</w:t>
            </w:r>
          </w:p>
        </w:tc>
      </w:tr>
      <w:tr>
        <w:tc>
          <w:tcPr>
            <w:tcW w:type="dxa" w:w="3024"/>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7"/>
              </w:rPr>
              <w:t>Closure evidence or sign-off missing</w:t>
            </w:r>
          </w:p>
        </w:tc>
        <w:tc>
          <w:tcPr>
            <w:tcW w:type="dxa" w:w="6552"/>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7"/>
              </w:rPr>
              <w:t>Reject closure and keep the incident open for evidence or supervisor review.</w:t>
            </w:r>
          </w:p>
        </w:tc>
      </w:tr>
    </w:tbl>
    <w:p>
      <w:pPr>
        <w:spacing w:after="20"/>
      </w:pPr>
    </w:p>
    <w:p>
      <w:pPr>
        <w:keepNext/>
        <w:spacing w:before="40" w:after="40"/>
      </w:pPr>
      <w:r>
        <w:rPr>
          <w:rFonts w:ascii="Aptos" w:hAnsi="Aptos"/>
          <w:b/>
          <w:color w:val="138A8A"/>
          <w:sz w:val="17"/>
        </w:rPr>
        <w:t>10 / VALIDATION</w:t>
      </w:r>
    </w:p>
    <w:p>
      <w:pPr>
        <w:pStyle w:val="Heading1"/>
        <w:keepNext/>
      </w:pPr>
      <w:r>
        <w:t>10. Testing and Evaluation Results</w:t>
      </w:r>
    </w:p>
    <w:p>
      <w:pPr>
        <w:pStyle w:val="Heading2"/>
        <w:keepNext/>
      </w:pPr>
      <w:r>
        <w:t>10.1 Backend and frontend validation</w:t>
      </w:r>
    </w:p>
    <w:tbl>
      <w:tblPr>
        <w:tblStyle w:val="TableGrid"/>
        <w:tblW w:type="auto" w:w="0"/>
        <w:jc w:val="center"/>
        <w:tblLayout w:type="fixed"/>
        <w:tblLook w:firstColumn="1" w:firstRow="1" w:lastColumn="0" w:lastRow="0" w:noHBand="0" w:noVBand="1" w:val="04A0"/>
      </w:tblPr>
      <w:tblGrid>
        <w:gridCol w:w="3221"/>
        <w:gridCol w:w="3221"/>
        <w:gridCol w:w="3221"/>
      </w:tblGrid>
      <w:tr>
        <w:trPr>
          <w:tblHeader w:val="true"/>
        </w:trPr>
        <w:tc>
          <w:tcPr>
            <w:tcW w:type="dxa" w:w="2088"/>
            <w:vAlign w:val="center"/>
            <w:tcMar>
              <w:top w:w="90" w:type="dxa"/>
              <w:start w:w="100" w:type="dxa"/>
              <w:bottom w:w="90" w:type="dxa"/>
              <w:end w:w="100" w:type="dxa"/>
            </w:tcMar>
            <w:shd w:fill="17365D"/>
          </w:tcPr>
          <w:p>
            <w:pPr>
              <w:spacing w:after="0" w:before="0" w:line="240" w:lineRule="auto"/>
            </w:pPr>
            <w:r/>
            <w:r>
              <w:rPr>
                <w:rFonts w:ascii="Aptos" w:hAnsi="Aptos" w:eastAsia="Aptos"/>
                <w:b/>
                <w:color w:val="FFFFFF"/>
                <w:sz w:val="16"/>
              </w:rPr>
              <w:t>Validation area</w:t>
            </w:r>
          </w:p>
        </w:tc>
        <w:tc>
          <w:tcPr>
            <w:tcW w:type="dxa" w:w="2592"/>
            <w:vAlign w:val="center"/>
            <w:tcMar>
              <w:top w:w="90" w:type="dxa"/>
              <w:start w:w="100" w:type="dxa"/>
              <w:bottom w:w="90" w:type="dxa"/>
              <w:end w:w="100" w:type="dxa"/>
            </w:tcMar>
            <w:shd w:fill="17365D"/>
          </w:tcPr>
          <w:p>
            <w:pPr>
              <w:spacing w:after="0" w:before="0" w:line="240" w:lineRule="auto"/>
            </w:pPr>
            <w:r/>
            <w:r>
              <w:rPr>
                <w:rFonts w:ascii="Aptos" w:hAnsi="Aptos" w:eastAsia="Aptos"/>
                <w:b/>
                <w:color w:val="FFFFFF"/>
                <w:sz w:val="16"/>
              </w:rPr>
              <w:t>Repository-reported result</w:t>
            </w:r>
          </w:p>
        </w:tc>
        <w:tc>
          <w:tcPr>
            <w:tcW w:type="dxa" w:w="4896"/>
            <w:vAlign w:val="center"/>
            <w:tcMar>
              <w:top w:w="90" w:type="dxa"/>
              <w:start w:w="100" w:type="dxa"/>
              <w:bottom w:w="90" w:type="dxa"/>
              <w:end w:w="100" w:type="dxa"/>
            </w:tcMar>
            <w:shd w:fill="17365D"/>
          </w:tcPr>
          <w:p>
            <w:pPr>
              <w:spacing w:after="0" w:before="0" w:line="240" w:lineRule="auto"/>
            </w:pPr>
            <w:r/>
            <w:r>
              <w:rPr>
                <w:rFonts w:ascii="Aptos" w:hAnsi="Aptos" w:eastAsia="Aptos"/>
                <w:b/>
                <w:color w:val="FFFFFF"/>
                <w:sz w:val="16"/>
              </w:rPr>
              <w:t>Interpretation</w:t>
            </w:r>
          </w:p>
        </w:tc>
      </w:tr>
      <w:tr>
        <w:tc>
          <w:tcPr>
            <w:tcW w:type="dxa" w:w="2088"/>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6"/>
              </w:rPr>
              <w:t>Backend automated tests</w:t>
            </w:r>
          </w:p>
        </w:tc>
        <w:tc>
          <w:tcPr>
            <w:tcW w:type="dxa" w:w="2592"/>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6"/>
              </w:rPr>
              <w:t>194 passed, 1 skipped, 0 failures.</w:t>
            </w:r>
          </w:p>
        </w:tc>
        <w:tc>
          <w:tcPr>
            <w:tcW w:type="dxa" w:w="4896"/>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6"/>
              </w:rPr>
              <w:t>The skipped test is a live Groq API rate-limit guard that skips when no live token is configured.</w:t>
            </w:r>
          </w:p>
        </w:tc>
      </w:tr>
      <w:tr>
        <w:tc>
          <w:tcPr>
            <w:tcW w:type="dxa" w:w="2088"/>
            <w:vAlign w:val="center"/>
            <w:tcMar>
              <w:top w:w="90" w:type="dxa"/>
              <w:start w:w="100" w:type="dxa"/>
              <w:bottom w:w="90" w:type="dxa"/>
              <w:end w:w="100" w:type="dxa"/>
            </w:tcMar>
            <w:shd w:fill="F4F7FA"/>
          </w:tcPr>
          <w:p>
            <w:pPr>
              <w:spacing w:after="0" w:before="0" w:line="240" w:lineRule="auto"/>
            </w:pPr>
            <w:r/>
            <w:r>
              <w:rPr>
                <w:rFonts w:ascii="Cambria" w:hAnsi="Cambria" w:eastAsia="Cambria"/>
                <w:b/>
                <w:color w:val="273746"/>
                <w:sz w:val="16"/>
              </w:rPr>
              <w:t>System invariants</w:t>
            </w:r>
          </w:p>
        </w:tc>
        <w:tc>
          <w:tcPr>
            <w:tcW w:type="dxa" w:w="2592"/>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6"/>
              </w:rPr>
              <w:t>11 / 11 passed (100%).</w:t>
            </w:r>
          </w:p>
        </w:tc>
        <w:tc>
          <w:tcPr>
            <w:tcW w:type="dxa" w:w="4896"/>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6"/>
              </w:rPr>
              <w:t>Eight invariants (INV-1 to INV-8) and three workflow checks (WF-1 to WF-3) were reported as passing.</w:t>
            </w:r>
          </w:p>
        </w:tc>
      </w:tr>
      <w:tr>
        <w:tc>
          <w:tcPr>
            <w:tcW w:type="dxa" w:w="2088"/>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6"/>
              </w:rPr>
              <w:t>Frontend production build</w:t>
            </w:r>
          </w:p>
        </w:tc>
        <w:tc>
          <w:tcPr>
            <w:tcW w:type="dxa" w:w="2592"/>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6"/>
              </w:rPr>
              <w:t>Passed; 0 build errors.</w:t>
            </w:r>
          </w:p>
        </w:tc>
        <w:tc>
          <w:tcPr>
            <w:tcW w:type="dxa" w:w="4896"/>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6"/>
              </w:rPr>
              <w:t>TypeScript compilation and Vite production bundling completed successfully according to the repository report.</w:t>
            </w:r>
          </w:p>
        </w:tc>
      </w:tr>
      <w:tr>
        <w:tc>
          <w:tcPr>
            <w:tcW w:type="dxa" w:w="2088"/>
            <w:vAlign w:val="center"/>
            <w:tcMar>
              <w:top w:w="90" w:type="dxa"/>
              <w:start w:w="100" w:type="dxa"/>
              <w:bottom w:w="90" w:type="dxa"/>
              <w:end w:w="100" w:type="dxa"/>
            </w:tcMar>
            <w:shd w:fill="F4F7FA"/>
          </w:tcPr>
          <w:p>
            <w:pPr>
              <w:spacing w:after="0" w:before="0" w:line="240" w:lineRule="auto"/>
            </w:pPr>
            <w:r/>
            <w:r>
              <w:rPr>
                <w:rFonts w:ascii="Cambria" w:hAnsi="Cambria" w:eastAsia="Cambria"/>
                <w:b/>
                <w:color w:val="273746"/>
                <w:sz w:val="16"/>
              </w:rPr>
              <w:t>Frontend lint</w:t>
            </w:r>
          </w:p>
        </w:tc>
        <w:tc>
          <w:tcPr>
            <w:tcW w:type="dxa" w:w="2592"/>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6"/>
              </w:rPr>
              <w:t>0 errors reported.</w:t>
            </w:r>
          </w:p>
        </w:tc>
        <w:tc>
          <w:tcPr>
            <w:tcW w:type="dxa" w:w="4896"/>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6"/>
              </w:rPr>
              <w:t>The repository's README reports no lint errors; this report does not independently rerun lint.</w:t>
            </w:r>
          </w:p>
        </w:tc>
      </w:tr>
      <w:tr>
        <w:tc>
          <w:tcPr>
            <w:tcW w:type="dxa" w:w="2088"/>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6"/>
              </w:rPr>
              <w:t>Vocabulary leakage check</w:t>
            </w:r>
          </w:p>
        </w:tc>
        <w:tc>
          <w:tcPr>
            <w:tcW w:type="dxa" w:w="2592"/>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6"/>
              </w:rPr>
              <w:t>0 overlap reported.</w:t>
            </w:r>
          </w:p>
        </w:tc>
        <w:tc>
          <w:tcPr>
            <w:tcW w:type="dxa" w:w="4896"/>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6"/>
              </w:rPr>
              <w:t>The held-out and challenge evaluations report no vocabulary intersections under the repository's check.</w:t>
            </w:r>
          </w:p>
        </w:tc>
      </w:tr>
    </w:tbl>
    <w:p>
      <w:pPr>
        <w:spacing w:after="20"/>
      </w:pPr>
    </w:p>
    <w:p>
      <w:pPr>
        <w:pStyle w:val="Heading2"/>
        <w:keepNext/>
      </w:pPr>
      <w:r>
        <w:t>10.2 System invariants and workflow checks</w:t>
      </w:r>
    </w:p>
    <w:tbl>
      <w:tblPr>
        <w:tblStyle w:val="TableGrid"/>
        <w:tblW w:type="auto" w:w="0"/>
        <w:jc w:val="center"/>
        <w:tblLayout w:type="fixed"/>
        <w:tblLook w:firstColumn="1" w:firstRow="1" w:lastColumn="0" w:lastRow="0" w:noHBand="0" w:noVBand="1" w:val="04A0"/>
      </w:tblPr>
      <w:tblGrid>
        <w:gridCol w:w="3221"/>
        <w:gridCol w:w="3221"/>
        <w:gridCol w:w="3221"/>
      </w:tblGrid>
      <w:tr>
        <w:trPr>
          <w:tblHeader w:val="true"/>
        </w:trPr>
        <w:tc>
          <w:tcPr>
            <w:tcW w:type="dxa" w:w="936"/>
            <w:vAlign w:val="center"/>
            <w:tcMar>
              <w:top w:w="90" w:type="dxa"/>
              <w:start w:w="100" w:type="dxa"/>
              <w:bottom w:w="90" w:type="dxa"/>
              <w:end w:w="100" w:type="dxa"/>
            </w:tcMar>
            <w:shd w:fill="17365D"/>
          </w:tcPr>
          <w:p>
            <w:pPr>
              <w:spacing w:after="0" w:before="0" w:line="240" w:lineRule="auto"/>
            </w:pPr>
            <w:r/>
            <w:r>
              <w:rPr>
                <w:rFonts w:ascii="Aptos" w:hAnsi="Aptos" w:eastAsia="Aptos"/>
                <w:b/>
                <w:color w:val="FFFFFF"/>
                <w:sz w:val="15"/>
              </w:rPr>
              <w:t>ID</w:t>
            </w:r>
          </w:p>
        </w:tc>
        <w:tc>
          <w:tcPr>
            <w:tcW w:type="dxa" w:w="2376"/>
            <w:vAlign w:val="center"/>
            <w:tcMar>
              <w:top w:w="90" w:type="dxa"/>
              <w:start w:w="100" w:type="dxa"/>
              <w:bottom w:w="90" w:type="dxa"/>
              <w:end w:w="100" w:type="dxa"/>
            </w:tcMar>
            <w:shd w:fill="17365D"/>
          </w:tcPr>
          <w:p>
            <w:pPr>
              <w:spacing w:after="0" w:before="0" w:line="240" w:lineRule="auto"/>
            </w:pPr>
            <w:r/>
            <w:r>
              <w:rPr>
                <w:rFonts w:ascii="Aptos" w:hAnsi="Aptos" w:eastAsia="Aptos"/>
                <w:b/>
                <w:color w:val="FFFFFF"/>
                <w:sz w:val="15"/>
              </w:rPr>
              <w:t>Check</w:t>
            </w:r>
          </w:p>
        </w:tc>
        <w:tc>
          <w:tcPr>
            <w:tcW w:type="dxa" w:w="6264"/>
            <w:vAlign w:val="center"/>
            <w:tcMar>
              <w:top w:w="90" w:type="dxa"/>
              <w:start w:w="100" w:type="dxa"/>
              <w:bottom w:w="90" w:type="dxa"/>
              <w:end w:w="100" w:type="dxa"/>
            </w:tcMar>
            <w:shd w:fill="17365D"/>
          </w:tcPr>
          <w:p>
            <w:pPr>
              <w:spacing w:after="0" w:before="0" w:line="240" w:lineRule="auto"/>
            </w:pPr>
            <w:r/>
            <w:r>
              <w:rPr>
                <w:rFonts w:ascii="Aptos" w:hAnsi="Aptos" w:eastAsia="Aptos"/>
                <w:b/>
                <w:color w:val="FFFFFF"/>
                <w:sz w:val="15"/>
              </w:rPr>
              <w:t>Expected / reported behavior</w:t>
            </w:r>
          </w:p>
        </w:tc>
      </w:tr>
      <w:tr>
        <w:tc>
          <w:tcPr>
            <w:tcW w:type="dxa" w:w="936"/>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5"/>
              </w:rPr>
              <w:t>INV-1</w:t>
            </w:r>
          </w:p>
        </w:tc>
        <w:tc>
          <w:tcPr>
            <w:tcW w:type="dxa" w:w="2376"/>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5"/>
              </w:rPr>
              <w:t>Closure gate</w:t>
            </w:r>
          </w:p>
        </w:tc>
        <w:tc>
          <w:tcPr>
            <w:tcW w:type="dxa" w:w="6264"/>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5"/>
              </w:rPr>
              <w:t>VERIFIED_CLOSED is rejected without a passing VerificationResult; succeeds only when passed=True and required sign-off is present.</w:t>
            </w:r>
          </w:p>
        </w:tc>
      </w:tr>
      <w:tr>
        <w:tc>
          <w:tcPr>
            <w:tcW w:type="dxa" w:w="936"/>
            <w:vAlign w:val="center"/>
            <w:tcMar>
              <w:top w:w="90" w:type="dxa"/>
              <w:start w:w="100" w:type="dxa"/>
              <w:bottom w:w="90" w:type="dxa"/>
              <w:end w:w="100" w:type="dxa"/>
            </w:tcMar>
            <w:shd w:fill="F4F7FA"/>
          </w:tcPr>
          <w:p>
            <w:pPr>
              <w:spacing w:after="0" w:before="0" w:line="240" w:lineRule="auto"/>
            </w:pPr>
            <w:r/>
            <w:r>
              <w:rPr>
                <w:rFonts w:ascii="Cambria" w:hAnsi="Cambria" w:eastAsia="Cambria"/>
                <w:b/>
                <w:color w:val="273746"/>
                <w:sz w:val="15"/>
              </w:rPr>
              <w:t>INV-2</w:t>
            </w:r>
          </w:p>
        </w:tc>
        <w:tc>
          <w:tcPr>
            <w:tcW w:type="dxa" w:w="2376"/>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5"/>
              </w:rPr>
              <w:t>Simulation labeling</w:t>
            </w:r>
          </w:p>
        </w:tc>
        <w:tc>
          <w:tcPr>
            <w:tcW w:type="dxa" w:w="6264"/>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5"/>
              </w:rPr>
              <w:t>Every execution attempt is stamped simulated=True.</w:t>
            </w:r>
          </w:p>
        </w:tc>
      </w:tr>
      <w:tr>
        <w:tc>
          <w:tcPr>
            <w:tcW w:type="dxa" w:w="936"/>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5"/>
              </w:rPr>
              <w:t>INV-3</w:t>
            </w:r>
          </w:p>
        </w:tc>
        <w:tc>
          <w:tcPr>
            <w:tcW w:type="dxa" w:w="2376"/>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5"/>
              </w:rPr>
              <w:t>Mandatory danger escalation</w:t>
            </w:r>
          </w:p>
        </w:tc>
        <w:tc>
          <w:tcPr>
            <w:tcW w:type="dxa" w:w="6264"/>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5"/>
              </w:rPr>
              <w:t>Life-safety and vulnerable-population triggers force critical priority and escalation.</w:t>
            </w:r>
          </w:p>
        </w:tc>
      </w:tr>
      <w:tr>
        <w:tc>
          <w:tcPr>
            <w:tcW w:type="dxa" w:w="936"/>
            <w:vAlign w:val="center"/>
            <w:tcMar>
              <w:top w:w="90" w:type="dxa"/>
              <w:start w:w="100" w:type="dxa"/>
              <w:bottom w:w="90" w:type="dxa"/>
              <w:end w:w="100" w:type="dxa"/>
            </w:tcMar>
            <w:shd w:fill="F4F7FA"/>
          </w:tcPr>
          <w:p>
            <w:pPr>
              <w:spacing w:after="0" w:before="0" w:line="240" w:lineRule="auto"/>
            </w:pPr>
            <w:r/>
            <w:r>
              <w:rPr>
                <w:rFonts w:ascii="Cambria" w:hAnsi="Cambria" w:eastAsia="Cambria"/>
                <w:b/>
                <w:color w:val="273746"/>
                <w:sz w:val="15"/>
              </w:rPr>
              <w:t>INV-4</w:t>
            </w:r>
          </w:p>
        </w:tc>
        <w:tc>
          <w:tcPr>
            <w:tcW w:type="dxa" w:w="2376"/>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5"/>
              </w:rPr>
              <w:t>Bounded recovery</w:t>
            </w:r>
          </w:p>
        </w:tc>
        <w:tc>
          <w:tcPr>
            <w:tcW w:type="dxa" w:w="6264"/>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5"/>
              </w:rPr>
              <w:t>After two recovery retries, the workflow escalates to HUMAN_REVIEW.</w:t>
            </w:r>
          </w:p>
        </w:tc>
      </w:tr>
      <w:tr>
        <w:tc>
          <w:tcPr>
            <w:tcW w:type="dxa" w:w="936"/>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5"/>
              </w:rPr>
              <w:t>INV-5</w:t>
            </w:r>
          </w:p>
        </w:tc>
        <w:tc>
          <w:tcPr>
            <w:tcW w:type="dxa" w:w="2376"/>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5"/>
              </w:rPr>
              <w:t>History preservation</w:t>
            </w:r>
          </w:p>
        </w:tc>
        <w:tc>
          <w:tcPr>
            <w:tcW w:type="dxa" w:w="6264"/>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5"/>
              </w:rPr>
              <w:t>Failed plans and attempts remain stored when a new plan version is created.</w:t>
            </w:r>
          </w:p>
        </w:tc>
      </w:tr>
      <w:tr>
        <w:tc>
          <w:tcPr>
            <w:tcW w:type="dxa" w:w="936"/>
            <w:vAlign w:val="center"/>
            <w:tcMar>
              <w:top w:w="90" w:type="dxa"/>
              <w:start w:w="100" w:type="dxa"/>
              <w:bottom w:w="90" w:type="dxa"/>
              <w:end w:w="100" w:type="dxa"/>
            </w:tcMar>
            <w:shd w:fill="F4F7FA"/>
          </w:tcPr>
          <w:p>
            <w:pPr>
              <w:spacing w:after="0" w:before="0" w:line="240" w:lineRule="auto"/>
            </w:pPr>
            <w:r/>
            <w:r>
              <w:rPr>
                <w:rFonts w:ascii="Cambria" w:hAnsi="Cambria" w:eastAsia="Cambria"/>
                <w:b/>
                <w:color w:val="273746"/>
                <w:sz w:val="15"/>
              </w:rPr>
              <w:t>INV-6</w:t>
            </w:r>
          </w:p>
        </w:tc>
        <w:tc>
          <w:tcPr>
            <w:tcW w:type="dxa" w:w="2376"/>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5"/>
              </w:rPr>
              <w:t>Safe alternatives</w:t>
            </w:r>
          </w:p>
        </w:tc>
        <w:tc>
          <w:tcPr>
            <w:tcW w:type="dxa" w:w="6264"/>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5"/>
              </w:rPr>
              <w:t>Uncertified or unauthorized recovery alternatives are rejected.</w:t>
            </w:r>
          </w:p>
        </w:tc>
      </w:tr>
      <w:tr>
        <w:tc>
          <w:tcPr>
            <w:tcW w:type="dxa" w:w="936"/>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5"/>
              </w:rPr>
              <w:t>INV-7</w:t>
            </w:r>
          </w:p>
        </w:tc>
        <w:tc>
          <w:tcPr>
            <w:tcW w:type="dxa" w:w="2376"/>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5"/>
              </w:rPr>
              <w:t>Duplicate review</w:t>
            </w:r>
          </w:p>
        </w:tc>
        <w:tc>
          <w:tcPr>
            <w:tcW w:type="dxa" w:w="6264"/>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5"/>
              </w:rPr>
              <w:t>Nearby similar incidents are marked UNCONFIRMED; no automatic merge occurs.</w:t>
            </w:r>
          </w:p>
        </w:tc>
      </w:tr>
      <w:tr>
        <w:tc>
          <w:tcPr>
            <w:tcW w:type="dxa" w:w="936"/>
            <w:vAlign w:val="center"/>
            <w:tcMar>
              <w:top w:w="90" w:type="dxa"/>
              <w:start w:w="100" w:type="dxa"/>
              <w:bottom w:w="90" w:type="dxa"/>
              <w:end w:w="100" w:type="dxa"/>
            </w:tcMar>
            <w:shd w:fill="F4F7FA"/>
          </w:tcPr>
          <w:p>
            <w:pPr>
              <w:spacing w:after="0" w:before="0" w:line="240" w:lineRule="auto"/>
            </w:pPr>
            <w:r/>
            <w:r>
              <w:rPr>
                <w:rFonts w:ascii="Cambria" w:hAnsi="Cambria" w:eastAsia="Cambria"/>
                <w:b/>
                <w:color w:val="273746"/>
                <w:sz w:val="15"/>
              </w:rPr>
              <w:t>INV-8</w:t>
            </w:r>
          </w:p>
        </w:tc>
        <w:tc>
          <w:tcPr>
            <w:tcW w:type="dxa" w:w="2376"/>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5"/>
              </w:rPr>
              <w:t>Graceful model failure</w:t>
            </w:r>
          </w:p>
        </w:tc>
        <w:tc>
          <w:tcPr>
            <w:tcW w:type="dxa" w:w="6264"/>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5"/>
              </w:rPr>
              <w:t>Unavailable model returns available=False and no fabricated prediction.</w:t>
            </w:r>
          </w:p>
        </w:tc>
      </w:tr>
      <w:tr>
        <w:tc>
          <w:tcPr>
            <w:tcW w:type="dxa" w:w="936"/>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5"/>
              </w:rPr>
              <w:t>WF-1</w:t>
            </w:r>
          </w:p>
        </w:tc>
        <w:tc>
          <w:tcPr>
            <w:tcW w:type="dxa" w:w="2376"/>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5"/>
              </w:rPr>
              <w:t>Multimodal disagreement</w:t>
            </w:r>
          </w:p>
        </w:tc>
        <w:tc>
          <w:tcPr>
            <w:tcW w:type="dxa" w:w="6264"/>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5"/>
              </w:rPr>
              <w:t>Conflicting NLP and vision predictions route to clarification without forcing a category.</w:t>
            </w:r>
          </w:p>
        </w:tc>
      </w:tr>
      <w:tr>
        <w:tc>
          <w:tcPr>
            <w:tcW w:type="dxa" w:w="936"/>
            <w:vAlign w:val="center"/>
            <w:tcMar>
              <w:top w:w="90" w:type="dxa"/>
              <w:start w:w="100" w:type="dxa"/>
              <w:bottom w:w="90" w:type="dxa"/>
              <w:end w:w="100" w:type="dxa"/>
            </w:tcMar>
            <w:shd w:fill="F4F7FA"/>
          </w:tcPr>
          <w:p>
            <w:pPr>
              <w:spacing w:after="0" w:before="0" w:line="240" w:lineRule="auto"/>
            </w:pPr>
            <w:r/>
            <w:r>
              <w:rPr>
                <w:rFonts w:ascii="Cambria" w:hAnsi="Cambria" w:eastAsia="Cambria"/>
                <w:b/>
                <w:color w:val="273746"/>
                <w:sz w:val="15"/>
              </w:rPr>
              <w:t>WF-2</w:t>
            </w:r>
          </w:p>
        </w:tc>
        <w:tc>
          <w:tcPr>
            <w:tcW w:type="dxa" w:w="2376"/>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5"/>
              </w:rPr>
              <w:t>Independent verification</w:t>
            </w:r>
          </w:p>
        </w:tc>
        <w:tc>
          <w:tcPr>
            <w:tcW w:type="dxa" w:w="6264"/>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5"/>
              </w:rPr>
              <w:t>Missing evidence or required supervisor sign-off blocks closure and requests human review.</w:t>
            </w:r>
          </w:p>
        </w:tc>
      </w:tr>
      <w:tr>
        <w:tc>
          <w:tcPr>
            <w:tcW w:type="dxa" w:w="936"/>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5"/>
              </w:rPr>
              <w:t>WF-3</w:t>
            </w:r>
          </w:p>
        </w:tc>
        <w:tc>
          <w:tcPr>
            <w:tcW w:type="dxa" w:w="2376"/>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5"/>
              </w:rPr>
              <w:t>Database rollback</w:t>
            </w:r>
          </w:p>
        </w:tc>
        <w:tc>
          <w:tcPr>
            <w:tcW w:type="dxa" w:w="6264"/>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5"/>
              </w:rPr>
              <w:t>An error during a multi-step transaction rolls back the changes cleanly.</w:t>
            </w:r>
          </w:p>
        </w:tc>
      </w:tr>
    </w:tbl>
    <w:p>
      <w:pPr>
        <w:spacing w:after="20"/>
      </w:pPr>
    </w:p>
    <w:p>
      <w:pPr>
        <w:pStyle w:val="Heading2"/>
        <w:keepNext/>
      </w:pPr>
      <w:r>
        <w:t>10.3 NLP classifier metrics</w:t>
      </w:r>
    </w:p>
    <w:tbl>
      <w:tblPr>
        <w:tblStyle w:val="TableGrid"/>
        <w:tblW w:type="auto" w:w="0"/>
        <w:jc w:val="center"/>
        <w:tblLayout w:type="fixed"/>
        <w:tblLook w:firstColumn="1" w:firstRow="1" w:lastColumn="0" w:lastRow="0" w:noHBand="0" w:noVBand="1" w:val="04A0"/>
      </w:tblPr>
      <w:tblGrid>
        <w:gridCol w:w="3221"/>
        <w:gridCol w:w="3221"/>
        <w:gridCol w:w="3221"/>
      </w:tblGrid>
      <w:tr>
        <w:trPr>
          <w:tblHeader w:val="true"/>
        </w:trPr>
        <w:tc>
          <w:tcPr>
            <w:tcW w:type="dxa" w:w="3024"/>
            <w:vAlign w:val="center"/>
            <w:tcMar>
              <w:top w:w="90" w:type="dxa"/>
              <w:start w:w="100" w:type="dxa"/>
              <w:bottom w:w="90" w:type="dxa"/>
              <w:end w:w="100" w:type="dxa"/>
            </w:tcMar>
            <w:shd w:fill="17365D"/>
          </w:tcPr>
          <w:p>
            <w:pPr>
              <w:spacing w:after="0" w:before="0" w:line="240" w:lineRule="auto"/>
            </w:pPr>
            <w:r/>
            <w:r>
              <w:rPr>
                <w:rFonts w:ascii="Aptos" w:hAnsi="Aptos" w:eastAsia="Aptos"/>
                <w:b/>
                <w:color w:val="FFFFFF"/>
                <w:sz w:val="18"/>
              </w:rPr>
              <w:t>Metric</w:t>
            </w:r>
          </w:p>
        </w:tc>
        <w:tc>
          <w:tcPr>
            <w:tcW w:type="dxa" w:w="3240"/>
            <w:vAlign w:val="center"/>
            <w:tcMar>
              <w:top w:w="90" w:type="dxa"/>
              <w:start w:w="100" w:type="dxa"/>
              <w:bottom w:w="90" w:type="dxa"/>
              <w:end w:w="100" w:type="dxa"/>
            </w:tcMar>
            <w:shd w:fill="17365D"/>
          </w:tcPr>
          <w:p>
            <w:pPr>
              <w:spacing w:after="0" w:before="0" w:line="240" w:lineRule="auto"/>
            </w:pPr>
            <w:r/>
            <w:r>
              <w:rPr>
                <w:rFonts w:ascii="Aptos" w:hAnsi="Aptos" w:eastAsia="Aptos"/>
                <w:b/>
                <w:color w:val="FFFFFF"/>
                <w:sz w:val="18"/>
              </w:rPr>
              <w:t>Held-out test (n=60)</w:t>
            </w:r>
          </w:p>
        </w:tc>
        <w:tc>
          <w:tcPr>
            <w:tcW w:type="dxa" w:w="3312"/>
            <w:vAlign w:val="center"/>
            <w:tcMar>
              <w:top w:w="90" w:type="dxa"/>
              <w:start w:w="100" w:type="dxa"/>
              <w:bottom w:w="90" w:type="dxa"/>
              <w:end w:w="100" w:type="dxa"/>
            </w:tcMar>
            <w:shd w:fill="17365D"/>
          </w:tcPr>
          <w:p>
            <w:pPr>
              <w:spacing w:after="0" w:before="0" w:line="240" w:lineRule="auto"/>
            </w:pPr>
            <w:r/>
            <w:r>
              <w:rPr>
                <w:rFonts w:ascii="Aptos" w:hAnsi="Aptos" w:eastAsia="Aptos"/>
                <w:b/>
                <w:color w:val="FFFFFF"/>
                <w:sz w:val="18"/>
              </w:rPr>
              <w:t>Challenge set (n=30)</w:t>
            </w:r>
          </w:p>
        </w:tc>
      </w:tr>
      <w:tr>
        <w:tc>
          <w:tcPr>
            <w:tcW w:type="dxa" w:w="3024"/>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8"/>
              </w:rPr>
              <w:t>Accuracy</w:t>
            </w:r>
          </w:p>
        </w:tc>
        <w:tc>
          <w:tcPr>
            <w:tcW w:type="dxa" w:w="3240"/>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8"/>
              </w:rPr>
              <w:t>100.0%</w:t>
            </w:r>
          </w:p>
        </w:tc>
        <w:tc>
          <w:tcPr>
            <w:tcW w:type="dxa" w:w="3312"/>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8"/>
              </w:rPr>
              <w:t>73.33%</w:t>
            </w:r>
          </w:p>
        </w:tc>
      </w:tr>
      <w:tr>
        <w:tc>
          <w:tcPr>
            <w:tcW w:type="dxa" w:w="3024"/>
            <w:vAlign w:val="center"/>
            <w:tcMar>
              <w:top w:w="90" w:type="dxa"/>
              <w:start w:w="100" w:type="dxa"/>
              <w:bottom w:w="90" w:type="dxa"/>
              <w:end w:w="100" w:type="dxa"/>
            </w:tcMar>
            <w:shd w:fill="F4F7FA"/>
          </w:tcPr>
          <w:p>
            <w:pPr>
              <w:spacing w:after="0" w:before="0" w:line="240" w:lineRule="auto"/>
            </w:pPr>
            <w:r/>
            <w:r>
              <w:rPr>
                <w:rFonts w:ascii="Cambria" w:hAnsi="Cambria" w:eastAsia="Cambria"/>
                <w:b/>
                <w:color w:val="273746"/>
                <w:sz w:val="18"/>
              </w:rPr>
              <w:t>Macro-F1</w:t>
            </w:r>
          </w:p>
        </w:tc>
        <w:tc>
          <w:tcPr>
            <w:tcW w:type="dxa" w:w="3240"/>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8"/>
              </w:rPr>
              <w:t>100.0%</w:t>
            </w:r>
          </w:p>
        </w:tc>
        <w:tc>
          <w:tcPr>
            <w:tcW w:type="dxa" w:w="3312"/>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8"/>
              </w:rPr>
              <w:t>73.3%</w:t>
            </w:r>
          </w:p>
        </w:tc>
      </w:tr>
      <w:tr>
        <w:tc>
          <w:tcPr>
            <w:tcW w:type="dxa" w:w="3024"/>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8"/>
              </w:rPr>
              <w:t>Precision</w:t>
            </w:r>
          </w:p>
        </w:tc>
        <w:tc>
          <w:tcPr>
            <w:tcW w:type="dxa" w:w="3240"/>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8"/>
              </w:rPr>
              <w:t>100.0%</w:t>
            </w:r>
          </w:p>
        </w:tc>
        <w:tc>
          <w:tcPr>
            <w:tcW w:type="dxa" w:w="3312"/>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8"/>
              </w:rPr>
              <w:t>73.5%</w:t>
            </w:r>
          </w:p>
        </w:tc>
      </w:tr>
      <w:tr>
        <w:tc>
          <w:tcPr>
            <w:tcW w:type="dxa" w:w="3024"/>
            <w:vAlign w:val="center"/>
            <w:tcMar>
              <w:top w:w="90" w:type="dxa"/>
              <w:start w:w="100" w:type="dxa"/>
              <w:bottom w:w="90" w:type="dxa"/>
              <w:end w:w="100" w:type="dxa"/>
            </w:tcMar>
            <w:shd w:fill="F4F7FA"/>
          </w:tcPr>
          <w:p>
            <w:pPr>
              <w:spacing w:after="0" w:before="0" w:line="240" w:lineRule="auto"/>
            </w:pPr>
            <w:r/>
            <w:r>
              <w:rPr>
                <w:rFonts w:ascii="Cambria" w:hAnsi="Cambria" w:eastAsia="Cambria"/>
                <w:b/>
                <w:color w:val="273746"/>
                <w:sz w:val="18"/>
              </w:rPr>
              <w:t>Recall</w:t>
            </w:r>
          </w:p>
        </w:tc>
        <w:tc>
          <w:tcPr>
            <w:tcW w:type="dxa" w:w="3240"/>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8"/>
              </w:rPr>
              <w:t>100.0%</w:t>
            </w:r>
          </w:p>
        </w:tc>
        <w:tc>
          <w:tcPr>
            <w:tcW w:type="dxa" w:w="3312"/>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8"/>
              </w:rPr>
              <w:t>73.3%</w:t>
            </w:r>
          </w:p>
        </w:tc>
      </w:tr>
      <w:tr>
        <w:tc>
          <w:tcPr>
            <w:tcW w:type="dxa" w:w="3024"/>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8"/>
              </w:rPr>
              <w:t>Vocabulary overlap</w:t>
            </w:r>
          </w:p>
        </w:tc>
        <w:tc>
          <w:tcPr>
            <w:tcW w:type="dxa" w:w="3240"/>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8"/>
              </w:rPr>
              <w:t>0 reported</w:t>
            </w:r>
          </w:p>
        </w:tc>
        <w:tc>
          <w:tcPr>
            <w:tcW w:type="dxa" w:w="3312"/>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8"/>
              </w:rPr>
              <w:t>0 reported</w:t>
            </w:r>
          </w:p>
        </w:tc>
      </w:tr>
    </w:tbl>
    <w:p>
      <w:pPr>
        <w:spacing w:after="20"/>
      </w:pPr>
    </w:p>
    <w:p>
      <w:r>
        <w:t>Interpretation: the classifier performs perfectly on the controlled held-out set, but the challenge-set results fall to approximately 73%. This gap is consistent with the documented limitation that synthetic templates are easier than natural complaints, where spelling variation, slang, mixed issues, noisy images and unfamiliar wording are common. The results should not be interpreted as a claim of 100% accuracy on real-world civic data.</w:t>
      </w:r>
    </w:p>
    <w:p>
      <w:pPr>
        <w:pStyle w:val="Heading2"/>
        <w:keepNext/>
      </w:pPr>
      <w:r>
        <w:t>10.4 Reproducibility and evidence boundary</w:t>
      </w:r>
    </w:p>
    <w:p>
      <w:r>
        <w:t>The README provides commands for running backend tests, the invariant validator, ML evaluation, frontend build and lint. The figures in this report are the repository's documented outputs as consulted on 19 October 2026; the test suite was not executed independently while preparing this document. Before a formal demonstration, the current checkout should be rerun and any changed metrics should replace these reported values.</w:t>
      </w:r>
    </w:p>
    <w:p>
      <w:pPr>
        <w:keepNext/>
        <w:spacing w:before="40" w:after="40"/>
      </w:pPr>
      <w:r>
        <w:rPr>
          <w:rFonts w:ascii="Aptos" w:hAnsi="Aptos"/>
          <w:b/>
          <w:color w:val="138A8A"/>
          <w:sz w:val="17"/>
        </w:rPr>
        <w:t>11 / GOVERNANCE</w:t>
      </w:r>
    </w:p>
    <w:p>
      <w:pPr>
        <w:pStyle w:val="Heading1"/>
        <w:keepNext/>
      </w:pPr>
      <w:r>
        <w:t>11. Safety, Privacy and Governance</w:t>
      </w:r>
    </w:p>
    <w:p>
      <w:pPr>
        <w:pStyle w:val="Heading2"/>
        <w:keepNext/>
      </w:pPr>
      <w:r>
        <w:t>11.1 Safety by workflow design</w:t>
      </w:r>
    </w:p>
    <w:p>
      <w:r>
        <w:t>JanSetu embeds safety in routing and state transitions instead of relying only on a final model response. Mandatory danger triggers can override baseline scoring; the Critic evaluates plan feasibility; adaptive recovery rejects unsafe or unauthorized alternatives; and the closure gate blocks completion without independent verification. When the system reaches a condition that it cannot resolve within its configured retry budget, it escalates to human review rather than continuing indefinitely.</w:t>
      </w:r>
    </w:p>
    <w:p>
      <w:pPr>
        <w:pStyle w:val="Heading2"/>
        <w:keepNext/>
      </w:pPr>
      <w:r>
        <w:t>11.2 Human oversight</w:t>
      </w:r>
    </w:p>
    <w:p>
      <w:r>
        <w:t>Human review is essential for decisions that should not be inferred from similarity or generated text alone. The repository requires dispatcher review before duplicate merging and supervisor sign-off for critical or high-traffic closure cases. The retry cap also defines a clear point where the system stops autonomous recovery. These controls preserve human accountability and prevent the proof of concept from presenting itself as a fully autonomous municipal operator.</w:t>
      </w:r>
    </w:p>
    <w:p>
      <w:pPr>
        <w:pStyle w:val="Heading2"/>
        <w:keepNext/>
      </w:pPr>
      <w:r>
        <w:t>11.3 Privacy-oriented handling</w:t>
      </w:r>
    </w:p>
    <w:p>
      <w:r>
        <w:t>The intake flow sanitizes EXIF metadata from uploaded images, reducing the chance that embedded location or device metadata is carried forward unnecessarily. The academic evaluation uses synthetic incidents. A real deployment would need a fuller privacy design covering lawful collection, retention periods, access permissions, secure storage, audit access and handling of photographs that may include identifiable people or property.</w:t>
      </w:r>
    </w:p>
    <w:p>
      <w:pPr>
        <w:pStyle w:val="Heading2"/>
        <w:keepNext/>
      </w:pPr>
      <w:r>
        <w:t>11.4 Auditability and accountability</w:t>
      </w:r>
    </w:p>
    <w:p>
      <w:r>
        <w:t>The audit trail records decisions and transitions so that an examiner can trace the sequence from intake through planning, simulation, recovery and verification. This helps answer practical questions: which evidence was available, why a plan was revised, whether a retry limit was reached and why closure was accepted or denied. The audit log supports traceability, but production use would require additional controls for access, retention, tamper detection and operational monitoring.</w:t>
      </w:r>
    </w:p>
    <w:p>
      <w:pPr>
        <w:keepNext/>
        <w:spacing w:before="40" w:after="40"/>
      </w:pPr>
      <w:r>
        <w:rPr>
          <w:rFonts w:ascii="Aptos" w:hAnsi="Aptos"/>
          <w:b/>
          <w:color w:val="138A8A"/>
          <w:sz w:val="17"/>
        </w:rPr>
        <w:t>12 / LIMITATIONS</w:t>
      </w:r>
    </w:p>
    <w:p>
      <w:pPr>
        <w:pStyle w:val="Heading1"/>
        <w:keepNext/>
      </w:pPr>
      <w:r>
        <w:t>12. Limitations and Risk Analysis</w:t>
      </w:r>
    </w:p>
    <w:tbl>
      <w:tblPr>
        <w:tblStyle w:val="TableGrid"/>
        <w:tblW w:type="auto" w:w="0"/>
        <w:jc w:val="center"/>
        <w:tblLayout w:type="fixed"/>
        <w:tblLook w:firstColumn="1" w:firstRow="1" w:lastColumn="0" w:lastRow="0" w:noHBand="0" w:noVBand="1" w:val="04A0"/>
      </w:tblPr>
      <w:tblGrid>
        <w:gridCol w:w="3221"/>
        <w:gridCol w:w="3221"/>
        <w:gridCol w:w="3221"/>
      </w:tblGrid>
      <w:tr>
        <w:trPr>
          <w:tblHeader w:val="true"/>
        </w:trPr>
        <w:tc>
          <w:tcPr>
            <w:tcW w:type="dxa" w:w="2232"/>
            <w:vAlign w:val="center"/>
            <w:tcMar>
              <w:top w:w="90" w:type="dxa"/>
              <w:start w:w="100" w:type="dxa"/>
              <w:bottom w:w="90" w:type="dxa"/>
              <w:end w:w="100" w:type="dxa"/>
            </w:tcMar>
            <w:shd w:fill="17365D"/>
          </w:tcPr>
          <w:p>
            <w:pPr>
              <w:spacing w:after="0" w:before="0" w:line="240" w:lineRule="auto"/>
            </w:pPr>
            <w:r/>
            <w:r>
              <w:rPr>
                <w:rFonts w:ascii="Aptos" w:hAnsi="Aptos" w:eastAsia="Aptos"/>
                <w:b/>
                <w:color w:val="FFFFFF"/>
                <w:sz w:val="15"/>
              </w:rPr>
              <w:t>Limitation</w:t>
            </w:r>
          </w:p>
        </w:tc>
        <w:tc>
          <w:tcPr>
            <w:tcW w:type="dxa" w:w="3672"/>
            <w:vAlign w:val="center"/>
            <w:tcMar>
              <w:top w:w="90" w:type="dxa"/>
              <w:start w:w="100" w:type="dxa"/>
              <w:bottom w:w="90" w:type="dxa"/>
              <w:end w:w="100" w:type="dxa"/>
            </w:tcMar>
            <w:shd w:fill="17365D"/>
          </w:tcPr>
          <w:p>
            <w:pPr>
              <w:spacing w:after="0" w:before="0" w:line="240" w:lineRule="auto"/>
            </w:pPr>
            <w:r/>
            <w:r>
              <w:rPr>
                <w:rFonts w:ascii="Aptos" w:hAnsi="Aptos" w:eastAsia="Aptos"/>
                <w:b/>
                <w:color w:val="FFFFFF"/>
                <w:sz w:val="15"/>
              </w:rPr>
              <w:t>Why it matters</w:t>
            </w:r>
          </w:p>
        </w:tc>
        <w:tc>
          <w:tcPr>
            <w:tcW w:type="dxa" w:w="3600"/>
            <w:vAlign w:val="center"/>
            <w:tcMar>
              <w:top w:w="90" w:type="dxa"/>
              <w:start w:w="100" w:type="dxa"/>
              <w:bottom w:w="90" w:type="dxa"/>
              <w:end w:w="100" w:type="dxa"/>
            </w:tcMar>
            <w:shd w:fill="17365D"/>
          </w:tcPr>
          <w:p>
            <w:pPr>
              <w:spacing w:after="0" w:before="0" w:line="240" w:lineRule="auto"/>
            </w:pPr>
            <w:r/>
            <w:r>
              <w:rPr>
                <w:rFonts w:ascii="Aptos" w:hAnsi="Aptos" w:eastAsia="Aptos"/>
                <w:b/>
                <w:color w:val="FFFFFF"/>
                <w:sz w:val="15"/>
              </w:rPr>
              <w:t>Implication</w:t>
            </w:r>
          </w:p>
        </w:tc>
      </w:tr>
      <w:tr>
        <w:tc>
          <w:tcPr>
            <w:tcW w:type="dxa" w:w="2232"/>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5"/>
              </w:rPr>
              <w:t>Synthetic complaint data</w:t>
            </w:r>
          </w:p>
        </w:tc>
        <w:tc>
          <w:tcPr>
            <w:tcW w:type="dxa" w:w="3672"/>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5"/>
              </w:rPr>
              <w:t>Templates do not capture real slang, typos, compound incidents or distress-driven reporting.</w:t>
            </w:r>
          </w:p>
        </w:tc>
        <w:tc>
          <w:tcPr>
            <w:tcW w:type="dxa" w:w="3600"/>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5"/>
              </w:rPr>
              <w:t>100% held-out performance should not be generalized to live complaints.</w:t>
            </w:r>
          </w:p>
        </w:tc>
      </w:tr>
      <w:tr>
        <w:tc>
          <w:tcPr>
            <w:tcW w:type="dxa" w:w="2232"/>
            <w:vAlign w:val="center"/>
            <w:tcMar>
              <w:top w:w="90" w:type="dxa"/>
              <w:start w:w="100" w:type="dxa"/>
              <w:bottom w:w="90" w:type="dxa"/>
              <w:end w:w="100" w:type="dxa"/>
            </w:tcMar>
            <w:shd w:fill="F4F7FA"/>
          </w:tcPr>
          <w:p>
            <w:pPr>
              <w:spacing w:after="0" w:before="0" w:line="240" w:lineRule="auto"/>
            </w:pPr>
            <w:r/>
            <w:r>
              <w:rPr>
                <w:rFonts w:ascii="Cambria" w:hAnsi="Cambria" w:eastAsia="Cambria"/>
                <w:b/>
                <w:color w:val="273746"/>
                <w:sz w:val="15"/>
              </w:rPr>
              <w:t>Uncalibrated vision confidence</w:t>
            </w:r>
          </w:p>
        </w:tc>
        <w:tc>
          <w:tcPr>
            <w:tcW w:type="dxa" w:w="3672"/>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5"/>
              </w:rPr>
              <w:t>Generated confidence values are not guaranteed to reflect empirical probability.</w:t>
            </w:r>
          </w:p>
        </w:tc>
        <w:tc>
          <w:tcPr>
            <w:tcW w:type="dxa" w:w="3600"/>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5"/>
              </w:rPr>
              <w:t>Use confidence as a signal, not as ground truth; validate and calibrate before deployment.</w:t>
            </w:r>
          </w:p>
        </w:tc>
      </w:tr>
      <w:tr>
        <w:tc>
          <w:tcPr>
            <w:tcW w:type="dxa" w:w="2232"/>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5"/>
              </w:rPr>
              <w:t>Heuristic risk weights</w:t>
            </w:r>
          </w:p>
        </w:tc>
        <w:tc>
          <w:tcPr>
            <w:tcW w:type="dxa" w:w="3672"/>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5"/>
              </w:rPr>
              <w:t>The 0–100 score is a configurable weighted rule set, not a validated public-safety model.</w:t>
            </w:r>
          </w:p>
        </w:tc>
        <w:tc>
          <w:tcPr>
            <w:tcW w:type="dxa" w:w="3600"/>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5"/>
              </w:rPr>
              <w:t>Review weights with domain experts and evaluate false negatives and false positives.</w:t>
            </w:r>
          </w:p>
        </w:tc>
      </w:tr>
      <w:tr>
        <w:tc>
          <w:tcPr>
            <w:tcW w:type="dxa" w:w="2232"/>
            <w:vAlign w:val="center"/>
            <w:tcMar>
              <w:top w:w="90" w:type="dxa"/>
              <w:start w:w="100" w:type="dxa"/>
              <w:bottom w:w="90" w:type="dxa"/>
              <w:end w:w="100" w:type="dxa"/>
            </w:tcMar>
            <w:shd w:fill="F4F7FA"/>
          </w:tcPr>
          <w:p>
            <w:pPr>
              <w:spacing w:after="0" w:before="0" w:line="240" w:lineRule="auto"/>
            </w:pPr>
            <w:r/>
            <w:r>
              <w:rPr>
                <w:rFonts w:ascii="Cambria" w:hAnsi="Cambria" w:eastAsia="Cambria"/>
                <w:b/>
                <w:color w:val="273746"/>
                <w:sz w:val="15"/>
              </w:rPr>
              <w:t>Geospatial thresholds</w:t>
            </w:r>
          </w:p>
        </w:tc>
        <w:tc>
          <w:tcPr>
            <w:tcW w:type="dxa" w:w="3672"/>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5"/>
              </w:rPr>
              <w:t>A 50 m radius and text-similarity threshold can flag distinct hazards or miss reports from distant viewpoints.</w:t>
            </w:r>
          </w:p>
        </w:tc>
        <w:tc>
          <w:tcPr>
            <w:tcW w:type="dxa" w:w="3600"/>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5"/>
              </w:rPr>
              <w:t>Human review remains necessary; tune thresholds on approved field data.</w:t>
            </w:r>
          </w:p>
        </w:tc>
      </w:tr>
      <w:tr>
        <w:tc>
          <w:tcPr>
            <w:tcW w:type="dxa" w:w="2232"/>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5"/>
              </w:rPr>
              <w:t>Simulation-only execution</w:t>
            </w:r>
          </w:p>
        </w:tc>
        <w:tc>
          <w:tcPr>
            <w:tcW w:type="dxa" w:w="3672"/>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5"/>
              </w:rPr>
              <w:t>No crew is dispatched and no physical work occurs.</w:t>
            </w:r>
          </w:p>
        </w:tc>
        <w:tc>
          <w:tcPr>
            <w:tcW w:type="dxa" w:w="3600"/>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5"/>
              </w:rPr>
              <w:t>The prototype proves workflow control, not municipal operational impact.</w:t>
            </w:r>
          </w:p>
        </w:tc>
      </w:tr>
      <w:tr>
        <w:tc>
          <w:tcPr>
            <w:tcW w:type="dxa" w:w="2232"/>
            <w:vAlign w:val="center"/>
            <w:tcMar>
              <w:top w:w="90" w:type="dxa"/>
              <w:start w:w="100" w:type="dxa"/>
              <w:bottom w:w="90" w:type="dxa"/>
              <w:end w:w="100" w:type="dxa"/>
            </w:tcMar>
            <w:shd w:fill="F4F7FA"/>
          </w:tcPr>
          <w:p>
            <w:pPr>
              <w:spacing w:after="0" w:before="0" w:line="240" w:lineRule="auto"/>
            </w:pPr>
            <w:r/>
            <w:r>
              <w:rPr>
                <w:rFonts w:ascii="Cambria" w:hAnsi="Cambria" w:eastAsia="Cambria"/>
                <w:b/>
                <w:color w:val="273746"/>
                <w:sz w:val="15"/>
              </w:rPr>
              <w:t>Photo-based verification limits</w:t>
            </w:r>
          </w:p>
        </w:tc>
        <w:tc>
          <w:tcPr>
            <w:tcW w:type="dxa" w:w="3672"/>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5"/>
              </w:rPr>
              <w:t>Images cannot establish asphalt compaction, subsurface stability or long-term durability.</w:t>
            </w:r>
          </w:p>
        </w:tc>
        <w:tc>
          <w:tcPr>
            <w:tcW w:type="dxa" w:w="3600"/>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5"/>
              </w:rPr>
              <w:t>Physical inspection and sensor evidence may be needed for real closure.</w:t>
            </w:r>
          </w:p>
        </w:tc>
      </w:tr>
      <w:tr>
        <w:tc>
          <w:tcPr>
            <w:tcW w:type="dxa" w:w="2232"/>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5"/>
              </w:rPr>
              <w:t>SQLite single-node storage</w:t>
            </w:r>
          </w:p>
        </w:tc>
        <w:tc>
          <w:tcPr>
            <w:tcW w:type="dxa" w:w="3672"/>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5"/>
              </w:rPr>
              <w:t>SQLite is not designed for large, distributed, high-concurrency city operations.</w:t>
            </w:r>
          </w:p>
        </w:tc>
        <w:tc>
          <w:tcPr>
            <w:tcW w:type="dxa" w:w="3600"/>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5"/>
              </w:rPr>
              <w:t>A production system would need a scalable database and spatial extensions.</w:t>
            </w:r>
          </w:p>
        </w:tc>
      </w:tr>
      <w:tr>
        <w:tc>
          <w:tcPr>
            <w:tcW w:type="dxa" w:w="2232"/>
            <w:vAlign w:val="center"/>
            <w:tcMar>
              <w:top w:w="90" w:type="dxa"/>
              <w:start w:w="100" w:type="dxa"/>
              <w:bottom w:w="90" w:type="dxa"/>
              <w:end w:w="100" w:type="dxa"/>
            </w:tcMar>
            <w:shd w:fill="F4F7FA"/>
          </w:tcPr>
          <w:p>
            <w:pPr>
              <w:spacing w:after="0" w:before="0" w:line="240" w:lineRule="auto"/>
            </w:pPr>
            <w:r/>
            <w:r>
              <w:rPr>
                <w:rFonts w:ascii="Cambria" w:hAnsi="Cambria" w:eastAsia="Cambria"/>
                <w:b/>
                <w:color w:val="273746"/>
                <w:sz w:val="15"/>
              </w:rPr>
              <w:t>Optional third-party vision API</w:t>
            </w:r>
          </w:p>
        </w:tc>
        <w:tc>
          <w:tcPr>
            <w:tcW w:type="dxa" w:w="3672"/>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5"/>
              </w:rPr>
              <w:t>Cloud inference can require network access and can be rate-limited.</w:t>
            </w:r>
          </w:p>
        </w:tc>
        <w:tc>
          <w:tcPr>
            <w:tcW w:type="dxa" w:w="3600"/>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5"/>
              </w:rPr>
              <w:t>Fallback paths and local model configuration are needed for availability.</w:t>
            </w:r>
          </w:p>
        </w:tc>
      </w:tr>
      <w:tr>
        <w:tc>
          <w:tcPr>
            <w:tcW w:type="dxa" w:w="2232"/>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5"/>
              </w:rPr>
              <w:t>No live municipal integrations</w:t>
            </w:r>
          </w:p>
        </w:tc>
        <w:tc>
          <w:tcPr>
            <w:tcW w:type="dxa" w:w="3672"/>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5"/>
              </w:rPr>
              <w:t>There is no current live dispatch, crew tracking or municipal ERP integration.</w:t>
            </w:r>
          </w:p>
        </w:tc>
        <w:tc>
          <w:tcPr>
            <w:tcW w:type="dxa" w:w="3600"/>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5"/>
              </w:rPr>
              <w:t>Integration requires authorization, security review and operational agreements.</w:t>
            </w:r>
          </w:p>
        </w:tc>
      </w:tr>
    </w:tbl>
    <w:p>
      <w:pPr>
        <w:spacing w:after="20"/>
      </w:pPr>
    </w:p>
    <w:p>
      <w:pPr>
        <w:pStyle w:val="Heading2"/>
        <w:keepNext/>
      </w:pPr>
      <w:r>
        <w:t>12.1 What the evaluation does not prove</w:t>
      </w:r>
    </w:p>
    <w:p>
      <w:pPr>
        <w:pStyle w:val="ListBullet"/>
        <w:spacing w:after="60"/>
        <w:ind w:left="403" w:hanging="230"/>
      </w:pPr>
      <w:r>
        <w:t>It does not establish that the NLP model will classify real citizen reports with the same accuracy as synthetic data.</w:t>
      </w:r>
    </w:p>
    <w:p>
      <w:pPr>
        <w:pStyle w:val="ListBullet"/>
        <w:spacing w:after="60"/>
        <w:ind w:left="403" w:hanging="230"/>
      </w:pPr>
      <w:r>
        <w:t>It does not establish that a priority score predicts actual harm or should independently determine resource allocation.</w:t>
      </w:r>
    </w:p>
    <w:p>
      <w:pPr>
        <w:pStyle w:val="ListBullet"/>
        <w:spacing w:after="60"/>
        <w:ind w:left="403" w:hanging="230"/>
      </w:pPr>
      <w:r>
        <w:t>It does not establish that a simulated execution outcome corresponds to physical completion.</w:t>
      </w:r>
    </w:p>
    <w:p>
      <w:pPr>
        <w:pStyle w:val="ListBullet"/>
        <w:spacing w:after="60"/>
        <w:ind w:left="403" w:hanging="230"/>
      </w:pPr>
      <w:r>
        <w:t>It does not establish that a photograph alone proves structural road safety.</w:t>
      </w:r>
    </w:p>
    <w:p>
      <w:pPr>
        <w:pStyle w:val="ListBullet"/>
        <w:spacing w:after="60"/>
        <w:ind w:left="403" w:hanging="230"/>
      </w:pPr>
      <w:r>
        <w:t>It does not establish production readiness, legal compliance or the operational scalability required by a municipal authority.</w:t>
      </w:r>
    </w:p>
    <w:p>
      <w:pPr>
        <w:keepNext/>
        <w:spacing w:before="40" w:after="40"/>
      </w:pPr>
      <w:r>
        <w:rPr>
          <w:rFonts w:ascii="Aptos" w:hAnsi="Aptos"/>
          <w:b/>
          <w:color w:val="138A8A"/>
          <w:sz w:val="17"/>
        </w:rPr>
        <w:t>13 / ROADMAP</w:t>
      </w:r>
    </w:p>
    <w:p>
      <w:pPr>
        <w:pStyle w:val="Heading1"/>
        <w:keepNext/>
      </w:pPr>
      <w:r>
        <w:t>13. Future Scope and Engineering Roadmap</w:t>
      </w:r>
    </w:p>
    <w:p>
      <w:r>
        <w:t>The repository identifies future work as proposed rather than implemented functionality. The following roadmap is aligned with the project's own limitations and future-scope notes [4, 5].</w:t>
      </w:r>
    </w:p>
    <w:tbl>
      <w:tblPr>
        <w:tblStyle w:val="TableGrid"/>
        <w:tblW w:type="auto" w:w="0"/>
        <w:jc w:val="center"/>
        <w:tblLayout w:type="fixed"/>
        <w:tblLook w:firstColumn="1" w:firstRow="1" w:lastColumn="0" w:lastRow="0" w:noHBand="0" w:noVBand="1" w:val="04A0"/>
      </w:tblPr>
      <w:tblGrid>
        <w:gridCol w:w="3221"/>
        <w:gridCol w:w="3221"/>
        <w:gridCol w:w="3221"/>
      </w:tblGrid>
      <w:tr>
        <w:trPr>
          <w:tblHeader w:val="true"/>
        </w:trPr>
        <w:tc>
          <w:tcPr>
            <w:tcW w:type="dxa" w:w="1944"/>
            <w:vAlign w:val="center"/>
            <w:tcMar>
              <w:top w:w="90" w:type="dxa"/>
              <w:start w:w="100" w:type="dxa"/>
              <w:bottom w:w="90" w:type="dxa"/>
              <w:end w:w="100" w:type="dxa"/>
            </w:tcMar>
            <w:shd w:fill="17365D"/>
          </w:tcPr>
          <w:p>
            <w:pPr>
              <w:spacing w:after="0" w:before="0" w:line="240" w:lineRule="auto"/>
            </w:pPr>
            <w:r/>
            <w:r>
              <w:rPr>
                <w:rFonts w:ascii="Aptos" w:hAnsi="Aptos" w:eastAsia="Aptos"/>
                <w:b/>
                <w:color w:val="FFFFFF"/>
                <w:sz w:val="15"/>
              </w:rPr>
              <w:t>Priority area</w:t>
            </w:r>
          </w:p>
        </w:tc>
        <w:tc>
          <w:tcPr>
            <w:tcW w:type="dxa" w:w="3816"/>
            <w:vAlign w:val="center"/>
            <w:tcMar>
              <w:top w:w="90" w:type="dxa"/>
              <w:start w:w="100" w:type="dxa"/>
              <w:bottom w:w="90" w:type="dxa"/>
              <w:end w:w="100" w:type="dxa"/>
            </w:tcMar>
            <w:shd w:fill="17365D"/>
          </w:tcPr>
          <w:p>
            <w:pPr>
              <w:spacing w:after="0" w:before="0" w:line="240" w:lineRule="auto"/>
            </w:pPr>
            <w:r/>
            <w:r>
              <w:rPr>
                <w:rFonts w:ascii="Aptos" w:hAnsi="Aptos" w:eastAsia="Aptos"/>
                <w:b/>
                <w:color w:val="FFFFFF"/>
                <w:sz w:val="15"/>
              </w:rPr>
              <w:t>Proposed enhancement</w:t>
            </w:r>
          </w:p>
        </w:tc>
        <w:tc>
          <w:tcPr>
            <w:tcW w:type="dxa" w:w="3744"/>
            <w:vAlign w:val="center"/>
            <w:tcMar>
              <w:top w:w="90" w:type="dxa"/>
              <w:start w:w="100" w:type="dxa"/>
              <w:bottom w:w="90" w:type="dxa"/>
              <w:end w:w="100" w:type="dxa"/>
            </w:tcMar>
            <w:shd w:fill="17365D"/>
          </w:tcPr>
          <w:p>
            <w:pPr>
              <w:spacing w:after="0" w:before="0" w:line="240" w:lineRule="auto"/>
            </w:pPr>
            <w:r/>
            <w:r>
              <w:rPr>
                <w:rFonts w:ascii="Aptos" w:hAnsi="Aptos" w:eastAsia="Aptos"/>
                <w:b/>
                <w:color w:val="FFFFFF"/>
                <w:sz w:val="15"/>
              </w:rPr>
              <w:t>Reason / expected benefit</w:t>
            </w:r>
          </w:p>
        </w:tc>
      </w:tr>
      <w:tr>
        <w:tc>
          <w:tcPr>
            <w:tcW w:type="dxa" w:w="1944"/>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5"/>
              </w:rPr>
              <w:t>Vision on edge devices</w:t>
            </w:r>
          </w:p>
        </w:tc>
        <w:tc>
          <w:tcPr>
            <w:tcW w:type="dxa" w:w="3816"/>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5"/>
              </w:rPr>
              <w:t>Evaluate lightweight models such as MobileNetV2 or YOLOv8-Nano, with ONNX Runtime or TensorFlow Lite.</w:t>
            </w:r>
          </w:p>
        </w:tc>
        <w:tc>
          <w:tcPr>
            <w:tcW w:type="dxa" w:w="3744"/>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5"/>
              </w:rPr>
              <w:t>Support low-compute field devices and reduce dependence on cloud connectivity.</w:t>
            </w:r>
          </w:p>
        </w:tc>
      </w:tr>
      <w:tr>
        <w:tc>
          <w:tcPr>
            <w:tcW w:type="dxa" w:w="1944"/>
            <w:vAlign w:val="center"/>
            <w:tcMar>
              <w:top w:w="90" w:type="dxa"/>
              <w:start w:w="100" w:type="dxa"/>
              <w:bottom w:w="90" w:type="dxa"/>
              <w:end w:w="100" w:type="dxa"/>
            </w:tcMar>
            <w:shd w:fill="F4F7FA"/>
          </w:tcPr>
          <w:p>
            <w:pPr>
              <w:spacing w:after="0" w:before="0" w:line="240" w:lineRule="auto"/>
            </w:pPr>
            <w:r/>
            <w:r>
              <w:rPr>
                <w:rFonts w:ascii="Cambria" w:hAnsi="Cambria" w:eastAsia="Cambria"/>
                <w:b/>
                <w:color w:val="273746"/>
                <w:sz w:val="15"/>
              </w:rPr>
              <w:t>Uncertainty and OOD detection</w:t>
            </w:r>
          </w:p>
        </w:tc>
        <w:tc>
          <w:tcPr>
            <w:tcW w:type="dxa" w:w="3816"/>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5"/>
              </w:rPr>
              <w:t>Calibrate confidence using temperature scaling or Platt scaling; add out-of-distribution checks.</w:t>
            </w:r>
          </w:p>
        </w:tc>
        <w:tc>
          <w:tcPr>
            <w:tcW w:type="dxa" w:w="3744"/>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5"/>
              </w:rPr>
              <w:t>Flag unsupported or unfamiliar complaint types before they enter a high-impact workflow.</w:t>
            </w:r>
          </w:p>
        </w:tc>
      </w:tr>
      <w:tr>
        <w:tc>
          <w:tcPr>
            <w:tcW w:type="dxa" w:w="1944"/>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5"/>
              </w:rPr>
              <w:t>Indic-language understanding</w:t>
            </w:r>
          </w:p>
        </w:tc>
        <w:tc>
          <w:tcPr>
            <w:tcW w:type="dxa" w:w="3816"/>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5"/>
              </w:rPr>
              <w:t>Evaluate IndicBERT / IndicTrans2 and phonetic normalization for transliterated Hindi and Marathi.</w:t>
            </w:r>
          </w:p>
        </w:tc>
        <w:tc>
          <w:tcPr>
            <w:tcW w:type="dxa" w:w="3744"/>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5"/>
              </w:rPr>
              <w:t>Improve handling of multilingual, code-mixed and non-standard spelling.</w:t>
            </w:r>
          </w:p>
        </w:tc>
      </w:tr>
      <w:tr>
        <w:tc>
          <w:tcPr>
            <w:tcW w:type="dxa" w:w="1944"/>
            <w:vAlign w:val="center"/>
            <w:tcMar>
              <w:top w:w="90" w:type="dxa"/>
              <w:start w:w="100" w:type="dxa"/>
              <w:bottom w:w="90" w:type="dxa"/>
              <w:end w:w="100" w:type="dxa"/>
            </w:tcMar>
            <w:shd w:fill="F4F7FA"/>
          </w:tcPr>
          <w:p>
            <w:pPr>
              <w:spacing w:after="0" w:before="0" w:line="240" w:lineRule="auto"/>
            </w:pPr>
            <w:r/>
            <w:r>
              <w:rPr>
                <w:rFonts w:ascii="Cambria" w:hAnsi="Cambria" w:eastAsia="Cambria"/>
                <w:b/>
                <w:color w:val="273746"/>
                <w:sz w:val="15"/>
              </w:rPr>
              <w:t>Resource optimization</w:t>
            </w:r>
          </w:p>
        </w:tc>
        <w:tc>
          <w:tcPr>
            <w:tcW w:type="dxa" w:w="3816"/>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5"/>
              </w:rPr>
              <w:t>Use constraint solvers or optimization libraries for multi-incident scheduling and resource allocation.</w:t>
            </w:r>
          </w:p>
        </w:tc>
        <w:tc>
          <w:tcPr>
            <w:tcW w:type="dxa" w:w="3744"/>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5"/>
              </w:rPr>
              <w:t>Move beyond static synthetic resource registries when authorized live data exists.</w:t>
            </w:r>
          </w:p>
        </w:tc>
      </w:tr>
      <w:tr>
        <w:tc>
          <w:tcPr>
            <w:tcW w:type="dxa" w:w="1944"/>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5"/>
              </w:rPr>
              <w:t>Governance and identity</w:t>
            </w:r>
          </w:p>
        </w:tc>
        <w:tc>
          <w:tcPr>
            <w:tcW w:type="dxa" w:w="3816"/>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5"/>
              </w:rPr>
              <w:t>Add role-based access control and cryptographically verifiable supervisor approvals.</w:t>
            </w:r>
          </w:p>
        </w:tc>
        <w:tc>
          <w:tcPr>
            <w:tcW w:type="dxa" w:w="3744"/>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5"/>
              </w:rPr>
              <w:t>Strengthen separation of duties and audit accountability.</w:t>
            </w:r>
          </w:p>
        </w:tc>
      </w:tr>
      <w:tr>
        <w:tc>
          <w:tcPr>
            <w:tcW w:type="dxa" w:w="1944"/>
            <w:vAlign w:val="center"/>
            <w:tcMar>
              <w:top w:w="90" w:type="dxa"/>
              <w:start w:w="100" w:type="dxa"/>
              <w:bottom w:w="90" w:type="dxa"/>
              <w:end w:w="100" w:type="dxa"/>
            </w:tcMar>
            <w:shd w:fill="F4F7FA"/>
          </w:tcPr>
          <w:p>
            <w:pPr>
              <w:spacing w:after="0" w:before="0" w:line="240" w:lineRule="auto"/>
            </w:pPr>
            <w:r/>
            <w:r>
              <w:rPr>
                <w:rFonts w:ascii="Cambria" w:hAnsi="Cambria" w:eastAsia="Cambria"/>
                <w:b/>
                <w:color w:val="273746"/>
                <w:sz w:val="15"/>
              </w:rPr>
              <w:t>Municipal integration</w:t>
            </w:r>
          </w:p>
        </w:tc>
        <w:tc>
          <w:tcPr>
            <w:tcW w:type="dxa" w:w="3816"/>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5"/>
              </w:rPr>
              <w:t>Explore Open311 GeoReport v2 and authorized ERP adapters.</w:t>
            </w:r>
          </w:p>
        </w:tc>
        <w:tc>
          <w:tcPr>
            <w:tcW w:type="dxa" w:w="3744"/>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5"/>
              </w:rPr>
              <w:t>Enable interoperability only after approval, privacy and security review.</w:t>
            </w:r>
          </w:p>
        </w:tc>
      </w:tr>
      <w:tr>
        <w:tc>
          <w:tcPr>
            <w:tcW w:type="dxa" w:w="1944"/>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5"/>
              </w:rPr>
              <w:t>Persistence and geospatial scale</w:t>
            </w:r>
          </w:p>
        </w:tc>
        <w:tc>
          <w:tcPr>
            <w:tcW w:type="dxa" w:w="3816"/>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5"/>
              </w:rPr>
              <w:t>Migrate from SQLite to PostgreSQL + PostGIS for spatial indexes and concurrency.</w:t>
            </w:r>
          </w:p>
        </w:tc>
        <w:tc>
          <w:tcPr>
            <w:tcW w:type="dxa" w:w="3744"/>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5"/>
              </w:rPr>
              <w:t>Support larger incident volumes and more complex geographic queries.</w:t>
            </w:r>
          </w:p>
        </w:tc>
      </w:tr>
      <w:tr>
        <w:tc>
          <w:tcPr>
            <w:tcW w:type="dxa" w:w="1944"/>
            <w:vAlign w:val="center"/>
            <w:tcMar>
              <w:top w:w="90" w:type="dxa"/>
              <w:start w:w="100" w:type="dxa"/>
              <w:bottom w:w="90" w:type="dxa"/>
              <w:end w:w="100" w:type="dxa"/>
            </w:tcMar>
            <w:shd w:fill="F4F7FA"/>
          </w:tcPr>
          <w:p>
            <w:pPr>
              <w:spacing w:after="0" w:before="0" w:line="240" w:lineRule="auto"/>
            </w:pPr>
            <w:r/>
            <w:r>
              <w:rPr>
                <w:rFonts w:ascii="Cambria" w:hAnsi="Cambria" w:eastAsia="Cambria"/>
                <w:b/>
                <w:color w:val="273746"/>
                <w:sz w:val="15"/>
              </w:rPr>
              <w:t>Model lifecycle management</w:t>
            </w:r>
          </w:p>
        </w:tc>
        <w:tc>
          <w:tcPr>
            <w:tcW w:type="dxa" w:w="3816"/>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5"/>
              </w:rPr>
              <w:t>Introduce model and dataset versioning, artifact hashes and drift monitoring using tools such as MLflow or DVC.</w:t>
            </w:r>
          </w:p>
        </w:tc>
        <w:tc>
          <w:tcPr>
            <w:tcW w:type="dxa" w:w="3744"/>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5"/>
              </w:rPr>
              <w:t>Make evaluation and model changes more reproducible.</w:t>
            </w:r>
          </w:p>
        </w:tc>
      </w:tr>
      <w:tr>
        <w:tc>
          <w:tcPr>
            <w:tcW w:type="dxa" w:w="1944"/>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5"/>
              </w:rPr>
              <w:t>Sensor-backed verification</w:t>
            </w:r>
          </w:p>
        </w:tc>
        <w:tc>
          <w:tcPr>
            <w:tcW w:type="dxa" w:w="3816"/>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5"/>
              </w:rPr>
              <w:t>Combine imagery with road roughness or inspection telemetry where available.</w:t>
            </w:r>
          </w:p>
        </w:tc>
        <w:tc>
          <w:tcPr>
            <w:tcW w:type="dxa" w:w="3744"/>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5"/>
              </w:rPr>
              <w:t>Reduce the gap between surface appearance and evidence of physical condition.</w:t>
            </w:r>
          </w:p>
        </w:tc>
      </w:tr>
    </w:tbl>
    <w:p>
      <w:pPr>
        <w:spacing w:after="20"/>
      </w:pPr>
    </w:p>
    <w:p>
      <w:pPr>
        <w:pStyle w:val="SmallNote"/>
      </w:pPr>
      <w:r>
        <w:t>These items are future proposals from the repository roadmap. They should not be presented as features already implemented in the current proof of concept.</w:t>
      </w:r>
    </w:p>
    <w:p>
      <w:pPr>
        <w:keepNext/>
        <w:spacing w:before="40" w:after="40"/>
      </w:pPr>
      <w:r>
        <w:rPr>
          <w:rFonts w:ascii="Aptos" w:hAnsi="Aptos"/>
          <w:b/>
          <w:color w:val="138A8A"/>
          <w:sz w:val="17"/>
        </w:rPr>
        <w:t>14 / DEMONSTRATION</w:t>
      </w:r>
    </w:p>
    <w:p>
      <w:pPr>
        <w:pStyle w:val="Heading1"/>
        <w:keepNext/>
      </w:pPr>
      <w:r>
        <w:t>14. Setup and Demonstration Guide</w:t>
      </w:r>
    </w:p>
    <w:p>
      <w:pPr>
        <w:pStyle w:val="Heading2"/>
        <w:keepNext/>
      </w:pPr>
      <w:r>
        <w:t>14.1 Prerequisites</w:t>
      </w:r>
    </w:p>
    <w:p>
      <w:pPr>
        <w:pStyle w:val="ListBullet"/>
        <w:spacing w:after="60"/>
        <w:ind w:left="403" w:hanging="230"/>
      </w:pPr>
      <w:r>
        <w:t>Python 3.11 or later.</w:t>
      </w:r>
    </w:p>
    <w:p>
      <w:pPr>
        <w:pStyle w:val="ListBullet"/>
        <w:spacing w:after="60"/>
        <w:ind w:left="403" w:hanging="230"/>
      </w:pPr>
      <w:r>
        <w:t>Node.js 18 or later with npm.</w:t>
      </w:r>
    </w:p>
    <w:p>
      <w:pPr>
        <w:pStyle w:val="ListBullet"/>
        <w:spacing w:after="60"/>
        <w:ind w:left="403" w:hanging="230"/>
      </w:pPr>
      <w:r>
        <w:t>Git and a local copy of the repository.</w:t>
      </w:r>
    </w:p>
    <w:p>
      <w:pPr>
        <w:pStyle w:val="ListBullet"/>
        <w:spacing w:after="60"/>
        <w:ind w:left="403" w:hanging="230"/>
      </w:pPr>
      <w:r>
        <w:t>Optional: a Groq API key for hosted vision inference, or a configured local Ollama runtime. The documented deterministic fallback path allows core workflow exploration without an external vision key.</w:t>
      </w:r>
    </w:p>
    <w:p>
      <w:pPr>
        <w:pStyle w:val="Heading2"/>
        <w:keepNext/>
      </w:pPr>
      <w:r>
        <w:t>14.2 Backend setup</w:t>
      </w:r>
    </w:p>
    <w:p>
      <w:r>
        <w:t>From a terminal, clone the repository and create a virtual environment:</w:t>
      </w:r>
    </w:p>
    <w:p>
      <w:pPr>
        <w:spacing w:before="60" w:after="140"/>
        <w:ind w:left="317" w:right="317"/>
        <w:shd w:fill="F4F7FA"/>
      </w:pPr>
      <w:r>
        <w:rPr>
          <w:rFonts w:ascii="Consolas" w:hAnsi="Consolas"/>
          <w:color w:val="17365D"/>
          <w:sz w:val="16"/>
        </w:rPr>
        <w:t>git clone https://github.com/Harshad2321/JanSetu-AI.git</w:t>
        <w:br/>
      </w:r>
      <w:r>
        <w:rPr>
          <w:rFonts w:ascii="Consolas" w:hAnsi="Consolas"/>
          <w:color w:val="17365D"/>
          <w:sz w:val="16"/>
        </w:rPr>
        <w:t>cd JanSetu-AI</w:t>
        <w:br/>
      </w:r>
      <w:r>
        <w:rPr>
          <w:rFonts w:ascii="Consolas" w:hAnsi="Consolas"/>
          <w:color w:val="17365D"/>
          <w:sz w:val="16"/>
        </w:rPr>
        <w:t>python -m venv .venv</w:t>
        <w:br/>
      </w:r>
      <w:r>
        <w:rPr>
          <w:rFonts w:ascii="Consolas" w:hAnsi="Consolas"/>
          <w:color w:val="17365D"/>
          <w:sz w:val="16"/>
        </w:rPr>
        <w:t># Windows PowerShell: .\.venv\Scripts\Activate.ps1</w:t>
        <w:br/>
      </w:r>
      <w:r>
        <w:rPr>
          <w:rFonts w:ascii="Consolas" w:hAnsi="Consolas"/>
          <w:color w:val="17365D"/>
          <w:sz w:val="16"/>
        </w:rPr>
        <w:t># macOS / Linux: source .venv/bin/activate</w:t>
        <w:br/>
      </w:r>
      <w:r>
        <w:rPr>
          <w:rFonts w:ascii="Consolas" w:hAnsi="Consolas"/>
          <w:color w:val="17365D"/>
          <w:sz w:val="16"/>
        </w:rPr>
        <w:t>pip install -r backend/requirements.txt</w:t>
        <w:br/>
      </w:r>
      <w:r>
        <w:rPr>
          <w:rFonts w:ascii="Consolas" w:hAnsi="Consolas"/>
          <w:color w:val="17365D"/>
          <w:sz w:val="16"/>
        </w:rPr>
        <w:t>python -m uvicorn app.main:app --app-dir backend --host 127.0.0.1 --port 8000 --reload</w:t>
        <w:br/>
      </w:r>
    </w:p>
    <w:p>
      <w:r>
        <w:t>The backend is documented at http://127.0.0.1:8000/docs and exposes a health check at http://127.0.0.1:8000/health.</w:t>
      </w:r>
    </w:p>
    <w:p>
      <w:pPr>
        <w:pStyle w:val="Heading2"/>
        <w:keepNext/>
      </w:pPr>
      <w:r>
        <w:t>14.3 Frontend setup</w:t>
      </w:r>
    </w:p>
    <w:p>
      <w:pPr>
        <w:ind w:left="317" w:right="317"/>
        <w:shd w:fill="F4F7FA"/>
      </w:pPr>
      <w:r>
        <w:rPr>
          <w:rFonts w:ascii="Consolas" w:hAnsi="Consolas"/>
          <w:color w:val="17365D"/>
          <w:sz w:val="16"/>
        </w:rPr>
        <w:t>cd frontend</w:t>
        <w:br/>
      </w:r>
      <w:r>
        <w:rPr>
          <w:rFonts w:ascii="Consolas" w:hAnsi="Consolas"/>
          <w:color w:val="17365D"/>
          <w:sz w:val="16"/>
        </w:rPr>
        <w:t>npm install</w:t>
        <w:br/>
      </w:r>
      <w:r>
        <w:rPr>
          <w:rFonts w:ascii="Consolas" w:hAnsi="Consolas"/>
          <w:color w:val="17365D"/>
          <w:sz w:val="16"/>
        </w:rPr>
        <w:t>npm run dev</w:t>
        <w:br/>
      </w:r>
    </w:p>
    <w:p>
      <w:r>
        <w:t>The README documents the frontend development URL as http://localhost:5173. For live vision inference, configure the optional environment variables in the repository's .env.example; do not commit API keys.</w:t>
      </w:r>
    </w:p>
    <w:p>
      <w:pPr>
        <w:pStyle w:val="Heading2"/>
        <w:keepNext/>
      </w:pPr>
      <w:r>
        <w:t>14.4 Recommended demonstration sequence</w:t>
      </w:r>
    </w:p>
    <w:p>
      <w:pPr>
        <w:pStyle w:val="ListBullet"/>
        <w:spacing w:after="60"/>
        <w:ind w:left="403" w:hanging="230"/>
      </w:pPr>
      <w:r>
        <w:t>Submit a synthetic pothole or waterlogging complaint with location details.</w:t>
      </w:r>
    </w:p>
    <w:p>
      <w:pPr>
        <w:pStyle w:val="ListBullet"/>
        <w:spacing w:after="60"/>
        <w:ind w:left="403" w:hanging="230"/>
      </w:pPr>
      <w:r>
        <w:t>Inspect A1's structured facts and any missing-field or disagreement status.</w:t>
      </w:r>
    </w:p>
    <w:p>
      <w:pPr>
        <w:pStyle w:val="ListBullet"/>
        <w:spacing w:after="60"/>
        <w:ind w:left="403" w:hanging="230"/>
      </w:pPr>
      <w:r>
        <w:t>Review A2's candidate duplicate list and A3's priority score and reasons.</w:t>
      </w:r>
    </w:p>
    <w:p>
      <w:pPr>
        <w:pStyle w:val="ListBullet"/>
        <w:spacing w:after="60"/>
        <w:ind w:left="403" w:hanging="230"/>
      </w:pPr>
      <w:r>
        <w:t>Inspect A4's temporary and permanent plan, then examine the Critic's verdict.</w:t>
      </w:r>
    </w:p>
    <w:p>
      <w:pPr>
        <w:pStyle w:val="ListBullet"/>
        <w:spacing w:after="60"/>
        <w:ind w:left="403" w:hanging="230"/>
      </w:pPr>
      <w:r>
        <w:t>Use the simulation lab to inject a crew or material failure and observe A5 recovery.</w:t>
      </w:r>
    </w:p>
    <w:p>
      <w:pPr>
        <w:pStyle w:val="ListBullet"/>
        <w:spacing w:after="60"/>
        <w:ind w:left="403" w:hanging="230"/>
      </w:pPr>
      <w:r>
        <w:t>Exhaust the retry budget in a controlled demonstration and confirm HUMAN_REVIEW escalation.</w:t>
      </w:r>
    </w:p>
    <w:p>
      <w:pPr>
        <w:pStyle w:val="ListBullet"/>
        <w:spacing w:after="60"/>
        <w:ind w:left="403" w:hanging="230"/>
      </w:pPr>
      <w:r>
        <w:t>Attempt closure without evidence; verify that the gate rejects it. Then submit the required synthetic evidence and sign-off to demonstrate the passing path.</w:t>
      </w:r>
    </w:p>
    <w:p>
      <w:pPr>
        <w:pStyle w:val="ListBullet"/>
        <w:spacing w:after="60"/>
        <w:ind w:left="403" w:hanging="230"/>
      </w:pPr>
      <w:r>
        <w:t>Open the audit timeline to inspect plan versions, state changes and recorded attempts.</w:t>
      </w:r>
    </w:p>
    <w:p>
      <w:pPr>
        <w:pStyle w:val="Heading2"/>
        <w:keepNext/>
      </w:pPr>
      <w:r>
        <w:t>14.5 Validation commands</w:t>
      </w:r>
    </w:p>
    <w:p>
      <w:pPr>
        <w:ind w:left="317"/>
        <w:shd w:fill="F4F7FA"/>
      </w:pPr>
      <w:r>
        <w:rPr>
          <w:rFonts w:ascii="Consolas" w:hAnsi="Consolas"/>
          <w:color w:val="17365D"/>
          <w:sz w:val="16"/>
        </w:rPr>
        <w:t>pytest backend/tests/ -q</w:t>
        <w:br/>
      </w:r>
      <w:r>
        <w:rPr>
          <w:rFonts w:ascii="Consolas" w:hAnsi="Consolas"/>
          <w:color w:val="17365D"/>
          <w:sz w:val="16"/>
        </w:rPr>
        <w:t>python eval/run_validation.py</w:t>
        <w:br/>
      </w:r>
      <w:r>
        <w:rPr>
          <w:rFonts w:ascii="Consolas" w:hAnsi="Consolas"/>
          <w:color w:val="17365D"/>
          <w:sz w:val="16"/>
        </w:rPr>
        <w:t>python -m app.ml.evaluation</w:t>
        <w:br/>
      </w:r>
      <w:r>
        <w:rPr>
          <w:rFonts w:ascii="Consolas" w:hAnsi="Consolas"/>
          <w:color w:val="17365D"/>
          <w:sz w:val="16"/>
        </w:rPr>
        <w:t>cd frontend &amp;&amp; npm run build</w:t>
        <w:br/>
      </w:r>
      <w:r>
        <w:rPr>
          <w:rFonts w:ascii="Consolas" w:hAnsi="Consolas"/>
          <w:color w:val="17365D"/>
          <w:sz w:val="16"/>
        </w:rPr>
        <w:t>cd frontend &amp;&amp; npm run lint</w:t>
        <w:br/>
      </w:r>
    </w:p>
    <w:p>
      <w:pPr>
        <w:pStyle w:val="SmallNote"/>
      </w:pPr>
      <w:r>
        <w:t>The commands above are taken from the repository's documented workflow. Run them in the current checkout before reporting updated test counts or metrics.</w:t>
      </w:r>
    </w:p>
    <w:p>
      <w:pPr>
        <w:keepNext/>
        <w:spacing w:before="40" w:after="40"/>
      </w:pPr>
      <w:r>
        <w:rPr>
          <w:rFonts w:ascii="Aptos" w:hAnsi="Aptos"/>
          <w:b/>
          <w:color w:val="138A8A"/>
          <w:sz w:val="17"/>
        </w:rPr>
        <w:t>15 / CONCLUSION</w:t>
      </w:r>
    </w:p>
    <w:p>
      <w:pPr>
        <w:pStyle w:val="Heading1"/>
        <w:keepNext/>
      </w:pPr>
      <w:r>
        <w:t>15. Conclusion</w:t>
      </w:r>
    </w:p>
    <w:p>
      <w:r>
        <w:t>JanSetu AI demonstrates how an agentic workflow can be applied to civic incident management when the task requires more than a single classification or generated answer. The project coordinates six specialist agents and an independent Critic through a stateful LangGraph orchestrator, with a React and TypeScript interface, FastAPI services and a persistent Civic Incident Twin. Its most important design choices are the separation of plan validation from outcome verification, the use of explainable priority rules, the preservation of failed plans and attempts, bounded recovery and a deterministic closure gate.</w:t>
      </w:r>
    </w:p>
    <w:p>
      <w:r>
        <w:t>The repository's reported tests and invariant checks indicate that the principal control-flow requirements are implemented and testable in the proof-of-concept environment. The synthetic NLP results also reveal a meaningful evaluation boundary: performance is perfect on the controlled held-out partition but drops on a challenge set with disjoint vocabulary. This reinforces the need for realistic, approved data and independent evaluation before any field use.</w:t>
      </w:r>
    </w:p>
    <w:p>
      <w:r>
        <w:t>The project should therefore be understood as a governed simulation of civic response coordination. It does not dispatch crews, repair roads or establish physical safety. Its contribution is a transparent and inspectable architecture for intake, prioritization, planning, recovery and evidence-based closure—providing a foundation for future work on calibrated models, scalable persistence, authorized integrations and sensor-supported verification.</w:t>
      </w:r>
    </w:p>
    <w:p>
      <w:r>
        <w:br w:type="page"/>
      </w:r>
    </w:p>
    <w:p>
      <w:pPr>
        <w:spacing w:before="40" w:after="40"/>
      </w:pPr>
      <w:r>
        <w:rPr>
          <w:rFonts w:ascii="Aptos" w:hAnsi="Aptos"/>
          <w:b/>
          <w:color w:val="138A8A"/>
          <w:sz w:val="17"/>
        </w:rPr>
        <w:t>SOURCES</w:t>
      </w:r>
    </w:p>
    <w:p>
      <w:pPr>
        <w:pStyle w:val="Heading1"/>
        <w:keepNext/>
      </w:pPr>
      <w:r>
        <w:t>References</w:t>
      </w:r>
    </w:p>
    <w:p>
      <w:pPr>
        <w:spacing w:after="140"/>
        <w:ind w:left="403" w:hanging="403"/>
      </w:pPr>
      <w:r>
        <w:t>[1] Harshad2321, “JanSetu-AI: Adaptive Civic Incident Resolution Platform,” GitHub repository. Available: https://github.com/Harshad2321/JanSetu-AI (accessed 19 October 2026).</w:t>
      </w:r>
    </w:p>
    <w:p>
      <w:pPr>
        <w:spacing w:after="140"/>
        <w:ind w:left="403" w:hanging="403"/>
      </w:pPr>
      <w:r>
        <w:t>[2] JanSetu AI repository, docs/problem_statement.md — problem statement, before/after workflow and agent role map. Available within the repository at https://github.com/Harshad2321/JanSetu-AI/tree/main/docs.</w:t>
      </w:r>
    </w:p>
    <w:p>
      <w:pPr>
        <w:spacing w:after="140"/>
        <w:ind w:left="403" w:hanging="403"/>
      </w:pPr>
      <w:r>
        <w:t>[3] JanSetu AI repository, docs/results_table.md — ML evaluation metrics, 11 system invariants and workflow decision checks. Available within the repository at https://github.com/Harshad2321/JanSetu-AI/blob/main/docs/results_table.md.</w:t>
      </w:r>
    </w:p>
    <w:p>
      <w:pPr>
        <w:spacing w:after="140"/>
        <w:ind w:left="403" w:hanging="403"/>
      </w:pPr>
      <w:r>
        <w:t>[4] JanSetu AI repository, docs/limitations.md — synthetic-data limitations, vision uncertainty, risk heuristics, simulation boundary, SQLite limits and bounded retries. Available within the repository at https://github.com/Harshad2321/JanSetu-AI/blob/main/docs/limitations.md.</w:t>
      </w:r>
    </w:p>
    <w:p>
      <w:pPr>
        <w:spacing w:after="140"/>
        <w:ind w:left="403" w:hanging="403"/>
      </w:pPr>
      <w:r>
        <w:t>[5] JanSetu AI repository, docs/future_scope.md — proposed roadmap for edge vision, uncertainty calibration, Indic-language models, optimization, governance, integrations and sensor-backed verification. Available within the repository at https://github.com/Harshad2321/JanSetu-AI/blob/main/docs/future_scope.md.</w:t>
      </w:r>
    </w:p>
    <w:p>
      <w:pPr>
        <w:spacing w:after="140"/>
        <w:ind w:left="403" w:hanging="403"/>
      </w:pPr>
      <w:r>
        <w:t>[6] FastAPI documentation. Available: https://fastapi.tiangolo.com/.</w:t>
      </w:r>
    </w:p>
    <w:p>
      <w:pPr>
        <w:spacing w:after="140"/>
        <w:ind w:left="403" w:hanging="403"/>
      </w:pPr>
      <w:r>
        <w:t>[7] LangGraph documentation. Available: https://docs.langchain.com/oss/python/langgraph/overview.</w:t>
      </w:r>
    </w:p>
    <w:p>
      <w:pPr>
        <w:spacing w:after="140"/>
        <w:ind w:left="403" w:hanging="403"/>
      </w:pPr>
      <w:r>
        <w:t>[8] React documentation. Available: https://react.dev/.</w:t>
      </w:r>
    </w:p>
    <w:p>
      <w:pPr>
        <w:spacing w:after="140"/>
        <w:ind w:left="403" w:hanging="403"/>
      </w:pPr>
      <w:r>
        <w:t>[9] SQLAlchemy documentation. Available: https://docs.sqlalchemy.org/.</w:t>
      </w:r>
    </w:p>
    <w:p>
      <w:pPr>
        <w:spacing w:after="140"/>
        <w:ind w:left="403" w:hanging="403"/>
      </w:pPr>
      <w:r>
        <w:t>[10] Leaflet documentation. Available: https://leafletjs.com/reference.html.</w:t>
      </w:r>
    </w:p>
    <w:p>
      <w:pPr>
        <w:spacing w:after="140"/>
        <w:ind w:left="403" w:hanging="403"/>
      </w:pPr>
      <w:r>
        <w:t>[11] Pydantic documentation. Available: https://docs.pydantic.dev/latest/.</w:t>
      </w:r>
    </w:p>
    <w:p>
      <w:r>
        <w:br w:type="page"/>
      </w:r>
    </w:p>
    <w:p>
      <w:pPr>
        <w:spacing w:before="40" w:after="40"/>
      </w:pPr>
      <w:r>
        <w:rPr>
          <w:rFonts w:ascii="Aptos" w:hAnsi="Aptos"/>
          <w:b/>
          <w:color w:val="138A8A"/>
          <w:sz w:val="17"/>
        </w:rPr>
        <w:t>APPENDIX A</w:t>
      </w:r>
    </w:p>
    <w:p>
      <w:pPr>
        <w:pStyle w:val="Heading1"/>
        <w:keepNext/>
      </w:pPr>
      <w:r>
        <w:t>Glossary</w:t>
      </w:r>
    </w:p>
    <w:tbl>
      <w:tblPr>
        <w:tblStyle w:val="TableGrid"/>
        <w:tblW w:type="auto" w:w="0"/>
        <w:jc w:val="center"/>
        <w:tblLayout w:type="fixed"/>
        <w:tblLook w:firstColumn="1" w:firstRow="1" w:lastColumn="0" w:lastRow="0" w:noHBand="0" w:noVBand="1" w:val="04A0"/>
      </w:tblPr>
      <w:tblGrid>
        <w:gridCol w:w="4831"/>
        <w:gridCol w:w="4831"/>
      </w:tblGrid>
      <w:tr>
        <w:trPr>
          <w:tblHeader w:val="true"/>
        </w:trPr>
        <w:tc>
          <w:tcPr>
            <w:tcW w:type="dxa" w:w="2520"/>
            <w:vAlign w:val="center"/>
            <w:tcMar>
              <w:top w:w="90" w:type="dxa"/>
              <w:start w:w="100" w:type="dxa"/>
              <w:bottom w:w="90" w:type="dxa"/>
              <w:end w:w="100" w:type="dxa"/>
            </w:tcMar>
            <w:shd w:fill="17365D"/>
          </w:tcPr>
          <w:p>
            <w:pPr>
              <w:spacing w:after="0" w:before="0" w:line="240" w:lineRule="auto"/>
            </w:pPr>
            <w:r/>
            <w:r>
              <w:rPr>
                <w:rFonts w:ascii="Aptos" w:hAnsi="Aptos" w:eastAsia="Aptos"/>
                <w:b/>
                <w:color w:val="FFFFFF"/>
                <w:sz w:val="17"/>
              </w:rPr>
              <w:t>Term</w:t>
            </w:r>
          </w:p>
        </w:tc>
        <w:tc>
          <w:tcPr>
            <w:tcW w:type="dxa" w:w="7056"/>
            <w:vAlign w:val="center"/>
            <w:tcMar>
              <w:top w:w="90" w:type="dxa"/>
              <w:start w:w="100" w:type="dxa"/>
              <w:bottom w:w="90" w:type="dxa"/>
              <w:end w:w="100" w:type="dxa"/>
            </w:tcMar>
            <w:shd w:fill="17365D"/>
          </w:tcPr>
          <w:p>
            <w:pPr>
              <w:spacing w:after="0" w:before="0" w:line="240" w:lineRule="auto"/>
            </w:pPr>
            <w:r/>
            <w:r>
              <w:rPr>
                <w:rFonts w:ascii="Aptos" w:hAnsi="Aptos" w:eastAsia="Aptos"/>
                <w:b/>
                <w:color w:val="FFFFFF"/>
                <w:sz w:val="17"/>
              </w:rPr>
              <w:t>Meaning in this project</w:t>
            </w:r>
          </w:p>
        </w:tc>
      </w:tr>
      <w:tr>
        <w:tc>
          <w:tcPr>
            <w:tcW w:type="dxa" w:w="2520"/>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7"/>
              </w:rPr>
              <w:t>Agentic workflow</w:t>
            </w:r>
          </w:p>
        </w:tc>
        <w:tc>
          <w:tcPr>
            <w:tcW w:type="dxa" w:w="7056"/>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7"/>
              </w:rPr>
              <w:t>A workflow where components select and route actions based on state and outcomes, rather than returning one static prediction.</w:t>
            </w:r>
          </w:p>
        </w:tc>
      </w:tr>
      <w:tr>
        <w:tc>
          <w:tcPr>
            <w:tcW w:type="dxa" w:w="2520"/>
            <w:vAlign w:val="center"/>
            <w:tcMar>
              <w:top w:w="90" w:type="dxa"/>
              <w:start w:w="100" w:type="dxa"/>
              <w:bottom w:w="90" w:type="dxa"/>
              <w:end w:w="100" w:type="dxa"/>
            </w:tcMar>
            <w:shd w:fill="F4F7FA"/>
          </w:tcPr>
          <w:p>
            <w:pPr>
              <w:spacing w:after="0" w:before="0" w:line="240" w:lineRule="auto"/>
            </w:pPr>
            <w:r/>
            <w:r>
              <w:rPr>
                <w:rFonts w:ascii="Cambria" w:hAnsi="Cambria" w:eastAsia="Cambria"/>
                <w:b/>
                <w:color w:val="273746"/>
                <w:sz w:val="17"/>
              </w:rPr>
              <w:t>LangGraph</w:t>
            </w:r>
          </w:p>
        </w:tc>
        <w:tc>
          <w:tcPr>
            <w:tcW w:type="dxa" w:w="7056"/>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7"/>
              </w:rPr>
              <w:t>The graph-based orchestration framework used to represent stateful agent steps and conditional transitions.</w:t>
            </w:r>
          </w:p>
        </w:tc>
      </w:tr>
      <w:tr>
        <w:tc>
          <w:tcPr>
            <w:tcW w:type="dxa" w:w="2520"/>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7"/>
              </w:rPr>
              <w:t>Civic Incident Twin</w:t>
            </w:r>
          </w:p>
        </w:tc>
        <w:tc>
          <w:tcPr>
            <w:tcW w:type="dxa" w:w="7056"/>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7"/>
              </w:rPr>
              <w:t>The persistent record of an incident, its context, plans, attempts, candidates and audit history.</w:t>
            </w:r>
          </w:p>
        </w:tc>
      </w:tr>
      <w:tr>
        <w:tc>
          <w:tcPr>
            <w:tcW w:type="dxa" w:w="2520"/>
            <w:vAlign w:val="center"/>
            <w:tcMar>
              <w:top w:w="90" w:type="dxa"/>
              <w:start w:w="100" w:type="dxa"/>
              <w:bottom w:w="90" w:type="dxa"/>
              <w:end w:w="100" w:type="dxa"/>
            </w:tcMar>
            <w:shd w:fill="F4F7FA"/>
          </w:tcPr>
          <w:p>
            <w:pPr>
              <w:spacing w:after="0" w:before="0" w:line="240" w:lineRule="auto"/>
            </w:pPr>
            <w:r/>
            <w:r>
              <w:rPr>
                <w:rFonts w:ascii="Cambria" w:hAnsi="Cambria" w:eastAsia="Cambria"/>
                <w:b/>
                <w:color w:val="273746"/>
                <w:sz w:val="17"/>
              </w:rPr>
              <w:t>Critic</w:t>
            </w:r>
          </w:p>
        </w:tc>
        <w:tc>
          <w:tcPr>
            <w:tcW w:type="dxa" w:w="7056"/>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7"/>
              </w:rPr>
              <w:t>An independent plan validator that checks feasibility and safety before simulated execution.</w:t>
            </w:r>
          </w:p>
        </w:tc>
      </w:tr>
      <w:tr>
        <w:tc>
          <w:tcPr>
            <w:tcW w:type="dxa" w:w="2520"/>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7"/>
              </w:rPr>
              <w:t>Adaptive recovery</w:t>
            </w:r>
          </w:p>
        </w:tc>
        <w:tc>
          <w:tcPr>
            <w:tcW w:type="dxa" w:w="7056"/>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7"/>
              </w:rPr>
              <w:t>Failure-handling stage that uses the failure reason as a constraint to create a revised plan.</w:t>
            </w:r>
          </w:p>
        </w:tc>
      </w:tr>
      <w:tr>
        <w:tc>
          <w:tcPr>
            <w:tcW w:type="dxa" w:w="2520"/>
            <w:vAlign w:val="center"/>
            <w:tcMar>
              <w:top w:w="90" w:type="dxa"/>
              <w:start w:w="100" w:type="dxa"/>
              <w:bottom w:w="90" w:type="dxa"/>
              <w:end w:w="100" w:type="dxa"/>
            </w:tcMar>
            <w:shd w:fill="F4F7FA"/>
          </w:tcPr>
          <w:p>
            <w:pPr>
              <w:spacing w:after="0" w:before="0" w:line="240" w:lineRule="auto"/>
            </w:pPr>
            <w:r/>
            <w:r>
              <w:rPr>
                <w:rFonts w:ascii="Cambria" w:hAnsi="Cambria" w:eastAsia="Cambria"/>
                <w:b/>
                <w:color w:val="273746"/>
                <w:sz w:val="17"/>
              </w:rPr>
              <w:t>Independent verification</w:t>
            </w:r>
          </w:p>
        </w:tc>
        <w:tc>
          <w:tcPr>
            <w:tcW w:type="dxa" w:w="7056"/>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7"/>
              </w:rPr>
              <w:t>Post-execution check of evidence, closure criteria and required sign-off.</w:t>
            </w:r>
          </w:p>
        </w:tc>
      </w:tr>
      <w:tr>
        <w:tc>
          <w:tcPr>
            <w:tcW w:type="dxa" w:w="2520"/>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7"/>
              </w:rPr>
              <w:t>Haversine distance</w:t>
            </w:r>
          </w:p>
        </w:tc>
        <w:tc>
          <w:tcPr>
            <w:tcW w:type="dxa" w:w="7056"/>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7"/>
              </w:rPr>
              <w:t>A geographic distance calculation between two latitude/longitude points on an approximate spherical Earth.</w:t>
            </w:r>
          </w:p>
        </w:tc>
      </w:tr>
      <w:tr>
        <w:tc>
          <w:tcPr>
            <w:tcW w:type="dxa" w:w="2520"/>
            <w:vAlign w:val="center"/>
            <w:tcMar>
              <w:top w:w="90" w:type="dxa"/>
              <w:start w:w="100" w:type="dxa"/>
              <w:bottom w:w="90" w:type="dxa"/>
              <w:end w:w="100" w:type="dxa"/>
            </w:tcMar>
            <w:shd w:fill="F4F7FA"/>
          </w:tcPr>
          <w:p>
            <w:pPr>
              <w:spacing w:after="0" w:before="0" w:line="240" w:lineRule="auto"/>
            </w:pPr>
            <w:r/>
            <w:r>
              <w:rPr>
                <w:rFonts w:ascii="Cambria" w:hAnsi="Cambria" w:eastAsia="Cambria"/>
                <w:b/>
                <w:color w:val="273746"/>
                <w:sz w:val="17"/>
              </w:rPr>
              <w:t>TF-IDF</w:t>
            </w:r>
          </w:p>
        </w:tc>
        <w:tc>
          <w:tcPr>
            <w:tcW w:type="dxa" w:w="7056"/>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7"/>
              </w:rPr>
              <w:t>A text feature weighting method used to represent complaint text for classification and similarity comparison.</w:t>
            </w:r>
          </w:p>
        </w:tc>
      </w:tr>
      <w:tr>
        <w:tc>
          <w:tcPr>
            <w:tcW w:type="dxa" w:w="2520"/>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7"/>
              </w:rPr>
              <w:t>UNCONFIRMED candidate</w:t>
            </w:r>
          </w:p>
        </w:tc>
        <w:tc>
          <w:tcPr>
            <w:tcW w:type="dxa" w:w="7056"/>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7"/>
              </w:rPr>
              <w:t>A possible duplicate relationship awaiting human review; not an automatic merge.</w:t>
            </w:r>
          </w:p>
        </w:tc>
      </w:tr>
      <w:tr>
        <w:tc>
          <w:tcPr>
            <w:tcW w:type="dxa" w:w="2520"/>
            <w:vAlign w:val="center"/>
            <w:tcMar>
              <w:top w:w="90" w:type="dxa"/>
              <w:start w:w="100" w:type="dxa"/>
              <w:bottom w:w="90" w:type="dxa"/>
              <w:end w:w="100" w:type="dxa"/>
            </w:tcMar>
            <w:shd w:fill="F4F7FA"/>
          </w:tcPr>
          <w:p>
            <w:pPr>
              <w:spacing w:after="0" w:before="0" w:line="240" w:lineRule="auto"/>
            </w:pPr>
            <w:r/>
            <w:r>
              <w:rPr>
                <w:rFonts w:ascii="Cambria" w:hAnsi="Cambria" w:eastAsia="Cambria"/>
                <w:b/>
                <w:color w:val="273746"/>
                <w:sz w:val="17"/>
              </w:rPr>
              <w:t>Invariant</w:t>
            </w:r>
          </w:p>
        </w:tc>
        <w:tc>
          <w:tcPr>
            <w:tcW w:type="dxa" w:w="7056"/>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7"/>
              </w:rPr>
              <w:t>A property that must remain true throughout the workflow, such as simulation labeling or closure gating.</w:t>
            </w:r>
          </w:p>
        </w:tc>
      </w:tr>
      <w:tr>
        <w:tc>
          <w:tcPr>
            <w:tcW w:type="dxa" w:w="2520"/>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7"/>
              </w:rPr>
              <w:t>HUMAN_REVIEW</w:t>
            </w:r>
          </w:p>
        </w:tc>
        <w:tc>
          <w:tcPr>
            <w:tcW w:type="dxa" w:w="7056"/>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7"/>
              </w:rPr>
              <w:t>Escalated state where automation stops and a human must decide the next action.</w:t>
            </w:r>
          </w:p>
        </w:tc>
      </w:tr>
      <w:tr>
        <w:tc>
          <w:tcPr>
            <w:tcW w:type="dxa" w:w="2520"/>
            <w:vAlign w:val="center"/>
            <w:tcMar>
              <w:top w:w="90" w:type="dxa"/>
              <w:start w:w="100" w:type="dxa"/>
              <w:bottom w:w="90" w:type="dxa"/>
              <w:end w:w="100" w:type="dxa"/>
            </w:tcMar>
            <w:shd w:fill="F4F7FA"/>
          </w:tcPr>
          <w:p>
            <w:pPr>
              <w:spacing w:after="0" w:before="0" w:line="240" w:lineRule="auto"/>
            </w:pPr>
            <w:r/>
            <w:r>
              <w:rPr>
                <w:rFonts w:ascii="Cambria" w:hAnsi="Cambria" w:eastAsia="Cambria"/>
                <w:b/>
                <w:color w:val="273746"/>
                <w:sz w:val="17"/>
              </w:rPr>
              <w:t>VERIFIED_CLOSED</w:t>
            </w:r>
          </w:p>
        </w:tc>
        <w:tc>
          <w:tcPr>
            <w:tcW w:type="dxa" w:w="7056"/>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7"/>
              </w:rPr>
              <w:t>A terminal simulated state reached only when the independent verification gate passes.</w:t>
            </w:r>
          </w:p>
        </w:tc>
      </w:tr>
    </w:tbl>
    <w:p>
      <w:pPr>
        <w:spacing w:after="20"/>
      </w:pPr>
    </w:p>
    <w:p>
      <w:pPr>
        <w:spacing w:before="40" w:after="40"/>
      </w:pPr>
      <w:r>
        <w:rPr>
          <w:rFonts w:ascii="Aptos" w:hAnsi="Aptos"/>
          <w:b/>
          <w:color w:val="138A8A"/>
          <w:sz w:val="17"/>
        </w:rPr>
        <w:t>APPENDIX B</w:t>
      </w:r>
    </w:p>
    <w:p>
      <w:pPr>
        <w:pStyle w:val="Heading1"/>
        <w:keepNext/>
      </w:pPr>
      <w:r>
        <w:t>Representative API Endpoints</w:t>
      </w:r>
    </w:p>
    <w:p>
      <w:r>
        <w:t>The following routes are listed in the repository README. The exact request and response schemas should be checked through the running FastAPI OpenAPI interface.</w:t>
      </w:r>
    </w:p>
    <w:tbl>
      <w:tblPr>
        <w:tblStyle w:val="TableGrid"/>
        <w:tblW w:type="auto" w:w="0"/>
        <w:jc w:val="center"/>
        <w:tblLayout w:type="fixed"/>
        <w:tblLook w:firstColumn="1" w:firstRow="1" w:lastColumn="0" w:lastRow="0" w:noHBand="0" w:noVBand="1" w:val="04A0"/>
      </w:tblPr>
      <w:tblGrid>
        <w:gridCol w:w="3221"/>
        <w:gridCol w:w="3221"/>
        <w:gridCol w:w="3221"/>
      </w:tblGrid>
      <w:tr>
        <w:trPr>
          <w:tblHeader w:val="true"/>
        </w:trPr>
        <w:tc>
          <w:tcPr>
            <w:tcW w:type="dxa" w:w="1080"/>
            <w:vAlign w:val="center"/>
            <w:tcMar>
              <w:top w:w="90" w:type="dxa"/>
              <w:start w:w="100" w:type="dxa"/>
              <w:bottom w:w="90" w:type="dxa"/>
              <w:end w:w="100" w:type="dxa"/>
            </w:tcMar>
            <w:shd w:fill="17365D"/>
          </w:tcPr>
          <w:p>
            <w:pPr>
              <w:spacing w:after="0" w:before="0" w:line="240" w:lineRule="auto"/>
            </w:pPr>
            <w:r/>
            <w:r>
              <w:rPr>
                <w:rFonts w:ascii="Aptos" w:hAnsi="Aptos" w:eastAsia="Aptos"/>
                <w:b/>
                <w:color w:val="FFFFFF"/>
                <w:sz w:val="16"/>
              </w:rPr>
              <w:t>Method</w:t>
            </w:r>
          </w:p>
        </w:tc>
        <w:tc>
          <w:tcPr>
            <w:tcW w:type="dxa" w:w="3240"/>
            <w:vAlign w:val="center"/>
            <w:tcMar>
              <w:top w:w="90" w:type="dxa"/>
              <w:start w:w="100" w:type="dxa"/>
              <w:bottom w:w="90" w:type="dxa"/>
              <w:end w:w="100" w:type="dxa"/>
            </w:tcMar>
            <w:shd w:fill="17365D"/>
          </w:tcPr>
          <w:p>
            <w:pPr>
              <w:spacing w:after="0" w:before="0" w:line="240" w:lineRule="auto"/>
            </w:pPr>
            <w:r/>
            <w:r>
              <w:rPr>
                <w:rFonts w:ascii="Aptos" w:hAnsi="Aptos" w:eastAsia="Aptos"/>
                <w:b/>
                <w:color w:val="FFFFFF"/>
                <w:sz w:val="16"/>
              </w:rPr>
              <w:t>Route</w:t>
            </w:r>
          </w:p>
        </w:tc>
        <w:tc>
          <w:tcPr>
            <w:tcW w:type="dxa" w:w="5256"/>
            <w:vAlign w:val="center"/>
            <w:tcMar>
              <w:top w:w="90" w:type="dxa"/>
              <w:start w:w="100" w:type="dxa"/>
              <w:bottom w:w="90" w:type="dxa"/>
              <w:end w:w="100" w:type="dxa"/>
            </w:tcMar>
            <w:shd w:fill="17365D"/>
          </w:tcPr>
          <w:p>
            <w:pPr>
              <w:spacing w:after="0" w:before="0" w:line="240" w:lineRule="auto"/>
            </w:pPr>
            <w:r/>
            <w:r>
              <w:rPr>
                <w:rFonts w:ascii="Aptos" w:hAnsi="Aptos" w:eastAsia="Aptos"/>
                <w:b/>
                <w:color w:val="FFFFFF"/>
                <w:sz w:val="16"/>
              </w:rPr>
              <w:t>Purpose</w:t>
            </w:r>
          </w:p>
        </w:tc>
      </w:tr>
      <w:tr>
        <w:tc>
          <w:tcPr>
            <w:tcW w:type="dxa" w:w="1080"/>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6"/>
              </w:rPr>
              <w:t>GET</w:t>
            </w:r>
          </w:p>
        </w:tc>
        <w:tc>
          <w:tcPr>
            <w:tcW w:type="dxa" w:w="3240"/>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6"/>
              </w:rPr>
              <w:t>/health</w:t>
            </w:r>
          </w:p>
        </w:tc>
        <w:tc>
          <w:tcPr>
            <w:tcW w:type="dxa" w:w="5256"/>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6"/>
              </w:rPr>
              <w:t>Health/readiness and database connectivity.</w:t>
            </w:r>
          </w:p>
        </w:tc>
      </w:tr>
      <w:tr>
        <w:tc>
          <w:tcPr>
            <w:tcW w:type="dxa" w:w="1080"/>
            <w:vAlign w:val="center"/>
            <w:tcMar>
              <w:top w:w="90" w:type="dxa"/>
              <w:start w:w="100" w:type="dxa"/>
              <w:bottom w:w="90" w:type="dxa"/>
              <w:end w:w="100" w:type="dxa"/>
            </w:tcMar>
            <w:shd w:fill="F4F7FA"/>
          </w:tcPr>
          <w:p>
            <w:pPr>
              <w:spacing w:after="0" w:before="0" w:line="240" w:lineRule="auto"/>
            </w:pPr>
            <w:r/>
            <w:r>
              <w:rPr>
                <w:rFonts w:ascii="Cambria" w:hAnsi="Cambria" w:eastAsia="Cambria"/>
                <w:b/>
                <w:color w:val="273746"/>
                <w:sz w:val="16"/>
              </w:rPr>
              <w:t>POST</w:t>
            </w:r>
          </w:p>
        </w:tc>
        <w:tc>
          <w:tcPr>
            <w:tcW w:type="dxa" w:w="3240"/>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6"/>
              </w:rPr>
              <w:t>/incidents</w:t>
            </w:r>
          </w:p>
        </w:tc>
        <w:tc>
          <w:tcPr>
            <w:tcW w:type="dxa" w:w="5256"/>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6"/>
              </w:rPr>
              <w:t>Create an incident and trigger intake analysis.</w:t>
            </w:r>
          </w:p>
        </w:tc>
      </w:tr>
      <w:tr>
        <w:tc>
          <w:tcPr>
            <w:tcW w:type="dxa" w:w="1080"/>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6"/>
              </w:rPr>
              <w:t>GET</w:t>
            </w:r>
          </w:p>
        </w:tc>
        <w:tc>
          <w:tcPr>
            <w:tcW w:type="dxa" w:w="3240"/>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6"/>
              </w:rPr>
              <w:t>/incidents</w:t>
            </w:r>
          </w:p>
        </w:tc>
        <w:tc>
          <w:tcPr>
            <w:tcW w:type="dxa" w:w="5256"/>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6"/>
              </w:rPr>
              <w:t>List and filter incident records.</w:t>
            </w:r>
          </w:p>
        </w:tc>
      </w:tr>
      <w:tr>
        <w:tc>
          <w:tcPr>
            <w:tcW w:type="dxa" w:w="1080"/>
            <w:vAlign w:val="center"/>
            <w:tcMar>
              <w:top w:w="90" w:type="dxa"/>
              <w:start w:w="100" w:type="dxa"/>
              <w:bottom w:w="90" w:type="dxa"/>
              <w:end w:w="100" w:type="dxa"/>
            </w:tcMar>
            <w:shd w:fill="F4F7FA"/>
          </w:tcPr>
          <w:p>
            <w:pPr>
              <w:spacing w:after="0" w:before="0" w:line="240" w:lineRule="auto"/>
            </w:pPr>
            <w:r/>
            <w:r>
              <w:rPr>
                <w:rFonts w:ascii="Cambria" w:hAnsi="Cambria" w:eastAsia="Cambria"/>
                <w:b/>
                <w:color w:val="273746"/>
                <w:sz w:val="16"/>
              </w:rPr>
              <w:t>GET</w:t>
            </w:r>
          </w:p>
        </w:tc>
        <w:tc>
          <w:tcPr>
            <w:tcW w:type="dxa" w:w="3240"/>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6"/>
              </w:rPr>
              <w:t>/incidents/{id}</w:t>
            </w:r>
          </w:p>
        </w:tc>
        <w:tc>
          <w:tcPr>
            <w:tcW w:type="dxa" w:w="5256"/>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6"/>
              </w:rPr>
              <w:t>Retrieve the Civic Incident Twin and related state.</w:t>
            </w:r>
          </w:p>
        </w:tc>
      </w:tr>
      <w:tr>
        <w:tc>
          <w:tcPr>
            <w:tcW w:type="dxa" w:w="1080"/>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6"/>
              </w:rPr>
              <w:t>GET</w:t>
            </w:r>
          </w:p>
        </w:tc>
        <w:tc>
          <w:tcPr>
            <w:tcW w:type="dxa" w:w="3240"/>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6"/>
              </w:rPr>
              <w:t>/incidents/{id}/audit</w:t>
            </w:r>
          </w:p>
        </w:tc>
        <w:tc>
          <w:tcPr>
            <w:tcW w:type="dxa" w:w="5256"/>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6"/>
              </w:rPr>
              <w:t>Retrieve state and audit history.</w:t>
            </w:r>
          </w:p>
        </w:tc>
      </w:tr>
      <w:tr>
        <w:tc>
          <w:tcPr>
            <w:tcW w:type="dxa" w:w="1080"/>
            <w:vAlign w:val="center"/>
            <w:tcMar>
              <w:top w:w="90" w:type="dxa"/>
              <w:start w:w="100" w:type="dxa"/>
              <w:bottom w:w="90" w:type="dxa"/>
              <w:end w:w="100" w:type="dxa"/>
            </w:tcMar>
            <w:shd w:fill="F4F7FA"/>
          </w:tcPr>
          <w:p>
            <w:pPr>
              <w:spacing w:after="0" w:before="0" w:line="240" w:lineRule="auto"/>
            </w:pPr>
            <w:r/>
            <w:r>
              <w:rPr>
                <w:rFonts w:ascii="Cambria" w:hAnsi="Cambria" w:eastAsia="Cambria"/>
                <w:b/>
                <w:color w:val="273746"/>
                <w:sz w:val="16"/>
              </w:rPr>
              <w:t>POST</w:t>
            </w:r>
          </w:p>
        </w:tc>
        <w:tc>
          <w:tcPr>
            <w:tcW w:type="dxa" w:w="3240"/>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6"/>
              </w:rPr>
              <w:t>/simulation/step</w:t>
            </w:r>
          </w:p>
        </w:tc>
        <w:tc>
          <w:tcPr>
            <w:tcW w:type="dxa" w:w="5256"/>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6"/>
              </w:rPr>
              <w:t>Advance a simulated execution step, with optional obstacle injection.</w:t>
            </w:r>
          </w:p>
        </w:tc>
      </w:tr>
      <w:tr>
        <w:tc>
          <w:tcPr>
            <w:tcW w:type="dxa" w:w="1080"/>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6"/>
              </w:rPr>
              <w:t>POST</w:t>
            </w:r>
          </w:p>
        </w:tc>
        <w:tc>
          <w:tcPr>
            <w:tcW w:type="dxa" w:w="3240"/>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6"/>
              </w:rPr>
              <w:t>/simulation/verify</w:t>
            </w:r>
          </w:p>
        </w:tc>
        <w:tc>
          <w:tcPr>
            <w:tcW w:type="dxa" w:w="5256"/>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6"/>
              </w:rPr>
              <w:t>Submit evidence for the independent closure gate.</w:t>
            </w:r>
          </w:p>
        </w:tc>
      </w:tr>
      <w:tr>
        <w:tc>
          <w:tcPr>
            <w:tcW w:type="dxa" w:w="1080"/>
            <w:vAlign w:val="center"/>
            <w:tcMar>
              <w:top w:w="90" w:type="dxa"/>
              <w:start w:w="100" w:type="dxa"/>
              <w:bottom w:w="90" w:type="dxa"/>
              <w:end w:w="100" w:type="dxa"/>
            </w:tcMar>
            <w:shd w:fill="F4F7FA"/>
          </w:tcPr>
          <w:p>
            <w:pPr>
              <w:spacing w:after="0" w:before="0" w:line="240" w:lineRule="auto"/>
            </w:pPr>
            <w:r/>
            <w:r>
              <w:rPr>
                <w:rFonts w:ascii="Cambria" w:hAnsi="Cambria" w:eastAsia="Cambria"/>
                <w:b/>
                <w:color w:val="273746"/>
                <w:sz w:val="16"/>
              </w:rPr>
              <w:t>POST</w:t>
            </w:r>
          </w:p>
        </w:tc>
        <w:tc>
          <w:tcPr>
            <w:tcW w:type="dxa" w:w="3240"/>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6"/>
              </w:rPr>
              <w:t>/ml/predict</w:t>
            </w:r>
          </w:p>
        </w:tc>
        <w:tc>
          <w:tcPr>
            <w:tcW w:type="dxa" w:w="5256"/>
            <w:vAlign w:val="center"/>
            <w:tcMar>
              <w:top w:w="90" w:type="dxa"/>
              <w:start w:w="100" w:type="dxa"/>
              <w:bottom w:w="90" w:type="dxa"/>
              <w:end w:w="100" w:type="dxa"/>
            </w:tcMar>
            <w:shd w:fill="F4F7FA"/>
          </w:tcPr>
          <w:p>
            <w:pPr>
              <w:spacing w:after="0" w:before="0" w:line="240" w:lineRule="auto"/>
            </w:pPr>
            <w:r/>
            <w:r>
              <w:rPr>
                <w:rFonts w:ascii="Cambria" w:hAnsi="Cambria" w:eastAsia="Cambria"/>
                <w:b w:val="0"/>
                <w:color w:val="273746"/>
                <w:sz w:val="16"/>
              </w:rPr>
              <w:t>Request a category prediction from the NLP classifier.</w:t>
            </w:r>
          </w:p>
        </w:tc>
      </w:tr>
      <w:tr>
        <w:tc>
          <w:tcPr>
            <w:tcW w:type="dxa" w:w="1080"/>
            <w:vAlign w:val="center"/>
            <w:tcMar>
              <w:top w:w="90" w:type="dxa"/>
              <w:start w:w="100" w:type="dxa"/>
              <w:bottom w:w="90" w:type="dxa"/>
              <w:end w:w="100" w:type="dxa"/>
            </w:tcMar>
            <w:shd w:fill="FFFFFF"/>
          </w:tcPr>
          <w:p>
            <w:pPr>
              <w:spacing w:after="0" w:before="0" w:line="240" w:lineRule="auto"/>
            </w:pPr>
            <w:r/>
            <w:r>
              <w:rPr>
                <w:rFonts w:ascii="Cambria" w:hAnsi="Cambria" w:eastAsia="Cambria"/>
                <w:b/>
                <w:color w:val="273746"/>
                <w:sz w:val="16"/>
              </w:rPr>
              <w:t>GET</w:t>
            </w:r>
          </w:p>
        </w:tc>
        <w:tc>
          <w:tcPr>
            <w:tcW w:type="dxa" w:w="3240"/>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6"/>
              </w:rPr>
              <w:t>/ml/metrics</w:t>
            </w:r>
          </w:p>
        </w:tc>
        <w:tc>
          <w:tcPr>
            <w:tcW w:type="dxa" w:w="5256"/>
            <w:vAlign w:val="center"/>
            <w:tcMar>
              <w:top w:w="90" w:type="dxa"/>
              <w:start w:w="100" w:type="dxa"/>
              <w:bottom w:w="90" w:type="dxa"/>
              <w:end w:w="100" w:type="dxa"/>
            </w:tcMar>
            <w:shd w:fill="FFFFFF"/>
          </w:tcPr>
          <w:p>
            <w:pPr>
              <w:spacing w:after="0" w:before="0" w:line="240" w:lineRule="auto"/>
            </w:pPr>
            <w:r/>
            <w:r>
              <w:rPr>
                <w:rFonts w:ascii="Cambria" w:hAnsi="Cambria" w:eastAsia="Cambria"/>
                <w:b w:val="0"/>
                <w:color w:val="273746"/>
                <w:sz w:val="16"/>
              </w:rPr>
              <w:t>Retrieve active evaluation metrics and vocabulary leakage results.</w:t>
            </w:r>
          </w:p>
        </w:tc>
      </w:tr>
    </w:tbl>
    <w:p>
      <w:pPr>
        <w:spacing w:after="20"/>
      </w:pPr>
    </w:p>
    <w:p>
      <w:pPr>
        <w:pStyle w:val="SmallNote"/>
      </w:pPr>
      <w:r>
        <w:t>API paths and behavior are documented in the public repository. This report does not claim that the service is hosted publicly or that the endpoints are reachable outside a local development setup.</w:t>
      </w:r>
    </w:p>
    <w:sectPr w:rsidR="00FC693F" w:rsidRPr="0006063C" w:rsidSect="00034616">
      <w:pgSz w:w="11909" w:h="16834"/>
      <w:pgMar w:top="1037" w:right="1123" w:bottom="1037" w:left="1123" w:header="490" w:footer="504" w:gutter="0"/>
      <w:cols w:space="720"/>
      <w:docGrid w:linePitch="360"/>
      <w:pgBorders w:offsetFrom="text">
        <w:top w:val="single" w:sz="8" w:space="18" w:color="D6E2EE"/>
        <w:left w:val="single" w:sz="8" w:space="18" w:color="D6E2EE"/>
        <w:bottom w:val="single" w:sz="8" w:space="18" w:color="D6E2EE"/>
        <w:right w:val="single" w:sz="8" w:space="18" w:color="D6E2EE"/>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ptos" w:hAnsi="Aptos"/>
        <w:color w:val="667788"/>
        <w:sz w:val="16"/>
      </w:rPr>
      <w:t xml:space="preserve">Symbiosis Institute of Technology, Pune  •  </w:t>
    </w:r>
    <w:r>
      <w:rPr>
        <w:rFonts w:ascii="Aptos" w:hAnsi="Aptos"/>
        <w:color w:val="667788"/>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Bdr>
        <w:bottom w:val="single" w:sz="5" w:space="3" w:color="D6E2EE"/>
      </w:pBdr>
    </w:pPr>
    <w:r>
      <w:rPr>
        <w:rFonts w:ascii="Aptos" w:hAnsi="Aptos"/>
        <w:b/>
        <w:color w:val="2F75A5"/>
        <w:sz w:val="16"/>
      </w:rPr>
      <w:t>JANSETU AI  |  FOUNDATION OF AGENTIC 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mbria" w:hAnsi="Cambria" w:eastAsia="Cambria"/>
      <w:color w:val="2737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2F75A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Aptos"/>
      <w:b/>
      <w:bCs/>
      <w:color w:val="138A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spacing w:before="60" w:after="160"/>
      <w:jc w:val="center"/>
    </w:pPr>
    <w:rPr>
      <w:rFonts w:ascii="Aptos" w:hAnsi="Aptos" w:eastAsia="Aptos"/>
      <w:i/>
      <w:color w:val="667788"/>
      <w:sz w:val="17"/>
    </w:rPr>
  </w:style>
  <w:style w:type="paragraph" w:customStyle="1" w:styleId="SmallNote">
    <w:name w:val="Small Note"/>
    <w:pPr>
      <w:spacing w:after="100"/>
      <w:ind w:left="173" w:right="173"/>
    </w:pPr>
    <w:rPr>
      <w:rFonts w:ascii="Aptos" w:hAnsi="Aptos" w:eastAsia="Aptos"/>
      <w:i/>
      <w:color w:val="66778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JanSetu AI: Adaptive Civic Incident Resolution Platform</dc:title>
  <dc:subject>Foundation of Agentic AI — Project Report</dc:subject>
  <dc:creator>Deshna Nitin Tendulkar; Harshad Agrawal</dc:creator>
  <cp:keywords>JanSetu AI, Agentic AI, LangGraph, civic incident resolution, multi-agent system</cp:keywords>
  <dc:description>generated by python-docx</dc:description>
  <cp:lastModifiedBy/>
  <cp:revision>1</cp:revision>
  <dcterms:created xsi:type="dcterms:W3CDTF">2013-12-23T23:15:00Z</dcterms:created>
  <dcterms:modified xsi:type="dcterms:W3CDTF">2013-12-23T23:15:00Z</dcterms:modified>
  <cp:category/>
</cp:coreProperties>
</file>