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60"/>
      </w:pPr>
      <w:bookmarkStart w:id="0" w:name="_GoBack"/>
      <w:bookmarkEnd w:id="0"/>
      <w:r>
        <w:rPr>
          <w:rFonts w:ascii="Calibri" w:eastAsia="Calibri" w:cs="Calibri" w:hAnsi="Calibri"/>
          <w:b/>
          <w:bCs/>
          <w:color w:val="3730A3"/>
          <w:sz w:val="48"/>
          <w:szCs w:val="48"/>
        </w:rPr>
        <w:t>Demonetisation Impact Explorer</w:t>
      </w:r>
    </w:p>
    <w:p>
      <w:pPr>
        <w:spacing w:after="200"/>
      </w:pPr>
      <w:r>
        <w:rPr>
          <w:rFonts w:ascii="Calibri" w:eastAsia="Calibri" w:cs="Calibri" w:hAnsi="Calibri"/>
          <w:color w:val="6B7280"/>
          <w:sz w:val="24"/>
          <w:szCs w:val="24"/>
        </w:rPr>
        <w:t>Quick briefing: everything in the website, in one place</w:t>
      </w:r>
    </w:p>
    <w:tbl>
      <w:tblPr>
        <w:jc w:val="left"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>
        <w:tc>
          <w:tcPr>
            <w:tcW w:w="90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EEF2FF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Calibri" w:eastAsia="Calibri" w:cs="Calibri" w:hAnsi="Calibri"/>
                <w:b/>
                <w:bCs/>
                <w:sz w:val="22"/>
                <w:szCs w:val="22"/>
              </w:rPr>
              <w:t xml:space="preserve">Remember this one thing. </w:t>
            </w:r>
            <w:r>
              <w:rPr>
                <w:rFonts w:ascii="Calibri" w:eastAsia="Calibri" w:cs="Calibri" w:hAnsi="Calibri"/>
                <w:sz w:val="22"/>
                <w:szCs w:val="22"/>
              </w:rPr>
              <w:t>2016 was demonetisation. 2023 was a withdrawal from circulation, not demonetisation, because the ₹2,000 note stayed legal tender.</w:t>
            </w:r>
          </w:p>
        </w:tc>
      </w:tr>
    </w:tbl>
    <w:p>
      <w:pPr>
        <w:pStyle w:val="16"/>
        <w:spacing w:before="360" w:after="140"/>
      </w:pPr>
      <w:r>
        <w:rPr>
          <w:rFonts w:ascii="Calibri" w:eastAsia="Calibri" w:cs="Calibri" w:hAnsi="Calibri"/>
          <w:b/>
          <w:bCs/>
          <w:color w:val="3730A3"/>
          <w:sz w:val="32"/>
          <w:szCs w:val="32"/>
        </w:rPr>
        <w:t>1. What the website is</w:t>
      </w:r>
    </w:p>
    <w:p>
      <w:pPr>
        <w:spacing w:after="120" w:line="300" w:lineRule="auto"/>
      </w:pPr>
      <w:r>
        <w:rPr>
          <w:rFonts w:ascii="Calibri" w:eastAsia="Calibri" w:cs="Calibri" w:hAnsi="Calibri"/>
          <w:sz w:val="22"/>
          <w:szCs w:val="22"/>
        </w:rPr>
        <w:t>An interactive site (HTML, CSS and JavaScript, no backend) that explains India's demonetisation story: 1946, 1978, 2016 and the 2023 ₹2,000 withdrawal. It answers three questions: what changed, who was affected, and what happened before and after. The FinTech angle is payment systems, banking operations and digital payments.</w:t>
      </w:r>
    </w:p>
    <w:p>
      <w:pPr>
        <w:spacing w:after="120" w:line="300" w:lineRule="auto"/>
      </w:pPr>
      <w:r>
        <w:rPr>
          <w:rFonts w:ascii="Calibri" w:eastAsia="Calibri" w:cs="Calibri" w:hAnsi="Calibri"/>
          <w:b/>
          <w:bCs/>
          <w:sz w:val="22"/>
          <w:szCs w:val="22"/>
        </w:rPr>
        <w:t xml:space="preserve">Open it: </w:t>
      </w:r>
      <w:r>
        <w:rPr>
          <w:rFonts w:ascii="Calibri" w:eastAsia="Calibri" w:cs="Calibri" w:hAnsi="Calibri"/>
          <w:sz w:val="22"/>
          <w:szCs w:val="22"/>
        </w:rPr>
        <w:t>unzip the folder and double-click index.html, or use the live link: https://claude.ai/artifact/QEsVLQoq56MwoDf6L7dPmA</w:t>
      </w:r>
    </w:p>
    <w:p>
      <w:pPr>
        <w:pStyle w:val="16"/>
        <w:spacing w:before="360" w:after="140"/>
      </w:pPr>
      <w:r>
        <w:rPr>
          <w:rFonts w:ascii="Calibri" w:eastAsia="Calibri" w:cs="Calibri" w:hAnsi="Calibri"/>
          <w:b/>
          <w:bCs/>
          <w:color w:val="3730A3"/>
          <w:sz w:val="32"/>
          <w:szCs w:val="32"/>
        </w:rPr>
        <w:t>2. The four events</w:t>
      </w:r>
    </w:p>
    <w:tbl>
      <w:tblPr>
        <w:jc w:val="left"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2600"/>
        <w:gridCol w:w="5526"/>
      </w:tblGrid>
      <w:tr>
        <w:trPr>
          <w:tblHeader/>
        </w:trPr>
        <w:tc>
          <w:tcPr>
            <w:tcW w:w="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E0E7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r>
              <w:rPr>
                <w:rFonts w:ascii="Calibri" w:eastAsia="Calibri" w:cs="Calibri" w:hAnsi="Calibri"/>
                <w:b/>
                <w:bCs/>
                <w:sz w:val="20"/>
                <w:szCs w:val="20"/>
              </w:rPr>
              <w:t>Year</w:t>
            </w:r>
          </w:p>
        </w:tc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E0E7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r>
              <w:rPr>
                <w:rFonts w:ascii="Calibri" w:eastAsia="Calibri" w:cs="Calibri" w:hAnsi="Calibri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55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E0E7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r>
              <w:rPr>
                <w:rFonts w:ascii="Calibri" w:eastAsia="Calibri" w:cs="Calibri" w:hAnsi="Calibri"/>
                <w:b/>
                <w:bCs/>
                <w:sz w:val="20"/>
                <w:szCs w:val="20"/>
              </w:rPr>
              <w:t>Notes involved</w:t>
            </w:r>
          </w:p>
        </w:tc>
      </w:tr>
      <w:tr>
        <w:trPr>
          <w:tblHeader/>
        </w:trPr>
        <w:tc>
          <w:tcPr>
            <w:tcW w:w="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r>
              <w:rPr>
                <w:rFonts w:ascii="Calibri" w:eastAsia="Calibri" w:cs="Calibri" w:hAnsi="Calibri"/>
                <w:b/>
                <w:bCs/>
                <w:sz w:val="20"/>
                <w:szCs w:val="20"/>
              </w:rPr>
              <w:t>1946</w:t>
            </w:r>
          </w:p>
        </w:tc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r>
              <w:rPr>
                <w:rFonts w:ascii="Calibri" w:eastAsia="Calibri" w:cs="Calibri" w:hAnsi="Calibri"/>
                <w:b w:val="0"/>
                <w:bCs w:val="0"/>
                <w:sz w:val="20"/>
                <w:szCs w:val="20"/>
              </w:rPr>
              <w:t>Demonetisation</w:t>
            </w:r>
          </w:p>
        </w:tc>
        <w:tc>
          <w:tcPr>
            <w:tcW w:w="55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r>
              <w:rPr>
                <w:rFonts w:ascii="Calibri" w:eastAsia="Calibri" w:cs="Calibri" w:hAnsi="Calibri"/>
                <w:b w:val="0"/>
                <w:bCs w:val="0"/>
                <w:sz w:val="20"/>
                <w:szCs w:val="20"/>
              </w:rPr>
              <w:t>₹500, ₹1,000, ₹10,000 (12 Jan). Higher denominations came back from 1954.</w:t>
            </w:r>
          </w:p>
        </w:tc>
      </w:tr>
      <w:tr>
        <w:trPr>
          <w:tblHeader/>
        </w:trPr>
        <w:tc>
          <w:tcPr>
            <w:tcW w:w="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r>
              <w:rPr>
                <w:rFonts w:ascii="Calibri" w:eastAsia="Calibri" w:cs="Calibri" w:hAnsi="Calibri"/>
                <w:b/>
                <w:bCs/>
                <w:sz w:val="20"/>
                <w:szCs w:val="20"/>
              </w:rPr>
              <w:t>1978</w:t>
            </w:r>
          </w:p>
        </w:tc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r>
              <w:rPr>
                <w:rFonts w:ascii="Calibri" w:eastAsia="Calibri" w:cs="Calibri" w:hAnsi="Calibri"/>
                <w:b w:val="0"/>
                <w:bCs w:val="0"/>
                <w:sz w:val="20"/>
                <w:szCs w:val="20"/>
              </w:rPr>
              <w:t>Demonetisation</w:t>
            </w:r>
          </w:p>
        </w:tc>
        <w:tc>
          <w:tcPr>
            <w:tcW w:w="55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r>
              <w:rPr>
                <w:rFonts w:ascii="Calibri" w:eastAsia="Calibri" w:cs="Calibri" w:hAnsi="Calibri"/>
                <w:b w:val="0"/>
                <w:bCs w:val="0"/>
                <w:sz w:val="20"/>
                <w:szCs w:val="20"/>
              </w:rPr>
              <w:t>₹1,000, ₹5,000, ₹10,000 (16 Jan). ₹1,000 returned later.</w:t>
            </w:r>
          </w:p>
        </w:tc>
      </w:tr>
      <w:tr>
        <w:trPr>
          <w:tblHeader/>
        </w:trPr>
        <w:tc>
          <w:tcPr>
            <w:tcW w:w="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r>
              <w:rPr>
                <w:rFonts w:ascii="Calibri" w:eastAsia="Calibri" w:cs="Calibri" w:hAnsi="Calibri"/>
                <w:b/>
                <w:bCs/>
                <w:sz w:val="20"/>
                <w:szCs w:val="20"/>
              </w:rPr>
              <w:t>2016</w:t>
            </w:r>
          </w:p>
        </w:tc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r>
              <w:rPr>
                <w:rFonts w:ascii="Calibri" w:eastAsia="Calibri" w:cs="Calibri" w:hAnsi="Calibri"/>
                <w:b w:val="0"/>
                <w:bCs w:val="0"/>
                <w:sz w:val="20"/>
                <w:szCs w:val="20"/>
              </w:rPr>
              <w:t>Demonetisation</w:t>
            </w:r>
          </w:p>
        </w:tc>
        <w:tc>
          <w:tcPr>
            <w:tcW w:w="55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r>
              <w:rPr>
                <w:rFonts w:ascii="Calibri" w:eastAsia="Calibri" w:cs="Calibri" w:hAnsi="Calibri"/>
                <w:b w:val="0"/>
                <w:bCs w:val="0"/>
                <w:sz w:val="20"/>
                <w:szCs w:val="20"/>
              </w:rPr>
              <w:t>₹500 and ₹1,000 (8 Nov). New ₹500 and ₹2,000 notes introduced.</w:t>
            </w:r>
          </w:p>
        </w:tc>
      </w:tr>
      <w:tr>
        <w:trPr>
          <w:tblHeader/>
        </w:trPr>
        <w:tc>
          <w:tcPr>
            <w:tcW w:w="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r>
              <w:rPr>
                <w:rFonts w:ascii="Calibri" w:eastAsia="Calibri" w:cs="Calibri" w:hAnsi="Calibri"/>
                <w:b/>
                <w:bCs/>
                <w:sz w:val="20"/>
                <w:szCs w:val="20"/>
              </w:rPr>
              <w:t>2023</w:t>
            </w:r>
          </w:p>
        </w:tc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r>
              <w:rPr>
                <w:rFonts w:ascii="Calibri" w:eastAsia="Calibri" w:cs="Calibri" w:hAnsi="Calibri"/>
                <w:b w:val="0"/>
                <w:bCs w:val="0"/>
                <w:sz w:val="20"/>
                <w:szCs w:val="20"/>
              </w:rPr>
              <w:t>Withdrawal, not demonetisation</w:t>
            </w:r>
          </w:p>
        </w:tc>
        <w:tc>
          <w:tcPr>
            <w:tcW w:w="55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r>
              <w:rPr>
                <w:rFonts w:ascii="Calibri" w:eastAsia="Calibri" w:cs="Calibri" w:hAnsi="Calibri"/>
                <w:b w:val="0"/>
                <w:bCs w:val="0"/>
                <w:sz w:val="20"/>
                <w:szCs w:val="20"/>
              </w:rPr>
              <w:t>₹2,000 withdrawn from circulation (19 May). Stayed legal tender.</w:t>
            </w:r>
          </w:p>
        </w:tc>
      </w:tr>
    </w:tbl>
    <w:p>
      <w:pPr>
        <w:spacing w:after="80"/>
      </w:pPr>
    </w:p>
    <w:p>
      <w:pPr>
        <w:spacing w:after="120" w:line="300" w:lineRule="auto"/>
      </w:pPr>
      <w:r>
        <w:rPr>
          <w:rFonts w:ascii="Calibri" w:eastAsia="Calibri" w:cs="Calibri" w:hAnsi="Calibri"/>
          <w:b/>
          <w:bCs/>
          <w:sz w:val="22"/>
          <w:szCs w:val="22"/>
        </w:rPr>
        <w:t xml:space="preserve">2016 in short: </w:t>
      </w:r>
      <w:r>
        <w:rPr>
          <w:rFonts w:ascii="Calibri" w:eastAsia="Calibri" w:cs="Calibri" w:hAnsi="Calibri"/>
          <w:sz w:val="22"/>
          <w:szCs w:val="22"/>
        </w:rPr>
        <w:t>8 Nov announcement; 9 Nov banks closed briefly; 10 Nov deposits and exchange began; Nov–Dec withdrawal limits, ATM recalibration, queues and cash shortages; 30 Dec main deposit window ended. Then ₹200 and other new notes came in 2017, and ₹2,000 printing stopped in 2018–19.</w:t>
      </w:r>
    </w:p>
    <w:p>
      <w:pPr>
        <w:spacing w:after="120" w:line="300" w:lineRule="auto"/>
      </w:pPr>
      <w:r>
        <w:rPr>
          <w:rFonts w:ascii="Calibri" w:eastAsia="Calibri" w:cs="Calibri" w:hAnsi="Calibri"/>
          <w:b/>
          <w:bCs/>
          <w:sz w:val="22"/>
          <w:szCs w:val="22"/>
        </w:rPr>
        <w:t xml:space="preserve">2023 in short: </w:t>
      </w:r>
      <w:r>
        <w:rPr>
          <w:rFonts w:ascii="Calibri" w:eastAsia="Calibri" w:cs="Calibri" w:hAnsi="Calibri"/>
          <w:sz w:val="22"/>
          <w:szCs w:val="22"/>
        </w:rPr>
        <w:t>19 May announced; 30 Sept original deadline; 7 Oct extended; 8 Oct normal branch deposit/exchange ended; RBI Issue Offices continued specified services.</w:t>
      </w:r>
    </w:p>
    <w:p>
      <w:pPr>
        <w:pStyle w:val="16"/>
        <w:spacing w:before="360" w:after="140"/>
      </w:pPr>
      <w:r>
        <w:rPr>
          <w:rFonts w:ascii="Calibri" w:eastAsia="Calibri" w:cs="Calibri" w:hAnsi="Calibri"/>
          <w:b/>
          <w:bCs/>
          <w:color w:val="3730A3"/>
          <w:sz w:val="32"/>
          <w:szCs w:val="32"/>
        </w:rPr>
        <w:t>3. The six pages</w:t>
      </w:r>
    </w:p>
    <w:p>
      <w:pPr>
        <w:pStyle w:val="23"/>
        <w:numPr>
          <w:ilvl w:val="0"/>
          <w:numId w:val="1"/>
        </w:numPr>
        <w:spacing w:after="60"/>
      </w:pPr>
      <w:r>
        <w:rPr>
          <w:rFonts w:ascii="Calibri" w:eastAsia="Calibri" w:cs="Calibri" w:hAnsi="Calibri"/>
          <w:b/>
          <w:bCs/>
          <w:sz w:val="22"/>
          <w:szCs w:val="22"/>
        </w:rPr>
        <w:t xml:space="preserve">Overview: </w:t>
      </w:r>
      <w:r>
        <w:rPr>
          <w:rFonts w:ascii="Calibri" w:eastAsia="Calibri" w:cs="Calibri" w:hAnsi="Calibri"/>
          <w:sz w:val="22"/>
          <w:szCs w:val="22"/>
        </w:rPr>
        <w:t>visual 4-point timeline, stat cards, four era cards, and the 2016 vs 2023 note.</w:t>
      </w:r>
    </w:p>
    <w:p>
      <w:pPr>
        <w:pStyle w:val="23"/>
        <w:numPr>
          <w:ilvl w:val="0"/>
          <w:numId w:val="1"/>
        </w:numPr>
        <w:spacing w:after="60"/>
      </w:pPr>
      <w:r>
        <w:rPr>
          <w:rFonts w:ascii="Calibri" w:eastAsia="Calibri" w:cs="Calibri" w:hAnsi="Calibri"/>
          <w:b/>
          <w:bCs/>
          <w:sz w:val="22"/>
          <w:szCs w:val="22"/>
        </w:rPr>
        <w:t xml:space="preserve">Timeline: </w:t>
      </w:r>
      <w:r>
        <w:rPr>
          <w:rFonts w:ascii="Calibri" w:eastAsia="Calibri" w:cs="Calibri" w:hAnsi="Calibri"/>
          <w:sz w:val="22"/>
          <w:szCs w:val="22"/>
        </w:rPr>
        <w:t>click 1946, 1978, 2016 or 2023 to see Before, What happened, Immediate impact and After. 2023 is shown in amber.</w:t>
      </w:r>
    </w:p>
    <w:p>
      <w:pPr>
        <w:pStyle w:val="23"/>
        <w:numPr>
          <w:ilvl w:val="0"/>
          <w:numId w:val="1"/>
        </w:numPr>
        <w:spacing w:after="60"/>
      </w:pPr>
      <w:r>
        <w:rPr>
          <w:rFonts w:ascii="Calibri" w:eastAsia="Calibri" w:cs="Calibri" w:hAnsi="Calibri"/>
          <w:b/>
          <w:bCs/>
          <w:sz w:val="22"/>
          <w:szCs w:val="22"/>
        </w:rPr>
        <w:t xml:space="preserve">Stakeholders: </w:t>
      </w:r>
      <w:r>
        <w:rPr>
          <w:rFonts w:ascii="Calibri" w:eastAsia="Calibri" w:cs="Calibri" w:hAnsi="Calibri"/>
          <w:sz w:val="22"/>
          <w:szCs w:val="22"/>
        </w:rPr>
        <w:t>pick a group (person, merchant, rural worker, bank, cash-intensive group, government) and Before, 2016 or After. The panel changes. A matrix shows kinds of exposure, not winners and losers.</w:t>
      </w:r>
    </w:p>
    <w:p>
      <w:pPr>
        <w:pStyle w:val="23"/>
        <w:numPr>
          <w:ilvl w:val="0"/>
          <w:numId w:val="1"/>
        </w:numPr>
        <w:spacing w:after="60"/>
      </w:pPr>
      <w:r>
        <w:rPr>
          <w:rFonts w:ascii="Calibri" w:eastAsia="Calibri" w:cs="Calibri" w:hAnsi="Calibri"/>
          <w:b/>
          <w:bCs/>
          <w:sz w:val="22"/>
          <w:szCs w:val="22"/>
        </w:rPr>
        <w:t xml:space="preserve">FinTech: </w:t>
      </w:r>
      <w:r>
        <w:rPr>
          <w:rFonts w:ascii="Calibri" w:eastAsia="Calibri" w:cs="Calibri" w:hAnsi="Calibri"/>
          <w:sz w:val="22"/>
          <w:szCs w:val="22"/>
        </w:rPr>
        <w:t>5-step flow: cash economy, 2016 shock, banking system, digital options (cards, wallets, UPI, QR), new payment habits. Also the UPI caveat and why it matters for FinTech.</w:t>
      </w:r>
    </w:p>
    <w:p>
      <w:pPr>
        <w:pStyle w:val="23"/>
        <w:numPr>
          <w:ilvl w:val="0"/>
          <w:numId w:val="1"/>
        </w:numPr>
        <w:spacing w:after="60"/>
      </w:pPr>
      <w:r>
        <w:rPr>
          <w:rFonts w:ascii="Calibri" w:eastAsia="Calibri" w:cs="Calibri" w:hAnsi="Calibri"/>
          <w:b/>
          <w:bCs/>
          <w:sz w:val="22"/>
          <w:szCs w:val="22"/>
        </w:rPr>
        <w:t xml:space="preserve">Analysis: </w:t>
      </w:r>
      <w:r>
        <w:rPr>
          <w:rFonts w:ascii="Calibri" w:eastAsia="Calibri" w:cs="Calibri" w:hAnsi="Calibri"/>
          <w:sz w:val="22"/>
          <w:szCs w:val="22"/>
        </w:rPr>
        <w:t>six lenses: cash, banking, digital payments, business activity, formalisation, currency. Plus a qualitative banking-impact chart.</w:t>
      </w:r>
    </w:p>
    <w:p>
      <w:pPr>
        <w:pStyle w:val="23"/>
        <w:numPr>
          <w:ilvl w:val="0"/>
          <w:numId w:val="1"/>
        </w:numPr>
        <w:spacing w:after="60"/>
      </w:pPr>
      <w:r>
        <w:rPr>
          <w:rFonts w:ascii="Calibri" w:eastAsia="Calibri" w:cs="Calibri" w:hAnsi="Calibri"/>
          <w:b/>
          <w:bCs/>
          <w:sz w:val="22"/>
          <w:szCs w:val="22"/>
        </w:rPr>
        <w:t xml:space="preserve">Sources: </w:t>
      </w:r>
      <w:r>
        <w:rPr>
          <w:rFonts w:ascii="Calibri" w:eastAsia="Calibri" w:cs="Calibri" w:hAnsi="Calibri"/>
          <w:sz w:val="22"/>
          <w:szCs w:val="22"/>
        </w:rPr>
        <w:t>RBI, Economic Survey 2016–17 and NPCI, with links.</w:t>
      </w:r>
    </w:p>
    <w:p>
      <w:pPr>
        <w:pStyle w:val="16"/>
        <w:spacing w:before="360" w:after="140"/>
      </w:pPr>
      <w:r>
        <w:rPr>
          <w:rFonts w:ascii="Calibri" w:eastAsia="Calibri" w:cs="Calibri" w:hAnsi="Calibri"/>
          <w:b/>
          <w:bCs/>
          <w:color w:val="3730A3"/>
          <w:sz w:val="32"/>
          <w:szCs w:val="32"/>
        </w:rPr>
        <w:t>4. Key ideas to be able to explain</w:t>
      </w:r>
    </w:p>
    <w:p>
      <w:pPr>
        <w:pStyle w:val="23"/>
        <w:numPr>
          <w:ilvl w:val="0"/>
          <w:numId w:val="1"/>
        </w:numPr>
        <w:spacing w:after="60"/>
      </w:pPr>
      <w:r>
        <w:rPr>
          <w:rFonts w:ascii="Calibri" w:eastAsia="Calibri" w:cs="Calibri" w:hAnsi="Calibri"/>
          <w:b/>
          <w:bCs/>
          <w:sz w:val="22"/>
          <w:szCs w:val="22"/>
        </w:rPr>
        <w:t xml:space="preserve">Impact was not the same for everyone. </w:t>
      </w:r>
      <w:r>
        <w:rPr>
          <w:rFonts w:ascii="Calibri" w:eastAsia="Calibri" w:cs="Calibri" w:hAnsi="Calibri"/>
          <w:sz w:val="22"/>
          <w:szCs w:val="22"/>
        </w:rPr>
        <w:t>It depended on bank and ATM access, location, digital payment availability and cash dependence.</w:t>
      </w:r>
    </w:p>
    <w:p>
      <w:pPr>
        <w:pStyle w:val="23"/>
        <w:numPr>
          <w:ilvl w:val="0"/>
          <w:numId w:val="1"/>
        </w:numPr>
        <w:spacing w:after="60"/>
      </w:pPr>
      <w:r>
        <w:rPr>
          <w:rFonts w:ascii="Calibri" w:eastAsia="Calibri" w:cs="Calibri" w:hAnsi="Calibri"/>
          <w:b/>
          <w:bCs/>
          <w:sz w:val="22"/>
          <w:szCs w:val="22"/>
        </w:rPr>
        <w:t xml:space="preserve">Banks carried the biggest operational load. </w:t>
      </w:r>
      <w:r>
        <w:rPr>
          <w:rFonts w:ascii="Calibri" w:eastAsia="Calibri" w:cs="Calibri" w:hAnsi="Calibri"/>
          <w:sz w:val="22"/>
          <w:szCs w:val="22"/>
        </w:rPr>
        <w:t>Exchanging notes, counting cash, distributing new notes, liquidity, ATM recalibration and queues.</w:t>
      </w:r>
    </w:p>
    <w:p>
      <w:pPr>
        <w:pStyle w:val="23"/>
        <w:numPr>
          <w:ilvl w:val="0"/>
          <w:numId w:val="1"/>
        </w:numPr>
        <w:spacing w:after="60"/>
      </w:pPr>
      <w:r>
        <w:rPr>
          <w:rFonts w:ascii="Calibri" w:eastAsia="Calibri" w:cs="Calibri" w:hAnsi="Calibri"/>
          <w:b/>
          <w:bCs/>
          <w:sz w:val="22"/>
          <w:szCs w:val="22"/>
        </w:rPr>
        <w:t xml:space="preserve">Wealth, cash holdings and illegal money are not the same thing. </w:t>
      </w:r>
      <w:r>
        <w:rPr>
          <w:rFonts w:ascii="Calibri" w:eastAsia="Calibri" w:cs="Calibri" w:hAnsi="Calibri"/>
          <w:sz w:val="22"/>
          <w:szCs w:val="22"/>
        </w:rPr>
        <w:t>For the cash-intensive group, impact depended on cash held, nature of funds and ability to deposit and explain them.</w:t>
      </w:r>
    </w:p>
    <w:p>
      <w:pPr>
        <w:pStyle w:val="23"/>
        <w:numPr>
          <w:ilvl w:val="0"/>
          <w:numId w:val="1"/>
        </w:numPr>
        <w:spacing w:after="60"/>
      </w:pPr>
      <w:r>
        <w:rPr>
          <w:rFonts w:ascii="Calibri" w:eastAsia="Calibri" w:cs="Calibri" w:hAnsi="Calibri"/>
          <w:b/>
          <w:bCs/>
          <w:sz w:val="22"/>
          <w:szCs w:val="22"/>
        </w:rPr>
        <w:t xml:space="preserve">UPI caveat. </w:t>
      </w:r>
      <w:r>
        <w:rPr>
          <w:rFonts w:ascii="Calibri" w:eastAsia="Calibri" w:cs="Calibri" w:hAnsi="Calibri"/>
          <w:sz w:val="22"/>
          <w:szCs w:val="22"/>
        </w:rPr>
        <w:t>UPI was piloted in April 2016 and went live in August 2016. We treat demonetisation as one event within a broader digital-payment shift, not the sole cause of digital growth.</w:t>
      </w:r>
    </w:p>
    <w:p>
      <w:pPr>
        <w:pStyle w:val="23"/>
        <w:numPr>
          <w:ilvl w:val="0"/>
          <w:numId w:val="1"/>
        </w:numPr>
        <w:spacing w:after="60"/>
      </w:pPr>
      <w:r>
        <w:rPr>
          <w:rFonts w:ascii="Calibri" w:eastAsia="Calibri" w:cs="Calibri" w:hAnsi="Calibri"/>
          <w:b/>
          <w:bCs/>
          <w:sz w:val="22"/>
          <w:szCs w:val="22"/>
        </w:rPr>
        <w:t xml:space="preserve">Government section. </w:t>
      </w:r>
      <w:r>
        <w:rPr>
          <w:rFonts w:ascii="Calibri" w:eastAsia="Calibri" w:cs="Calibri" w:hAnsi="Calibri"/>
          <w:sz w:val="22"/>
          <w:szCs w:val="22"/>
        </w:rPr>
        <w:t>We compare stated objectives, immediate operational impact and longer-term questions, instead of calling the policy good or bad.</w:t>
      </w:r>
    </w:p>
    <w:p>
      <w:pPr>
        <w:pStyle w:val="16"/>
        <w:spacing w:before="360" w:after="140"/>
      </w:pPr>
      <w:r>
        <w:rPr>
          <w:rFonts w:ascii="Calibri" w:eastAsia="Calibri" w:cs="Calibri" w:hAnsi="Calibri"/>
          <w:b/>
          <w:bCs/>
          <w:color w:val="3730A3"/>
          <w:sz w:val="32"/>
          <w:szCs w:val="32"/>
        </w:rPr>
        <w:t>5. The only real numbers</w:t>
      </w:r>
    </w:p>
    <w:tbl>
      <w:tblPr>
        <w:jc w:val="left"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0"/>
        <w:gridCol w:w="5400"/>
        <w:gridCol w:w="2526"/>
      </w:tblGrid>
      <w:tr>
        <w:trPr>
          <w:tblHeader/>
        </w:trPr>
        <w:tc>
          <w:tcPr>
            <w:tcW w:w="11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E0E7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r>
              <w:rPr>
                <w:rFonts w:ascii="Calibri" w:eastAsia="Calibri" w:cs="Calibri" w:hAnsi="Calibri"/>
                <w:b/>
                <w:bCs/>
                <w:sz w:val="20"/>
                <w:szCs w:val="20"/>
              </w:rPr>
              <w:t>Number</w:t>
            </w:r>
          </w:p>
        </w:tc>
        <w:tc>
          <w:tcPr>
            <w:tcW w:w="5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E0E7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r>
              <w:rPr>
                <w:rFonts w:ascii="Calibri" w:eastAsia="Calibri" w:cs="Calibri" w:hAnsi="Calibri"/>
                <w:b/>
                <w:bCs/>
                <w:sz w:val="20"/>
                <w:szCs w:val="20"/>
              </w:rPr>
              <w:t>Meaning</w:t>
            </w:r>
          </w:p>
        </w:tc>
        <w:tc>
          <w:tcPr>
            <w:tcW w:w="25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E0E7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r>
              <w:rPr>
                <w:rFonts w:ascii="Calibri" w:eastAsia="Calibri" w:cs="Calibri" w:hAnsi="Calibri"/>
                <w:b/>
                <w:bCs/>
                <w:sz w:val="20"/>
                <w:szCs w:val="20"/>
              </w:rPr>
              <w:t>Source</w:t>
            </w:r>
          </w:p>
        </w:tc>
      </w:tr>
      <w:tr>
        <w:trPr>
          <w:tblHeader/>
        </w:trPr>
        <w:tc>
          <w:tcPr>
            <w:tcW w:w="11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r>
              <w:rPr>
                <w:rFonts w:ascii="Calibri" w:eastAsia="Calibri" w:cs="Calibri" w:hAnsi="Calibri"/>
                <w:b/>
                <w:bCs/>
                <w:sz w:val="20"/>
                <w:szCs w:val="20"/>
              </w:rPr>
              <w:t>86%</w:t>
            </w:r>
          </w:p>
        </w:tc>
        <w:tc>
          <w:tcPr>
            <w:tcW w:w="5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r>
              <w:rPr>
                <w:rFonts w:ascii="Calibri" w:eastAsia="Calibri" w:cs="Calibri" w:hAnsi="Calibri"/>
                <w:b w:val="0"/>
                <w:bCs w:val="0"/>
                <w:sz w:val="20"/>
                <w:szCs w:val="20"/>
              </w:rPr>
              <w:t>Share of currency value in circulation held in ₹500 and ₹1,000 notes before 8 Nov 2016</w:t>
            </w:r>
          </w:p>
        </w:tc>
        <w:tc>
          <w:tcPr>
            <w:tcW w:w="25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r>
              <w:rPr>
                <w:rFonts w:ascii="Calibri" w:eastAsia="Calibri" w:cs="Calibri" w:hAnsi="Calibri"/>
                <w:b w:val="0"/>
                <w:bCs w:val="0"/>
                <w:sz w:val="20"/>
                <w:szCs w:val="20"/>
              </w:rPr>
              <w:t>Economic Survey 2016–17</w:t>
            </w:r>
          </w:p>
        </w:tc>
      </w:tr>
      <w:tr>
        <w:trPr>
          <w:tblHeader/>
        </w:trPr>
        <w:tc>
          <w:tcPr>
            <w:tcW w:w="11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r>
              <w:rPr>
                <w:rFonts w:ascii="Calibri" w:eastAsia="Calibri" w:cs="Calibri" w:hAnsi="Calibri"/>
                <w:b/>
                <w:bCs/>
                <w:sz w:val="20"/>
                <w:szCs w:val="20"/>
              </w:rPr>
              <w:t>98.12%</w:t>
            </w:r>
          </w:p>
        </w:tc>
        <w:tc>
          <w:tcPr>
            <w:tcW w:w="5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r>
              <w:rPr>
                <w:rFonts w:ascii="Calibri" w:eastAsia="Calibri" w:cs="Calibri" w:hAnsi="Calibri"/>
                <w:b w:val="0"/>
                <w:bCs w:val="0"/>
                <w:sz w:val="20"/>
                <w:szCs w:val="20"/>
              </w:rPr>
              <w:t>Share of value of ₹2,000 notes outstanding on 19 May 2023 that had returned to banks by 31 Dec 2024</w:t>
            </w:r>
          </w:p>
        </w:tc>
        <w:tc>
          <w:tcPr>
            <w:tcW w:w="25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r>
              <w:rPr>
                <w:rFonts w:ascii="Calibri" w:eastAsia="Calibri" w:cs="Calibri" w:hAnsi="Calibri"/>
                <w:b w:val="0"/>
                <w:bCs w:val="0"/>
                <w:sz w:val="20"/>
                <w:szCs w:val="20"/>
              </w:rPr>
              <w:t>RBI</w:t>
            </w:r>
          </w:p>
        </w:tc>
      </w:tr>
    </w:tbl>
    <w:p>
      <w:pPr>
        <w:spacing w:before="100"/>
      </w:pPr>
      <w:r>
        <w:rPr>
          <w:rFonts w:ascii="Calibri" w:eastAsia="Calibri" w:cs="Calibri" w:hAnsi="Calibri"/>
          <w:sz w:val="22"/>
          <w:szCs w:val="22"/>
        </w:rPr>
        <w:t>The banking-impact bars on the Analysis page are labelled “Qualitative indicator — demonstration only”. They are not real percentages. We did not invent any statistics.</w:t>
      </w:r>
    </w:p>
    <w:p>
      <w:pPr>
        <w:pStyle w:val="16"/>
        <w:spacing w:before="360" w:after="140"/>
      </w:pPr>
      <w:r>
        <w:rPr>
          <w:rFonts w:ascii="Calibri" w:eastAsia="Calibri" w:cs="Calibri" w:hAnsi="Calibri"/>
          <w:b/>
          <w:bCs/>
          <w:color w:val="3730A3"/>
          <w:sz w:val="32"/>
          <w:szCs w:val="32"/>
        </w:rPr>
        <w:t>6. Demo click order and who explains</w:t>
      </w:r>
    </w:p>
    <w:tbl>
      <w:tblPr>
        <w:jc w:val="left"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0"/>
        <w:gridCol w:w="2400"/>
        <w:gridCol w:w="5326"/>
      </w:tblGrid>
      <w:tr>
        <w:trPr>
          <w:tblHeader/>
        </w:trPr>
        <w:tc>
          <w:tcPr>
            <w:tcW w:w="1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E0E7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r>
              <w:rPr>
                <w:rFonts w:ascii="Calibri" w:eastAsia="Calibri" w:cs="Calibri" w:hAnsi="Calibri"/>
                <w:b/>
                <w:bCs/>
                <w:sz w:val="20"/>
                <w:szCs w:val="20"/>
              </w:rPr>
              <w:t>Who</w:t>
            </w:r>
          </w:p>
        </w:tc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E0E7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r>
              <w:rPr>
                <w:rFonts w:ascii="Calibri" w:eastAsia="Calibri" w:cs="Calibri" w:hAnsi="Calibri"/>
                <w:b/>
                <w:bCs/>
                <w:sz w:val="20"/>
                <w:szCs w:val="20"/>
              </w:rPr>
              <w:t>Pages</w:t>
            </w:r>
          </w:p>
        </w:tc>
        <w:tc>
          <w:tcPr>
            <w:tcW w:w="53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E0E7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r>
              <w:rPr>
                <w:rFonts w:ascii="Calibri" w:eastAsia="Calibri" w:cs="Calibri" w:hAnsi="Calibri"/>
                <w:b/>
                <w:bCs/>
                <w:sz w:val="20"/>
                <w:szCs w:val="20"/>
              </w:rPr>
              <w:t>Click order</w:t>
            </w:r>
          </w:p>
        </w:tc>
      </w:tr>
      <w:tr>
        <w:trPr>
          <w:tblHeader/>
        </w:trPr>
        <w:tc>
          <w:tcPr>
            <w:tcW w:w="1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r>
              <w:rPr>
                <w:rFonts w:ascii="Calibri" w:eastAsia="Calibri" w:cs="Calibri" w:hAnsi="Calibri"/>
                <w:b/>
                <w:bCs/>
                <w:sz w:val="20"/>
                <w:szCs w:val="20"/>
              </w:rPr>
              <w:t>Member 1</w:t>
            </w:r>
          </w:p>
        </w:tc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r>
              <w:rPr>
                <w:rFonts w:ascii="Calibri" w:eastAsia="Calibri" w:cs="Calibri" w:hAnsi="Calibri"/>
                <w:b w:val="0"/>
                <w:bCs w:val="0"/>
                <w:sz w:val="20"/>
                <w:szCs w:val="20"/>
              </w:rPr>
              <w:t>Overview + Timeline</w:t>
            </w:r>
          </w:p>
        </w:tc>
        <w:tc>
          <w:tcPr>
            <w:tcW w:w="53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r>
              <w:rPr>
                <w:rFonts w:ascii="Calibri" w:eastAsia="Calibri" w:cs="Calibri" w:hAnsi="Calibri"/>
                <w:b w:val="0"/>
                <w:bCs w:val="0"/>
                <w:sz w:val="20"/>
                <w:szCs w:val="20"/>
              </w:rPr>
              <w:t>Overview: point at the 2016 vs 2023 box. Timeline: click 2016 (show the 86% bar), then 2023.</w:t>
            </w:r>
          </w:p>
        </w:tc>
      </w:tr>
      <w:tr>
        <w:trPr>
          <w:tblHeader/>
        </w:trPr>
        <w:tc>
          <w:tcPr>
            <w:tcW w:w="1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r>
              <w:rPr>
                <w:rFonts w:ascii="Calibri" w:eastAsia="Calibri" w:cs="Calibri" w:hAnsi="Calibri"/>
                <w:b/>
                <w:bCs/>
                <w:sz w:val="20"/>
                <w:szCs w:val="20"/>
              </w:rPr>
              <w:t>Member 2</w:t>
            </w:r>
          </w:p>
        </w:tc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r>
              <w:rPr>
                <w:rFonts w:ascii="Calibri" w:eastAsia="Calibri" w:cs="Calibri" w:hAnsi="Calibri"/>
                <w:b w:val="0"/>
                <w:bCs w:val="0"/>
                <w:sz w:val="20"/>
                <w:szCs w:val="20"/>
              </w:rPr>
              <w:t>Stakeholders</w:t>
            </w:r>
          </w:p>
        </w:tc>
        <w:tc>
          <w:tcPr>
            <w:tcW w:w="53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r>
              <w:rPr>
                <w:rFonts w:ascii="Calibri" w:eastAsia="Calibri" w:cs="Calibri" w:hAnsi="Calibri"/>
                <w:b w:val="0"/>
                <w:bCs w:val="0"/>
                <w:sz w:val="20"/>
                <w:szCs w:val="20"/>
              </w:rPr>
              <w:t>Normal Person: Before, 2016, After. Then Bank, then Cash-intensive (read the wealth line). End on the matrix.</w:t>
            </w:r>
          </w:p>
        </w:tc>
      </w:tr>
      <w:tr>
        <w:trPr>
          <w:tblHeader/>
        </w:trPr>
        <w:tc>
          <w:tcPr>
            <w:tcW w:w="1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r>
              <w:rPr>
                <w:rFonts w:ascii="Calibri" w:eastAsia="Calibri" w:cs="Calibri" w:hAnsi="Calibri"/>
                <w:b/>
                <w:bCs/>
                <w:sz w:val="20"/>
                <w:szCs w:val="20"/>
              </w:rPr>
              <w:t>Member 3</w:t>
            </w:r>
          </w:p>
        </w:tc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r>
              <w:rPr>
                <w:rFonts w:ascii="Calibri" w:eastAsia="Calibri" w:cs="Calibri" w:hAnsi="Calibri"/>
                <w:b w:val="0"/>
                <w:bCs w:val="0"/>
                <w:sz w:val="20"/>
                <w:szCs w:val="20"/>
              </w:rPr>
              <w:t>FinTech + Analysis + Sources</w:t>
            </w:r>
          </w:p>
        </w:tc>
        <w:tc>
          <w:tcPr>
            <w:tcW w:w="53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r>
              <w:rPr>
                <w:rFonts w:ascii="Calibri" w:eastAsia="Calibri" w:cs="Calibri" w:hAnsi="Calibri"/>
                <w:b w:val="0"/>
                <w:bCs w:val="0"/>
                <w:sz w:val="20"/>
                <w:szCs w:val="20"/>
              </w:rPr>
              <w:t>Click the 5 steps, read the UPI card, show the six lenses, then Sources and the academic-prototype note.</w:t>
            </w:r>
          </w:p>
        </w:tc>
      </w:tr>
    </w:tbl>
    <w:p>
      <w:pPr>
        <w:spacing w:after="80"/>
      </w:pPr>
    </w:p>
    <w:p>
      <w:pPr>
        <w:spacing w:after="120" w:line="300" w:lineRule="auto"/>
      </w:pPr>
      <w:r>
        <w:rPr>
          <w:rFonts w:ascii="Calibri" w:eastAsia="Calibri" w:cs="Calibri" w:hAnsi="Calibri"/>
          <w:b/>
          <w:bCs/>
          <w:sz w:val="22"/>
          <w:szCs w:val="22"/>
        </w:rPr>
        <w:t xml:space="preserve">Rules we followed: </w:t>
      </w:r>
      <w:r>
        <w:rPr>
          <w:rFonts w:ascii="Calibri" w:eastAsia="Calibri" w:cs="Calibri" w:hAnsi="Calibri"/>
          <w:sz w:val="22"/>
          <w:szCs w:val="22"/>
        </w:rPr>
        <w:t>no fake numbers, no political judgement, no “rich = black money”, no winners and losers, and no claim that demonetisation alone caused digital-payment growth.</w:t>
      </w:r>
    </w:p>
    <w:sectPr>
      <w:pgSz w:w="11906" w:h="16838"/>
      <w:pgMar w:top="1100" w:right="1440" w:bottom="1100" w:left="1440" w:header="708" w:footer="708" w:gutter="0"/>
      <w:pgNumType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HONOR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hybridMultilevel"/>
    <w:tmpl w:val="00000000"/>
    <w:lvl w:ilvl="0">
      <w:start w:val="1"/>
      <w:numFmt w:val="bullet"/>
      <w:lvlRestart w:val="0"/>
      <w:lvlText w:val="•"/>
      <w:lvlJc w:val="left"/>
      <w:pPr>
        <w:tabs>
          <w:tab w:val="num" w:pos="0"/>
        </w:tabs>
        <w:ind w:left="540" w:hanging="270"/>
      </w:pPr>
    </w:lvl>
    <w:lvl w:ilvl="1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2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3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4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5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6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7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num w:numId="1">
    <w:abstractNumId w:val="0"/>
    <w:lvlOverride w:ilvl="0">
      <w:lvl w:ilvl="0">
        <w:start w:val="1"/>
        <w:numFmt w:val="bullet"/>
        <w:lvlRestart w:val="0"/>
        <w:lvlText w:val="•"/>
        <w:lvlJc w:val="left"/>
        <w:pPr>
          <w:tabs>
            <w:tab w:val="num" w:pos="0"/>
          </w:tabs>
          <w:ind w:left="540" w:hanging="270"/>
        </w:pPr>
      </w:lvl>
      <w:startOverride w:val="1"/>
    </w:lvlOverride>
    <w:lvlOverride w:ilvl="1">
      <w:lvl w:ilvl="1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hanging="0"/>
        </w:pPr>
      </w:lvl>
      <w:startOverride w:val="1"/>
    </w:lvlOverride>
    <w:lvlOverride w:ilvl="2">
      <w:lvl w:ilvl="2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hanging="0"/>
        </w:pPr>
      </w:lvl>
      <w:startOverride w:val="1"/>
    </w:lvlOverride>
    <w:lvlOverride w:ilvl="3">
      <w:lvl w:ilvl="3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hanging="0"/>
        </w:pPr>
      </w:lvl>
      <w:startOverride w:val="1"/>
    </w:lvlOverride>
    <w:lvlOverride w:ilvl="4">
      <w:lvl w:ilvl="4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hanging="0"/>
        </w:pPr>
      </w:lvl>
      <w:startOverride w:val="1"/>
    </w:lvlOverride>
    <w:lvlOverride w:ilvl="5">
      <w:lvl w:ilvl="5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hanging="0"/>
        </w:pPr>
      </w:lvl>
      <w:startOverride w:val="1"/>
    </w:lvlOverride>
    <w:lvlOverride w:ilvl="6">
      <w:lvl w:ilvl="6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hanging="0"/>
        </w:pPr>
      </w:lvl>
      <w:startOverride w:val="1"/>
    </w:lvlOverride>
    <w:lvlOverride w:ilvl="7">
      <w:lvl w:ilvl="7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hanging="0"/>
        </w:pPr>
      </w:lvl>
      <w:startOverride w:val="1"/>
    </w:lvlOverride>
    <w:lvlOverride w:ilvl="8">
      <w:lvl w:ilvl="8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hanging="0"/>
        </w:pPr>
      </w:lvl>
      <w:startOverride w:val="1"/>
    </w:lvlOverride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200"/>
  <w:displayBackgroundShape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HONOR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Title"/>
    <w:rPr>
      <w:rFonts w:ascii="Calibri" w:eastAsia="Calibri" w:cs="Calibri" w:hAnsi="Calibri"/>
      <w:sz w:val="56"/>
      <w:szCs w:val="56"/>
    </w:rPr>
  </w:style>
  <w:style w:type="paragraph" w:customStyle="1" w:styleId="16">
    <w:name w:val="Heading 1"/>
    <w:rPr>
      <w:rFonts w:ascii="Calibri" w:eastAsia="Calibri" w:cs="Calibri" w:hAnsi="Calibri"/>
      <w:color w:val="2E74B5"/>
      <w:sz w:val="32"/>
      <w:szCs w:val="32"/>
    </w:rPr>
  </w:style>
  <w:style w:type="paragraph" w:customStyle="1" w:styleId="17">
    <w:name w:val="Heading 2"/>
    <w:rPr>
      <w:rFonts w:ascii="Calibri" w:eastAsia="Calibri" w:cs="Calibri" w:hAnsi="Calibri"/>
      <w:color w:val="2E74B5"/>
      <w:sz w:val="26"/>
      <w:szCs w:val="26"/>
    </w:rPr>
  </w:style>
  <w:style w:type="paragraph" w:customStyle="1" w:styleId="18">
    <w:name w:val="Heading 3"/>
    <w:rPr>
      <w:rFonts w:ascii="Calibri" w:eastAsia="Calibri" w:cs="Calibri" w:hAnsi="Calibri"/>
      <w:color w:val="1F4D78"/>
      <w:sz w:val="24"/>
      <w:szCs w:val="24"/>
    </w:rPr>
  </w:style>
  <w:style w:type="paragraph" w:customStyle="1" w:styleId="19">
    <w:name w:val="Heading 4"/>
    <w:rPr>
      <w:rFonts w:ascii="Calibri" w:eastAsia="Calibri" w:cs="Calibri" w:hAnsi="Calibri"/>
      <w:i/>
      <w:iCs/>
      <w:color w:val="2E74B5"/>
      <w:sz w:val="22"/>
      <w:szCs w:val="22"/>
    </w:rPr>
  </w:style>
  <w:style w:type="paragraph" w:customStyle="1" w:styleId="20">
    <w:name w:val="Heading 5"/>
    <w:rPr>
      <w:rFonts w:ascii="Calibri" w:eastAsia="Calibri" w:cs="Calibri" w:hAnsi="Calibri"/>
      <w:color w:val="2E74B5"/>
      <w:sz w:val="22"/>
      <w:szCs w:val="22"/>
    </w:rPr>
  </w:style>
  <w:style w:type="paragraph" w:customStyle="1" w:styleId="21">
    <w:name w:val="Heading 6"/>
    <w:rPr>
      <w:rFonts w:ascii="Calibri" w:eastAsia="Calibri" w:cs="Calibri" w:hAnsi="Calibri"/>
      <w:color w:val="1F4D78"/>
      <w:sz w:val="22"/>
      <w:szCs w:val="22"/>
    </w:rPr>
  </w:style>
  <w:style w:type="paragraph" w:styleId="22">
    <w:name w:val="Strong"/>
    <w:rPr>
      <w:rFonts w:ascii="Calibri" w:eastAsia="Calibri" w:cs="Calibri" w:hAnsi="Calibri"/>
      <w:b/>
      <w:bCs/>
      <w:sz w:val="22"/>
      <w:szCs w:val="22"/>
    </w:rPr>
  </w:style>
  <w:style w:type="paragraph" w:customStyle="1" w:styleId="23">
    <w:name w:val="List Paragraph"/>
    <w:rPr>
      <w:rFonts w:ascii="Calibri" w:eastAsia="Calibri" w:cs="Calibri" w:hAnsi="Calibri"/>
      <w:sz w:val="22"/>
      <w:szCs w:val="22"/>
    </w:rPr>
  </w:style>
  <w:style w:type="character" w:styleId="24">
    <w:name w:val="Hyperlink"/>
    <w:rPr>
      <w:color w:val="0563C1"/>
      <w:u w:val="single"/>
    </w:rPr>
  </w:style>
  <w:style w:type="character" w:styleId="25">
    <w:name w:val="footnote reference"/>
    <w:rPr>
      <w:vertAlign w:val="superscript"/>
    </w:rPr>
  </w:style>
  <w:style w:type="paragraph" w:styleId="26">
    <w:name w:val="footnote text"/>
    <w:pPr>
      <w:spacing w:after="0" w:line="240" w:lineRule="auto"/>
    </w:pPr>
    <w:rPr>
      <w:rFonts w:ascii="Calibri" w:eastAsia="Calibri" w:cs="Calibri" w:hAnsi="Calibri"/>
      <w:sz w:val="20"/>
      <w:szCs w:val="20"/>
    </w:rPr>
  </w:style>
  <w:style w:type="character" w:styleId="27">
    <w:name w:val="endnote reference"/>
    <w:rPr>
      <w:vertAlign w:val="superscript"/>
    </w:rPr>
  </w:style>
  <w:style w:type="paragraph" w:styleId="28">
    <w:name w:val="endnote text"/>
    <w:pPr>
      <w:spacing w:after="0" w:line="240" w:lineRule="auto"/>
    </w:pPr>
    <w:rPr>
      <w:rFonts w:ascii="Calibri" w:eastAsia="Calibri" w:cs="Calibri" w:hAnsi="Calibri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Honor_Office</Application>
  <Pages>2</Pages>
  <Words>695</Words>
  <Characters>3642</Characters>
  <Lines>102</Lines>
  <Paragraphs>62</Paragraphs>
  <CharactersWithSpaces>4253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Un-named</dc:creator>
  <cp:lastModifiedBy>HONOR Docs</cp:lastModifiedBy>
  <cp:revision>1</cp:revision>
  <dcterms:created xsi:type="dcterms:W3CDTF">2026-10-03T09:24:37Z</dcterms:created>
  <dcterms:modified xsi:type="dcterms:W3CDTF">2026-10-03T06:56:43Z</dcterms:modified>
</cp:coreProperties>
</file>