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D3CC" w14:textId="77777777" w:rsidR="005D1758" w:rsidRDefault="005D1758">
      <w:pPr>
        <w:spacing w:after="600"/>
      </w:pPr>
    </w:p>
    <w:p w14:paraId="2A610610" w14:textId="77777777" w:rsidR="005D1758" w:rsidRDefault="00000000">
      <w:pPr>
        <w:spacing w:after="120"/>
        <w:jc w:val="center"/>
      </w:pPr>
      <w:r>
        <w:rPr>
          <w:b/>
          <w:bCs/>
          <w:color w:val="0D2137"/>
          <w:sz w:val="80"/>
          <w:szCs w:val="80"/>
        </w:rPr>
        <w:t>NVIDIA vs INTEL</w:t>
      </w:r>
    </w:p>
    <w:p w14:paraId="67325C31" w14:textId="77777777" w:rsidR="005D1758" w:rsidRDefault="00000000">
      <w:pPr>
        <w:spacing w:after="80"/>
        <w:jc w:val="center"/>
      </w:pPr>
      <w:r>
        <w:rPr>
          <w:b/>
          <w:bCs/>
          <w:color w:val="1B5E20"/>
          <w:sz w:val="48"/>
          <w:szCs w:val="48"/>
        </w:rPr>
        <w:t>A Tale of Two Strategies</w:t>
      </w:r>
    </w:p>
    <w:p w14:paraId="1207AF7A" w14:textId="77777777" w:rsidR="005D1758" w:rsidRDefault="005D1758">
      <w:pPr>
        <w:pBdr>
          <w:bottom w:val="single" w:sz="6" w:space="0" w:color="1B5E20"/>
        </w:pBdr>
      </w:pPr>
    </w:p>
    <w:p w14:paraId="4BE38F78" w14:textId="77777777" w:rsidR="005D1758" w:rsidRDefault="005D1758">
      <w:pPr>
        <w:spacing w:after="80"/>
      </w:pPr>
    </w:p>
    <w:p w14:paraId="7403D89D" w14:textId="77777777" w:rsidR="005D1758" w:rsidRDefault="00000000">
      <w:pPr>
        <w:spacing w:after="480"/>
        <w:jc w:val="center"/>
      </w:pPr>
      <w:r>
        <w:rPr>
          <w:i/>
          <w:iCs/>
          <w:color w:val="555555"/>
          <w:sz w:val="26"/>
          <w:szCs w:val="26"/>
        </w:rPr>
        <w:t>How one company saw the future coming and another watched it pass them 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240"/>
        <w:gridCol w:w="4560"/>
      </w:tblGrid>
      <w:tr w:rsidR="005D1758" w14:paraId="0781A985" w14:textId="77777777">
        <w:tc>
          <w:tcPr>
            <w:tcW w:w="4560" w:type="dxa"/>
            <w:tcBorders>
              <w:top w:val="none" w:sz="0" w:space="0" w:color="FFFFFF"/>
              <w:left w:val="none" w:sz="0" w:space="0" w:color="FFFFFF"/>
              <w:bottom w:val="none" w:sz="0" w:space="0" w:color="FFFFFF"/>
              <w:right w:val="none" w:sz="0" w:space="0" w:color="FFFFFF"/>
            </w:tcBorders>
            <w:shd w:val="clear" w:color="auto" w:fill="E8F5E9"/>
            <w:tcMar>
              <w:top w:w="200" w:type="dxa"/>
              <w:left w:w="240" w:type="dxa"/>
              <w:bottom w:w="200" w:type="dxa"/>
              <w:right w:w="240" w:type="dxa"/>
            </w:tcMar>
          </w:tcPr>
          <w:p w14:paraId="529A0010" w14:textId="77777777" w:rsidR="005D1758" w:rsidRDefault="00000000">
            <w:pPr>
              <w:spacing w:after="80"/>
            </w:pPr>
            <w:r>
              <w:rPr>
                <w:b/>
                <w:bCs/>
                <w:color w:val="1B5E20"/>
              </w:rPr>
              <w:t>✅ Case Study 1 — Adapt &amp; Triumph</w:t>
            </w:r>
          </w:p>
          <w:p w14:paraId="7901378E" w14:textId="77777777" w:rsidR="005D1758" w:rsidRDefault="00000000">
            <w:pPr>
              <w:spacing w:after="60"/>
            </w:pPr>
            <w:r>
              <w:rPr>
                <w:sz w:val="20"/>
                <w:szCs w:val="20"/>
              </w:rPr>
              <w:t>Company: NVIDIA Corporation</w:t>
            </w:r>
          </w:p>
          <w:p w14:paraId="3EBD494F" w14:textId="77777777" w:rsidR="005D1758" w:rsidRDefault="00000000">
            <w:pPr>
              <w:spacing w:after="60"/>
            </w:pPr>
            <w:r>
              <w:rPr>
                <w:sz w:val="20"/>
                <w:szCs w:val="20"/>
              </w:rPr>
              <w:t>Period: 2014 – 2025</w:t>
            </w:r>
          </w:p>
          <w:p w14:paraId="7EB225F3" w14:textId="77777777" w:rsidR="005D1758" w:rsidRDefault="00000000">
            <w:pPr>
              <w:spacing w:after="60"/>
            </w:pPr>
            <w:r>
              <w:rPr>
                <w:sz w:val="20"/>
                <w:szCs w:val="20"/>
              </w:rPr>
              <w:t>Net Income Growth: +16,857%</w:t>
            </w:r>
          </w:p>
          <w:p w14:paraId="1366DBB5" w14:textId="77777777" w:rsidR="005D1758" w:rsidRDefault="00000000">
            <w:pPr>
              <w:spacing w:after="60"/>
            </w:pPr>
            <w:r>
              <w:rPr>
                <w:sz w:val="20"/>
                <w:szCs w:val="20"/>
              </w:rPr>
              <w:t>Verdict: Textbook transformation</w:t>
            </w:r>
          </w:p>
        </w:tc>
        <w:tc>
          <w:tcPr>
            <w:tcW w:w="240" w:type="dxa"/>
            <w:tcBorders>
              <w:top w:val="none" w:sz="0" w:space="0" w:color="FFFFFF"/>
              <w:left w:val="none" w:sz="0" w:space="0" w:color="FFFFFF"/>
              <w:bottom w:val="none" w:sz="0" w:space="0" w:color="FFFFFF"/>
              <w:right w:val="none" w:sz="0" w:space="0" w:color="FFFFFF"/>
            </w:tcBorders>
          </w:tcPr>
          <w:p w14:paraId="6C076F1D" w14:textId="77777777" w:rsidR="005D1758" w:rsidRDefault="005D1758"/>
        </w:tc>
        <w:tc>
          <w:tcPr>
            <w:tcW w:w="4560" w:type="dxa"/>
            <w:tcBorders>
              <w:top w:val="none" w:sz="0" w:space="0" w:color="FFFFFF"/>
              <w:left w:val="none" w:sz="0" w:space="0" w:color="FFFFFF"/>
              <w:bottom w:val="none" w:sz="0" w:space="0" w:color="FFFFFF"/>
              <w:right w:val="none" w:sz="0" w:space="0" w:color="FFFFFF"/>
            </w:tcBorders>
            <w:shd w:val="clear" w:color="auto" w:fill="FFF3F3"/>
            <w:tcMar>
              <w:top w:w="200" w:type="dxa"/>
              <w:left w:w="240" w:type="dxa"/>
              <w:bottom w:w="200" w:type="dxa"/>
              <w:right w:w="240" w:type="dxa"/>
            </w:tcMar>
          </w:tcPr>
          <w:p w14:paraId="743EACDC" w14:textId="77777777" w:rsidR="005D1758" w:rsidRDefault="00000000">
            <w:pPr>
              <w:spacing w:after="80"/>
            </w:pPr>
            <w:r>
              <w:rPr>
                <w:b/>
                <w:bCs/>
                <w:color w:val="7B1515"/>
              </w:rPr>
              <w:t>⚠️ Case Study 2 — Failure to Adapt</w:t>
            </w:r>
          </w:p>
          <w:p w14:paraId="237A618B" w14:textId="77777777" w:rsidR="005D1758" w:rsidRDefault="00000000">
            <w:pPr>
              <w:spacing w:after="60"/>
            </w:pPr>
            <w:r>
              <w:rPr>
                <w:sz w:val="20"/>
                <w:szCs w:val="20"/>
              </w:rPr>
              <w:t>Company: Intel Corporation</w:t>
            </w:r>
          </w:p>
          <w:p w14:paraId="28FCE172" w14:textId="77777777" w:rsidR="005D1758" w:rsidRDefault="00000000">
            <w:pPr>
              <w:spacing w:after="60"/>
            </w:pPr>
            <w:r>
              <w:rPr>
                <w:sz w:val="20"/>
                <w:szCs w:val="20"/>
              </w:rPr>
              <w:t>Period: 2014 – 2025</w:t>
            </w:r>
          </w:p>
          <w:p w14:paraId="0861A4FD" w14:textId="77777777" w:rsidR="005D1758" w:rsidRDefault="00000000">
            <w:pPr>
              <w:spacing w:after="60"/>
            </w:pPr>
            <w:r>
              <w:rPr>
                <w:sz w:val="20"/>
                <w:szCs w:val="20"/>
              </w:rPr>
              <w:t>Net Income: From $11.7B to a net loss</w:t>
            </w:r>
          </w:p>
          <w:p w14:paraId="250337D5" w14:textId="77777777" w:rsidR="005D1758" w:rsidRDefault="00000000">
            <w:pPr>
              <w:spacing w:after="60"/>
            </w:pPr>
            <w:r>
              <w:rPr>
                <w:sz w:val="20"/>
                <w:szCs w:val="20"/>
              </w:rPr>
              <w:t>Verdict: Innovator's Dilemma in real time</w:t>
            </w:r>
          </w:p>
        </w:tc>
      </w:tr>
    </w:tbl>
    <w:p w14:paraId="1450FD34" w14:textId="77777777" w:rsidR="005D1758" w:rsidRDefault="005D1758">
      <w:pPr>
        <w:spacing w:after="60"/>
      </w:pPr>
    </w:p>
    <w:p w14:paraId="020E7BFA" w14:textId="77777777" w:rsidR="005D1758" w:rsidRDefault="005D1758">
      <w:pPr>
        <w:spacing w:after="60"/>
      </w:pPr>
    </w:p>
    <w:p w14:paraId="00B6CF43" w14:textId="77777777" w:rsidR="005D1758" w:rsidRDefault="00000000">
      <w:pPr>
        <w:spacing w:after="40"/>
        <w:jc w:val="center"/>
      </w:pPr>
      <w:r>
        <w:rPr>
          <w:i/>
          <w:iCs/>
          <w:color w:val="555555"/>
          <w:sz w:val="20"/>
          <w:szCs w:val="20"/>
        </w:rPr>
        <w:t>Prepared for: Grayce Data Consultant Interview</w:t>
      </w:r>
    </w:p>
    <w:p w14:paraId="0039DB9E" w14:textId="26A5DC70" w:rsidR="005D1758" w:rsidRDefault="00000000">
      <w:pPr>
        <w:jc w:val="center"/>
      </w:pPr>
      <w:r>
        <w:rPr>
          <w:i/>
          <w:iCs/>
          <w:color w:val="555555"/>
          <w:sz w:val="18"/>
          <w:szCs w:val="18"/>
        </w:rPr>
        <w:t>Data Source: Macrotrends.ne | Analysis Tools: Microsoft Excel (Pivot Tables, CAGR, YoY Growth, Rolling Averages, Growth Index)</w:t>
      </w:r>
    </w:p>
    <w:p w14:paraId="46AAEF32" w14:textId="77777777" w:rsidR="005D1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1758" w14:paraId="404BA513" w14:textId="77777777">
        <w:tc>
          <w:tcPr>
            <w:tcW w:w="1200" w:type="dxa"/>
            <w:tcBorders>
              <w:top w:val="none" w:sz="0" w:space="0" w:color="FFFFFF"/>
              <w:left w:val="none" w:sz="0" w:space="0" w:color="FFFFFF"/>
              <w:bottom w:val="none" w:sz="0" w:space="0" w:color="FFFFFF"/>
              <w:right w:val="none" w:sz="0" w:space="0" w:color="FFFFFF"/>
            </w:tcBorders>
            <w:shd w:val="clear" w:color="auto" w:fill="0D2137"/>
            <w:tcMar>
              <w:top w:w="160" w:type="dxa"/>
              <w:left w:w="180" w:type="dxa"/>
              <w:bottom w:w="160" w:type="dxa"/>
              <w:right w:w="180" w:type="dxa"/>
            </w:tcMar>
            <w:vAlign w:val="center"/>
          </w:tcPr>
          <w:p w14:paraId="26A71DB9" w14:textId="77777777" w:rsidR="005D1758" w:rsidRDefault="00000000">
            <w:pPr>
              <w:jc w:val="center"/>
            </w:pPr>
            <w:r>
              <w:rPr>
                <w:b/>
                <w:bCs/>
                <w:color w:val="FFFFFF"/>
                <w:sz w:val="52"/>
                <w:szCs w:val="52"/>
              </w:rPr>
              <w:lastRenderedPageBreak/>
              <w:t>ES</w:t>
            </w:r>
          </w:p>
        </w:tc>
        <w:tc>
          <w:tcPr>
            <w:tcW w:w="8160" w:type="dxa"/>
            <w:tcBorders>
              <w:top w:val="none" w:sz="0" w:space="0" w:color="FFFFFF"/>
              <w:left w:val="none" w:sz="0" w:space="0" w:color="FFFFFF"/>
              <w:bottom w:val="none" w:sz="0" w:space="0" w:color="FFFFFF"/>
              <w:right w:val="none" w:sz="0" w:space="0" w:color="FFFFFF"/>
            </w:tcBorders>
            <w:shd w:val="clear" w:color="auto" w:fill="F8F8F8"/>
            <w:tcMar>
              <w:top w:w="120" w:type="dxa"/>
              <w:left w:w="280" w:type="dxa"/>
              <w:bottom w:w="120" w:type="dxa"/>
              <w:right w:w="180" w:type="dxa"/>
            </w:tcMar>
          </w:tcPr>
          <w:p w14:paraId="742C18D2" w14:textId="77777777" w:rsidR="005D1758" w:rsidRDefault="00000000">
            <w:r>
              <w:rPr>
                <w:b/>
                <w:bCs/>
                <w:color w:val="0D2137"/>
                <w:sz w:val="32"/>
                <w:szCs w:val="32"/>
              </w:rPr>
              <w:t>EXECUTIVE SUMMARY</w:t>
            </w:r>
          </w:p>
          <w:p w14:paraId="5AC12F97" w14:textId="77777777" w:rsidR="005D1758" w:rsidRDefault="00000000">
            <w:r>
              <w:rPr>
                <w:i/>
                <w:iCs/>
                <w:color w:val="555555"/>
                <w:sz w:val="20"/>
                <w:szCs w:val="20"/>
              </w:rPr>
              <w:t>The short version of a ten-year divergence</w:t>
            </w:r>
          </w:p>
        </w:tc>
      </w:tr>
    </w:tbl>
    <w:p w14:paraId="31088EFD" w14:textId="77777777" w:rsidR="005D1758" w:rsidRDefault="005D1758">
      <w:pPr>
        <w:spacing w:after="60"/>
      </w:pPr>
    </w:p>
    <w:p w14:paraId="30624585" w14:textId="77777777" w:rsidR="005D1758" w:rsidRDefault="00000000">
      <w:pPr>
        <w:spacing w:after="140"/>
        <w:jc w:val="both"/>
      </w:pPr>
      <w:r>
        <w:t>In the span of a single decade, two semiconductor giants — once separated by barely a few billion dollars in profit — ended up in completely different universes. By 2025, one was printing $99 billion in net income and being spoken of in the same breath as Apple and Microsoft as a company that had reshaped the global economy. The other had just reported its second consecutive year of net losses and was fighting for its survival as an independent business.</w:t>
      </w:r>
    </w:p>
    <w:p w14:paraId="4511CF57" w14:textId="77777777" w:rsidR="005D1758" w:rsidRDefault="005D1758">
      <w:pPr>
        <w:spacing w:after="60"/>
      </w:pPr>
    </w:p>
    <w:p w14:paraId="574C1625" w14:textId="77777777" w:rsidR="005D1758" w:rsidRDefault="00000000">
      <w:pPr>
        <w:spacing w:after="140"/>
        <w:jc w:val="both"/>
      </w:pPr>
      <w:r>
        <w:t>This case study traces that divergence. It is a story about what happens when a company makes a bold, patient, and visionary bet on the future — and what happens when a company, despite all its history, resources, and talent, fails to adapt to a world that has fundamentally changed around it.</w:t>
      </w:r>
    </w:p>
    <w:p w14:paraId="1CFA659B" w14:textId="77777777" w:rsidR="005D1758" w:rsidRDefault="005D1758">
      <w:pPr>
        <w:spacing w:after="60"/>
      </w:pPr>
    </w:p>
    <w:p w14:paraId="4D18AED2" w14:textId="77777777" w:rsidR="005D1758" w:rsidRDefault="00000000">
      <w:pPr>
        <w:spacing w:after="140"/>
        <w:jc w:val="both"/>
      </w:pPr>
      <w:r>
        <w:rPr>
          <w:b/>
          <w:bCs/>
        </w:rPr>
        <w:t>NVIDIA</w:t>
      </w:r>
      <w:r>
        <w:t xml:space="preserve"> began this period as a $585 million net income company, primarily known for making graphics chips for video games. By 2025 it had grown to $99.2 billion in net income — a Compound Annual Growth Rate of </w:t>
      </w:r>
      <w:r>
        <w:rPr>
          <w:b/>
          <w:bCs/>
        </w:rPr>
        <w:t>59.5%</w:t>
      </w:r>
      <w:r>
        <w:t xml:space="preserve"> over eleven years. Its gross profit rose from $2.5 billion to $131 billion. This is not organic drift. This is the result of a deliberate strategy, executed with extraordinary discipline.</w:t>
      </w:r>
    </w:p>
    <w:p w14:paraId="46F77B04" w14:textId="77777777" w:rsidR="005D1758" w:rsidRDefault="005D1758">
      <w:pPr>
        <w:spacing w:after="60"/>
      </w:pPr>
    </w:p>
    <w:p w14:paraId="1F37224B" w14:textId="77777777" w:rsidR="005D1758" w:rsidRDefault="00000000">
      <w:pPr>
        <w:spacing w:after="140"/>
        <w:jc w:val="both"/>
      </w:pPr>
      <w:r>
        <w:rPr>
          <w:b/>
          <w:bCs/>
        </w:rPr>
        <w:t>Intel</w:t>
      </w:r>
      <w:r>
        <w:t xml:space="preserve"> began the same period generating $11.7 billion in net income — nearly </w:t>
      </w:r>
      <w:r>
        <w:rPr>
          <w:b/>
          <w:bCs/>
        </w:rPr>
        <w:t>twenty times</w:t>
      </w:r>
      <w:r>
        <w:t xml:space="preserve"> what NVIDIA was making. It had dominant market share in CPUs, billions in free cash flow, and the most recognised brand in semiconductors. By 2025 it had a net loss of $267 million. Gross profit had almost halved. Its CEO had been forced out by the board mid-turnaround, and the company was publicly contemplating breaking itself apart.</w:t>
      </w:r>
    </w:p>
    <w:p w14:paraId="212B68EC" w14:textId="77777777" w:rsidR="005D1758" w:rsidRDefault="005D17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5D1758" w14:paraId="42037AEE" w14:textId="77777777">
        <w:tc>
          <w:tcPr>
            <w:tcW w:w="240" w:type="dxa"/>
            <w:tcBorders>
              <w:top w:val="none" w:sz="0" w:space="0" w:color="FFFFFF"/>
              <w:left w:val="none" w:sz="0" w:space="0" w:color="FFFFFF"/>
              <w:bottom w:val="none" w:sz="0" w:space="0" w:color="FFFFFF"/>
              <w:right w:val="none" w:sz="0" w:space="0" w:color="FFFFFF"/>
            </w:tcBorders>
            <w:shd w:val="clear" w:color="auto" w:fill="006064"/>
          </w:tcPr>
          <w:p w14:paraId="1964D8C3" w14:textId="77777777" w:rsidR="005D1758" w:rsidRDefault="005D1758"/>
        </w:tc>
        <w:tc>
          <w:tcPr>
            <w:tcW w:w="9120" w:type="dxa"/>
            <w:tcBorders>
              <w:top w:val="none" w:sz="0" w:space="0" w:color="FFFFFF"/>
              <w:left w:val="none" w:sz="0" w:space="0" w:color="FFFFFF"/>
              <w:bottom w:val="none" w:sz="0" w:space="0" w:color="FFFFFF"/>
              <w:right w:val="none" w:sz="0" w:space="0" w:color="FFFFFF"/>
            </w:tcBorders>
            <w:shd w:val="clear" w:color="auto" w:fill="E0F7FA"/>
            <w:tcMar>
              <w:top w:w="160" w:type="dxa"/>
              <w:left w:w="280" w:type="dxa"/>
              <w:bottom w:w="160" w:type="dxa"/>
              <w:right w:w="280" w:type="dxa"/>
            </w:tcMar>
          </w:tcPr>
          <w:p w14:paraId="4CDC7F11" w14:textId="77777777" w:rsidR="005D1758" w:rsidRDefault="00000000">
            <w:pPr>
              <w:jc w:val="both"/>
            </w:pPr>
            <w:r>
              <w:rPr>
                <w:i/>
                <w:iCs/>
              </w:rPr>
              <w:t>The most important question this case study asks is not "what went right for NVIDIA?" or "what went wrong for Intel?" — it is: when the signals were there for both companies, why did only one of them act?</w:t>
            </w:r>
          </w:p>
        </w:tc>
      </w:tr>
    </w:tbl>
    <w:p w14:paraId="1A8FC871" w14:textId="77777777" w:rsidR="005D1758" w:rsidRDefault="005D1758">
      <w:pPr>
        <w:spacing w:after="60"/>
      </w:pPr>
    </w:p>
    <w:p w14:paraId="19095193" w14:textId="77777777" w:rsidR="005D1758" w:rsidRDefault="00000000">
      <w:pPr>
        <w:spacing w:after="140"/>
        <w:jc w:val="both"/>
      </w:pPr>
      <w:r>
        <w:t>The analysis in this report draws on eleven years of quarterly net income and gross profit data, cleaned and processed in Microsoft Excel using Pivot Tables, Year-on-Year Growth calculations, CAGR formulas segmented by era, Rolling 3-Year Averages, and Cumulative Growth Indices. All figures are in USD millions unless otherwise stated.</w:t>
      </w:r>
    </w:p>
    <w:p w14:paraId="158B2290" w14:textId="77777777" w:rsidR="005D1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1758" w14:paraId="61FFA930" w14:textId="77777777">
        <w:tc>
          <w:tcPr>
            <w:tcW w:w="1200" w:type="dxa"/>
            <w:tcBorders>
              <w:top w:val="none" w:sz="0" w:space="0" w:color="FFFFFF"/>
              <w:left w:val="none" w:sz="0" w:space="0" w:color="FFFFFF"/>
              <w:bottom w:val="none" w:sz="0" w:space="0" w:color="FFFFFF"/>
              <w:right w:val="none" w:sz="0" w:space="0" w:color="FFFFFF"/>
            </w:tcBorders>
            <w:shd w:val="clear" w:color="auto" w:fill="0D2137"/>
            <w:tcMar>
              <w:top w:w="160" w:type="dxa"/>
              <w:left w:w="180" w:type="dxa"/>
              <w:bottom w:w="160" w:type="dxa"/>
              <w:right w:w="180" w:type="dxa"/>
            </w:tcMar>
            <w:vAlign w:val="center"/>
          </w:tcPr>
          <w:p w14:paraId="15B99D98" w14:textId="77777777" w:rsidR="005D1758" w:rsidRDefault="00000000">
            <w:pPr>
              <w:jc w:val="center"/>
            </w:pPr>
            <w:r>
              <w:rPr>
                <w:b/>
                <w:bCs/>
                <w:color w:val="FFFFFF"/>
                <w:sz w:val="52"/>
                <w:szCs w:val="52"/>
              </w:rPr>
              <w:t>01</w:t>
            </w:r>
          </w:p>
        </w:tc>
        <w:tc>
          <w:tcPr>
            <w:tcW w:w="8160" w:type="dxa"/>
            <w:tcBorders>
              <w:top w:val="none" w:sz="0" w:space="0" w:color="FFFFFF"/>
              <w:left w:val="none" w:sz="0" w:space="0" w:color="FFFFFF"/>
              <w:bottom w:val="none" w:sz="0" w:space="0" w:color="FFFFFF"/>
              <w:right w:val="none" w:sz="0" w:space="0" w:color="FFFFFF"/>
            </w:tcBorders>
            <w:shd w:val="clear" w:color="auto" w:fill="F8F8F8"/>
            <w:tcMar>
              <w:top w:w="120" w:type="dxa"/>
              <w:left w:w="280" w:type="dxa"/>
              <w:bottom w:w="120" w:type="dxa"/>
              <w:right w:w="180" w:type="dxa"/>
            </w:tcMar>
          </w:tcPr>
          <w:p w14:paraId="0CDF9B4D" w14:textId="77777777" w:rsidR="005D1758" w:rsidRDefault="00000000">
            <w:r>
              <w:rPr>
                <w:b/>
                <w:bCs/>
                <w:color w:val="0D2137"/>
                <w:sz w:val="32"/>
                <w:szCs w:val="32"/>
              </w:rPr>
              <w:t>COMPANY OVERVIEWS</w:t>
            </w:r>
          </w:p>
          <w:p w14:paraId="79558C98" w14:textId="77777777" w:rsidR="005D1758" w:rsidRDefault="00000000">
            <w:r>
              <w:rPr>
                <w:i/>
                <w:iCs/>
                <w:color w:val="555555"/>
                <w:sz w:val="20"/>
                <w:szCs w:val="20"/>
              </w:rPr>
              <w:t>Understanding who these companies are, where they came from, and what they were trying to do</w:t>
            </w:r>
          </w:p>
        </w:tc>
      </w:tr>
    </w:tbl>
    <w:p w14:paraId="280A8DF3" w14:textId="77777777" w:rsidR="005D1758" w:rsidRDefault="005D1758">
      <w:pPr>
        <w:spacing w:after="60"/>
      </w:pPr>
    </w:p>
    <w:p w14:paraId="37F47241" w14:textId="440673ED" w:rsidR="005D1758" w:rsidRDefault="00000000">
      <w:pPr>
        <w:pBdr>
          <w:bottom w:val="single" w:sz="4" w:space="0" w:color="0D2137"/>
        </w:pBdr>
        <w:spacing w:before="320" w:after="100"/>
      </w:pPr>
      <w:r>
        <w:rPr>
          <w:b/>
          <w:bCs/>
          <w:color w:val="0D2137"/>
          <w:sz w:val="28"/>
          <w:szCs w:val="28"/>
        </w:rPr>
        <w:t>1.1 NVIDIA — The Company That Bet on a Technology Nobody Believed In</w:t>
      </w:r>
    </w:p>
    <w:p w14:paraId="37CFEC53" w14:textId="77777777" w:rsidR="005D1758" w:rsidRDefault="00000000">
      <w:pPr>
        <w:spacing w:after="140"/>
        <w:jc w:val="both"/>
      </w:pPr>
      <w:r>
        <w:t>NVIDIA was founded in 1993 in a Denny's diner in San Jose, California, by three engineers: Jensen Huang, Chris Malachowsky, and Curtis Priem. The founding premise was simple: that 3D graphics would become a major part of computing, and that a dedicated chip for rendering images would outperform anything a general-purpose CPU could do. At the time, that was not an obvious bet. It paid off spectacularly.</w:t>
      </w:r>
    </w:p>
    <w:p w14:paraId="3EA9F548" w14:textId="77777777" w:rsidR="005D1758" w:rsidRDefault="005D1758">
      <w:pPr>
        <w:spacing w:after="60"/>
      </w:pPr>
    </w:p>
    <w:p w14:paraId="1933AFCA" w14:textId="77777777" w:rsidR="005D1758" w:rsidRDefault="00000000">
      <w:pPr>
        <w:spacing w:after="140"/>
        <w:jc w:val="both"/>
      </w:pPr>
      <w:r>
        <w:t>Through the late 1990s and 2000s, NVIDIA built the dominant gaming GPU business through its GeForce product line. The company went public in 1999 and competed hard against rivals like 3dfx (which it eventually acquired) and later ATI (which was acquired by AMD in 2006). But Jensen Huang, who has remained CEO since the company's founding — making him the longest-serving tech CEO in the S&amp;P 500 — was always looking further ahead.</w:t>
      </w:r>
    </w:p>
    <w:p w14:paraId="6EEB89AF" w14:textId="77777777" w:rsidR="005D1758" w:rsidRDefault="005D1758">
      <w:pPr>
        <w:spacing w:after="60"/>
      </w:pPr>
    </w:p>
    <w:p w14:paraId="5D0DEC58" w14:textId="77777777" w:rsidR="005D1758" w:rsidRDefault="00000000">
      <w:pPr>
        <w:spacing w:after="140"/>
        <w:jc w:val="both"/>
      </w:pPr>
      <w:r>
        <w:t>The turning point that the world largely missed came in 2006, when NVIDIA launched CUDA — Compute Unified Device Architecture.</w:t>
      </w:r>
      <w:r>
        <w:rPr>
          <w:i/>
          <w:iCs/>
        </w:rPr>
        <w:t xml:space="preserve"> CUDA was a programming platform that allowed developers to use NVIDIA's GPU cores not just for graphics, but for any kind of parallel computation. On its face, it sounded like a niche technical product. In reality, it was a trap door into the future of computing.</w:t>
      </w:r>
    </w:p>
    <w:p w14:paraId="7A30C9DA" w14:textId="77777777" w:rsidR="005D1758" w:rsidRDefault="005D1758">
      <w:pPr>
        <w:spacing w:after="60"/>
      </w:pPr>
    </w:p>
    <w:p w14:paraId="3CBCA0E3" w14:textId="77777777" w:rsidR="005D1758" w:rsidRDefault="00000000">
      <w:pPr>
        <w:spacing w:after="140"/>
        <w:jc w:val="both"/>
      </w:pPr>
      <w:r>
        <w:t>At the time of CUDA's launch, almost nobody outside NVIDIA's research circle understood its significance. GPU chips are fundamentally different from CPUs: where a CPU might have 8 or 16 powerful cores designed to handle complex, sequential tasks one at a time, a GPU has thousands of smaller cores designed to do many simpler tasks simultaneously. This makes them perfectly suited to the kind of mathematics that sits at the heart of machine learning — matrix multiplications, tensor operations, the repetitive numerical grunt work that neural networks require in massive quantities.</w:t>
      </w:r>
    </w:p>
    <w:p w14:paraId="2B750580" w14:textId="77777777" w:rsidR="005D1758" w:rsidRDefault="005D1758">
      <w:pPr>
        <w:spacing w:after="60"/>
      </w:pPr>
    </w:p>
    <w:p w14:paraId="4360BB98" w14:textId="77777777" w:rsidR="005D1758" w:rsidRDefault="00000000">
      <w:pPr>
        <w:spacing w:after="140"/>
        <w:jc w:val="both"/>
      </w:pPr>
      <w:r>
        <w:t>What NVIDIA understood in 2006 — and acted on patiently for more than a decade — is that this type of parallel computation would eventually matter enormously. They built the software ecosystem to match the hardware, spent years cultivating researchers and academics, and waited. Crucially, they did not wait passively. They continuously improved the GPU architecture: Pascal, Volta, Ampere, Hopper, Blackwell — each generation delivered meaningful leaps in performance, and each generation deepened the CUDA developer ecosystem further.</w:t>
      </w:r>
    </w:p>
    <w:p w14:paraId="7109839E" w14:textId="77777777" w:rsidR="005D1758" w:rsidRDefault="005D1758">
      <w:pPr>
        <w:spacing w:after="60"/>
      </w:pPr>
    </w:p>
    <w:p w14:paraId="150B3698" w14:textId="469A30A0" w:rsidR="005D1758" w:rsidRDefault="00000000">
      <w:pPr>
        <w:pBdr>
          <w:bottom w:val="single" w:sz="4" w:space="0" w:color="0D2137"/>
        </w:pBdr>
        <w:spacing w:before="320" w:after="100"/>
      </w:pPr>
      <w:r>
        <w:rPr>
          <w:b/>
          <w:bCs/>
          <w:color w:val="0D2137"/>
          <w:sz w:val="28"/>
          <w:szCs w:val="28"/>
        </w:rPr>
        <w:t>1.2 Intel — The Giant That Defined an Industry and Then Struggled to Evolve It</w:t>
      </w:r>
    </w:p>
    <w:p w14:paraId="6A3A11CD" w14:textId="77777777" w:rsidR="005D1758" w:rsidRDefault="00000000">
      <w:pPr>
        <w:spacing w:after="140"/>
        <w:jc w:val="both"/>
      </w:pPr>
      <w:r>
        <w:t>Intel's story begins in 1968, when Robert Noyce and Gordon Moore — names now immortalised in Silicon Valley lore — co-founded the company in Mountain View, California. Noyce had co-invented the integrated circuit. Moore had articulated what would become Moore's Law: that the number of transistors on a chip would roughly double every two years, a prediction that Intel would spend the next five decades trying to fulfil.</w:t>
      </w:r>
    </w:p>
    <w:p w14:paraId="50C9C23C" w14:textId="77777777" w:rsidR="005D1758" w:rsidRDefault="005D1758">
      <w:pPr>
        <w:spacing w:after="60"/>
      </w:pPr>
    </w:p>
    <w:p w14:paraId="672D4CB0" w14:textId="77777777" w:rsidR="005D1758" w:rsidRDefault="00000000">
      <w:pPr>
        <w:spacing w:after="140"/>
        <w:jc w:val="both"/>
      </w:pPr>
      <w:r>
        <w:t>For much of the next half-century, Intel was simply the most important company in computing. Its x86 microprocessor architecture became the universal language of personal computers and enterprise servers. The phrase "Intel Inside" — one of the most successful marketing campaigns in corporate history — became a proxy for computing quality. At its peak in the early 2000s, Intel controlled more than 80% of the market for desktop and server CPUs.</w:t>
      </w:r>
    </w:p>
    <w:p w14:paraId="4FE3F46C" w14:textId="77777777" w:rsidR="005D1758" w:rsidRDefault="005D1758">
      <w:pPr>
        <w:spacing w:after="60"/>
      </w:pPr>
    </w:p>
    <w:p w14:paraId="7724B011" w14:textId="77777777" w:rsidR="005D1758" w:rsidRDefault="00000000">
      <w:pPr>
        <w:spacing w:after="140"/>
        <w:jc w:val="both"/>
      </w:pPr>
      <w:r>
        <w:t>The business model that underpinned this dominance was vertically integrated: Intel designed its own chips and manufactured them in its own factories, called fabs. This Integrated Device Manufacturer (IDM) model was considered an almost unassailable competitive moat. The capital required to build advanced semiconductor fabs — billions of dollars per facility, with technology that is among the most complex ever created by humans — meant that few competitors could follow. And because Intel's internal manufacturing consistently delivered the most advanced process nodes, its chips were the fastest available. Customers had few alternatives.</w:t>
      </w:r>
    </w:p>
    <w:p w14:paraId="55837E66" w14:textId="77777777" w:rsidR="005D1758" w:rsidRDefault="005D1758">
      <w:pPr>
        <w:spacing w:after="60"/>
      </w:pPr>
    </w:p>
    <w:p w14:paraId="30950392" w14:textId="77777777" w:rsidR="005D1758" w:rsidRDefault="00000000">
      <w:pPr>
        <w:spacing w:after="140"/>
        <w:jc w:val="both"/>
      </w:pPr>
      <w:r>
        <w:t>The year 2018 briefly appeared to confirm Intel's continued dominance. Net income reached $21 billion. Gross profit hit $43.7 billion. The Data Centre Group was growing strongly. But beneath the surface, cracks had been developing for years — and by 2018 they were already widening in ways that Intel's financial statements had not yet revealed.</w:t>
      </w:r>
    </w:p>
    <w:p w14:paraId="5FB6BCD2" w14:textId="77777777" w:rsidR="005D1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1758" w14:paraId="511AD32A" w14:textId="77777777">
        <w:tc>
          <w:tcPr>
            <w:tcW w:w="1200" w:type="dxa"/>
            <w:tcBorders>
              <w:top w:val="none" w:sz="0" w:space="0" w:color="FFFFFF"/>
              <w:left w:val="none" w:sz="0" w:space="0" w:color="FFFFFF"/>
              <w:bottom w:val="none" w:sz="0" w:space="0" w:color="FFFFFF"/>
              <w:right w:val="none" w:sz="0" w:space="0" w:color="FFFFFF"/>
            </w:tcBorders>
            <w:shd w:val="clear" w:color="auto" w:fill="006064"/>
            <w:tcMar>
              <w:top w:w="160" w:type="dxa"/>
              <w:left w:w="180" w:type="dxa"/>
              <w:bottom w:w="160" w:type="dxa"/>
              <w:right w:w="180" w:type="dxa"/>
            </w:tcMar>
            <w:vAlign w:val="center"/>
          </w:tcPr>
          <w:p w14:paraId="0076BAC1" w14:textId="77777777" w:rsidR="005D1758" w:rsidRDefault="00000000">
            <w:pPr>
              <w:jc w:val="center"/>
            </w:pPr>
            <w:r>
              <w:rPr>
                <w:b/>
                <w:bCs/>
                <w:color w:val="FFFFFF"/>
                <w:sz w:val="52"/>
                <w:szCs w:val="52"/>
              </w:rPr>
              <w:t>02</w:t>
            </w:r>
          </w:p>
        </w:tc>
        <w:tc>
          <w:tcPr>
            <w:tcW w:w="8160" w:type="dxa"/>
            <w:tcBorders>
              <w:top w:val="none" w:sz="0" w:space="0" w:color="FFFFFF"/>
              <w:left w:val="none" w:sz="0" w:space="0" w:color="FFFFFF"/>
              <w:bottom w:val="none" w:sz="0" w:space="0" w:color="FFFFFF"/>
              <w:right w:val="none" w:sz="0" w:space="0" w:color="FFFFFF"/>
            </w:tcBorders>
            <w:shd w:val="clear" w:color="auto" w:fill="F8F8F8"/>
            <w:tcMar>
              <w:top w:w="120" w:type="dxa"/>
              <w:left w:w="280" w:type="dxa"/>
              <w:bottom w:w="120" w:type="dxa"/>
              <w:right w:w="180" w:type="dxa"/>
            </w:tcMar>
          </w:tcPr>
          <w:p w14:paraId="65E73841" w14:textId="77777777" w:rsidR="005D1758" w:rsidRDefault="00000000">
            <w:r>
              <w:rPr>
                <w:b/>
                <w:bCs/>
                <w:color w:val="006064"/>
                <w:sz w:val="32"/>
                <w:szCs w:val="32"/>
              </w:rPr>
              <w:t>MARKET CONTEXT</w:t>
            </w:r>
          </w:p>
          <w:p w14:paraId="72661404" w14:textId="77777777" w:rsidR="005D1758" w:rsidRDefault="00000000">
            <w:r>
              <w:rPr>
                <w:i/>
                <w:iCs/>
                <w:color w:val="555555"/>
                <w:sz w:val="20"/>
                <w:szCs w:val="20"/>
              </w:rPr>
              <w:t>The seismic shifts that separated winners from losers — and why they were visible years before most people saw them</w:t>
            </w:r>
          </w:p>
        </w:tc>
      </w:tr>
    </w:tbl>
    <w:p w14:paraId="0D23D9E3" w14:textId="77777777" w:rsidR="005D1758" w:rsidRDefault="005D1758">
      <w:pPr>
        <w:spacing w:after="60"/>
      </w:pPr>
    </w:p>
    <w:p w14:paraId="336A94F6" w14:textId="244848B0" w:rsidR="005D1758" w:rsidRDefault="00000000">
      <w:pPr>
        <w:pBdr>
          <w:bottom w:val="single" w:sz="4" w:space="0" w:color="0D2137"/>
        </w:pBdr>
        <w:spacing w:before="320" w:after="100"/>
      </w:pPr>
      <w:r>
        <w:rPr>
          <w:b/>
          <w:bCs/>
          <w:color w:val="0D2137"/>
          <w:sz w:val="28"/>
          <w:szCs w:val="28"/>
        </w:rPr>
        <w:t>2.1 The AI Moment That Changed Everything — And Why It Was Not a Surprise to NVIDIA</w:t>
      </w:r>
    </w:p>
    <w:p w14:paraId="1AE15D63" w14:textId="77777777" w:rsidR="005D1758" w:rsidRDefault="00000000">
      <w:pPr>
        <w:spacing w:after="140"/>
        <w:jc w:val="both"/>
      </w:pPr>
      <w:r>
        <w:t>On November 30, 2022, OpenAI released ChatGPT. Within five days it had one million users. Within two months it had 100 million, making it the fastest-growing consumer application in history. The reaction in financial markets was electric: NVIDIA's share price nearly doubled in the months that followed. The narrative became that NVIDIA had been in the right place at the right time, a lucky beneficiary of an AI boom nobody had predicted.</w:t>
      </w:r>
    </w:p>
    <w:p w14:paraId="52C86566" w14:textId="77777777" w:rsidR="005D1758" w:rsidRDefault="005D1758">
      <w:pPr>
        <w:spacing w:after="60"/>
      </w:pPr>
    </w:p>
    <w:p w14:paraId="6CE6CA00" w14:textId="77777777" w:rsidR="005D1758" w:rsidRDefault="00000000">
      <w:pPr>
        <w:spacing w:after="140"/>
        <w:jc w:val="both"/>
      </w:pPr>
      <w:r>
        <w:t>That narrative is wrong, and understanding why it is wrong is central to this case study.</w:t>
      </w:r>
    </w:p>
    <w:p w14:paraId="6CE05AEF" w14:textId="77777777" w:rsidR="005D1758" w:rsidRDefault="005D1758">
      <w:pPr>
        <w:spacing w:after="60"/>
      </w:pPr>
    </w:p>
    <w:p w14:paraId="760D6341" w14:textId="77777777" w:rsidR="005D1758" w:rsidRDefault="00000000">
      <w:pPr>
        <w:spacing w:after="140"/>
        <w:jc w:val="both"/>
      </w:pPr>
      <w:r>
        <w:t>The real turning point had not been November 2022. It had been October 2012, when a team of researchers at the University of Toronto — Alex Krizhevsky, Ilya Sutskever, and their supervisor Geoffrey Hinton — entered an image recognition competition called ImageNet. Their neural network, AlexNet, won by a margin so large it shocked the entire field of computer vision. It reduced the error rate from 26.2% to 15.3% in a single step. Nothing in the competition's history had seen a leap like it. The secret? AlexNet had been trained on two NVIDIA GTX 580 GPUs using CUDA, in a bedroom at Krizhevsky's parents' house.</w:t>
      </w:r>
    </w:p>
    <w:p w14:paraId="7AA5AC1F" w14:textId="77777777" w:rsidR="005D1758" w:rsidRDefault="005D17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5D1758" w14:paraId="74A4FDEB" w14:textId="77777777">
        <w:tc>
          <w:tcPr>
            <w:tcW w:w="240" w:type="dxa"/>
            <w:tcBorders>
              <w:top w:val="none" w:sz="0" w:space="0" w:color="FFFFFF"/>
              <w:left w:val="none" w:sz="0" w:space="0" w:color="FFFFFF"/>
              <w:bottom w:val="none" w:sz="0" w:space="0" w:color="FFFFFF"/>
              <w:right w:val="none" w:sz="0" w:space="0" w:color="FFFFFF"/>
            </w:tcBorders>
            <w:shd w:val="clear" w:color="auto" w:fill="4E3600"/>
          </w:tcPr>
          <w:p w14:paraId="40C916AD" w14:textId="77777777" w:rsidR="005D1758" w:rsidRDefault="005D1758"/>
        </w:tc>
        <w:tc>
          <w:tcPr>
            <w:tcW w:w="9120" w:type="dxa"/>
            <w:tcBorders>
              <w:top w:val="none" w:sz="0" w:space="0" w:color="FFFFFF"/>
              <w:left w:val="none" w:sz="0" w:space="0" w:color="FFFFFF"/>
              <w:bottom w:val="none" w:sz="0" w:space="0" w:color="FFFFFF"/>
              <w:right w:val="none" w:sz="0" w:space="0" w:color="FFFFFF"/>
            </w:tcBorders>
            <w:shd w:val="clear" w:color="auto" w:fill="FFF8E1"/>
            <w:tcMar>
              <w:top w:w="160" w:type="dxa"/>
              <w:left w:w="280" w:type="dxa"/>
              <w:bottom w:w="160" w:type="dxa"/>
              <w:right w:w="280" w:type="dxa"/>
            </w:tcMar>
          </w:tcPr>
          <w:p w14:paraId="7D77B699" w14:textId="77777777" w:rsidR="005D1758" w:rsidRDefault="00000000">
            <w:pPr>
              <w:jc w:val="both"/>
            </w:pPr>
            <w:r>
              <w:rPr>
                <w:i/>
                <w:iCs/>
              </w:rPr>
              <w:t>Jensen Huang saw the AlexNet result and understood immediately what it meant. As he later said: CUDA had enabled something fundamental. Every subsequent AI breakthrough would need more of what NVIDIA was building — and NVIDIA had a decade-long head start on the software ecosystem that made it possible.</w:t>
            </w:r>
          </w:p>
        </w:tc>
      </w:tr>
    </w:tbl>
    <w:p w14:paraId="78AE27C3" w14:textId="77777777" w:rsidR="005D1758" w:rsidRDefault="005D1758">
      <w:pPr>
        <w:spacing w:after="60"/>
      </w:pPr>
    </w:p>
    <w:p w14:paraId="4C386CBC" w14:textId="77777777" w:rsidR="005D1758" w:rsidRDefault="00000000">
      <w:pPr>
        <w:spacing w:after="140"/>
        <w:jc w:val="both"/>
      </w:pPr>
      <w:r>
        <w:t>The years between 2012 and 2022 were the decade when the AI revolution was being built in university labs, research departments at Google, Microsoft, Amazon, and Meta, and in startups. NVIDIA's GPUs and CUDA platform were the universal tool. Researchers trained models on them. Companies deployed inference workloads on them. An entire generation of AI engineers grew up knowing CUDA. By the time ChatGPT made the general public aware that something extraordinary was happening, NVIDIA had already locked in the platform advantage that would translate into $63 billion in net income in 2024 and $99 billion in 2025.</w:t>
      </w:r>
    </w:p>
    <w:p w14:paraId="2BB03CBE" w14:textId="77777777" w:rsidR="005D1758" w:rsidRDefault="005D1758">
      <w:pPr>
        <w:spacing w:after="60"/>
      </w:pPr>
    </w:p>
    <w:p w14:paraId="231713B3" w14:textId="77777777" w:rsidR="005D1758" w:rsidRDefault="00000000">
      <w:pPr>
        <w:pBdr>
          <w:bottom w:val="single" w:sz="4" w:space="0" w:color="0D2137"/>
        </w:pBdr>
        <w:spacing w:before="320" w:after="100"/>
      </w:pPr>
      <w:proofErr w:type="gramStart"/>
      <w:r>
        <w:rPr>
          <w:b/>
          <w:bCs/>
          <w:color w:val="0D2137"/>
          <w:sz w:val="28"/>
          <w:szCs w:val="28"/>
        </w:rPr>
        <w:t>2.2  What</w:t>
      </w:r>
      <w:proofErr w:type="gramEnd"/>
      <w:r>
        <w:rPr>
          <w:b/>
          <w:bCs/>
          <w:color w:val="0D2137"/>
          <w:sz w:val="28"/>
          <w:szCs w:val="28"/>
        </w:rPr>
        <w:t xml:space="preserve"> Intel Was Doing While NVIDIA Was Building the Future</w:t>
      </w:r>
    </w:p>
    <w:p w14:paraId="475B893A" w14:textId="77777777" w:rsidR="005D1758" w:rsidRDefault="00000000">
      <w:pPr>
        <w:spacing w:after="140"/>
        <w:jc w:val="both"/>
      </w:pPr>
      <w:r>
        <w:t>While NVIDIA was quietly becoming indispensable to every AI researcher on the planet, Intel was navigating a completely different set of challenges — and making a series of decisions that in retrospect look catastrophic.</w:t>
      </w:r>
    </w:p>
    <w:p w14:paraId="1DAC4FB0" w14:textId="77777777" w:rsidR="005D1758" w:rsidRDefault="005D1758">
      <w:pPr>
        <w:spacing w:after="60"/>
      </w:pPr>
    </w:p>
    <w:p w14:paraId="7679CFB4" w14:textId="77777777" w:rsidR="005D1758" w:rsidRDefault="00000000">
      <w:pPr>
        <w:spacing w:after="140"/>
        <w:jc w:val="both"/>
      </w:pPr>
      <w:r>
        <w:t>The first was the mobile miss. In the late 2000s, as Apple and Google were building the smartphone revolution on ARM-based chips — processors that prioritised energy efficiency over raw power — Intel made a half-hearted attempt to enter the mobile market with its Atom chip. The Atom was technically competent but failed commercially. Intel's culture and business model were built around maximum performance on AC power; mobile computing demanded a completely different design philosophy. The attempt was abandoned, and Intel ceded the entire mobile chip market.</w:t>
      </w:r>
    </w:p>
    <w:p w14:paraId="3A221225" w14:textId="77777777" w:rsidR="005D1758" w:rsidRDefault="005D1758">
      <w:pPr>
        <w:spacing w:after="60"/>
      </w:pPr>
    </w:p>
    <w:p w14:paraId="481EE2B1" w14:textId="77777777" w:rsidR="005D1758" w:rsidRDefault="00000000">
      <w:pPr>
        <w:spacing w:after="140"/>
        <w:jc w:val="both"/>
      </w:pPr>
      <w:r>
        <w:t>The second, and arguably more consequential, failure was manufacturing.</w:t>
      </w:r>
      <w:r>
        <w:rPr>
          <w:b/>
          <w:bCs/>
        </w:rPr>
        <w:t xml:space="preserve"> Intel had operated what the industry called a "tick-tock" cycle: alternate between shrinking the manufacturing process (tick) and improving the chip architecture (tock), every two years. This discipline had driven Moore's Law compliance for decades. Then, around 2015, the tick-tock cycle broke.</w:t>
      </w:r>
    </w:p>
    <w:p w14:paraId="63EB848E" w14:textId="77777777" w:rsidR="005D1758" w:rsidRDefault="005D1758">
      <w:pPr>
        <w:spacing w:after="60"/>
      </w:pPr>
    </w:p>
    <w:p w14:paraId="5D4916C6" w14:textId="77777777" w:rsidR="005D1758" w:rsidRDefault="00000000">
      <w:pPr>
        <w:spacing w:after="140"/>
        <w:jc w:val="both"/>
      </w:pPr>
      <w:r>
        <w:t>Intel's transition from 14nm to 10nm — a process that should have taken two years — took six. Internal documents later revealed that Intel's engineers had tried to achieve a 2.7x density improvement in a single node transition, far more aggressive than anything TSMC or Samsung were attempting. The ambition, once Intel's hallmark, had become a liability. For year after year, Intel's most important PC and server processors continued to ship on the old 14nm process, while TSMC was delivering 7nm chips for AMD, Apple, Qualcomm, and eventually NVIDIA. For the first time in the modern era of semiconductors, Intel had lost process leadership — and it showed in product benchmarks almost immediately.</w:t>
      </w:r>
    </w:p>
    <w:p w14:paraId="57FB85F1" w14:textId="77777777" w:rsidR="005D1758" w:rsidRDefault="005D1758">
      <w:pPr>
        <w:spacing w:after="60"/>
      </w:pPr>
    </w:p>
    <w:p w14:paraId="674E4A7C" w14:textId="77777777" w:rsidR="005D1758" w:rsidRDefault="00000000">
      <w:pPr>
        <w:spacing w:after="140"/>
        <w:jc w:val="both"/>
      </w:pPr>
      <w:r>
        <w:t>AMD, using TSMC's 7nm process, launched its Zen architecture CPU family and began winning server and desktop market share from Intel in ways that had seemed unthinkable five years earlier. Apple, in 2020, announced it was abandoning Intel processors entirely and switching its Mac computers to its own in-house ARM-based M1 chips — a public vote of no confidence that sent a shockwave through the industry.</w:t>
      </w:r>
    </w:p>
    <w:p w14:paraId="418C7261" w14:textId="77777777" w:rsidR="005D1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1758" w14:paraId="0125BAF8" w14:textId="77777777">
        <w:tc>
          <w:tcPr>
            <w:tcW w:w="1200" w:type="dxa"/>
            <w:tcBorders>
              <w:top w:val="none" w:sz="0" w:space="0" w:color="FFFFFF"/>
              <w:left w:val="none" w:sz="0" w:space="0" w:color="FFFFFF"/>
              <w:bottom w:val="none" w:sz="0" w:space="0" w:color="FFFFFF"/>
              <w:right w:val="none" w:sz="0" w:space="0" w:color="FFFFFF"/>
            </w:tcBorders>
            <w:shd w:val="clear" w:color="auto" w:fill="0D2137"/>
            <w:tcMar>
              <w:top w:w="160" w:type="dxa"/>
              <w:left w:w="180" w:type="dxa"/>
              <w:bottom w:w="160" w:type="dxa"/>
              <w:right w:w="180" w:type="dxa"/>
            </w:tcMar>
            <w:vAlign w:val="center"/>
          </w:tcPr>
          <w:p w14:paraId="440CCC54" w14:textId="77777777" w:rsidR="005D1758" w:rsidRDefault="00000000">
            <w:pPr>
              <w:jc w:val="center"/>
            </w:pPr>
            <w:r>
              <w:rPr>
                <w:b/>
                <w:bCs/>
                <w:color w:val="FFFFFF"/>
                <w:sz w:val="52"/>
                <w:szCs w:val="52"/>
              </w:rPr>
              <w:t>03</w:t>
            </w:r>
          </w:p>
        </w:tc>
        <w:tc>
          <w:tcPr>
            <w:tcW w:w="8160" w:type="dxa"/>
            <w:tcBorders>
              <w:top w:val="none" w:sz="0" w:space="0" w:color="FFFFFF"/>
              <w:left w:val="none" w:sz="0" w:space="0" w:color="FFFFFF"/>
              <w:bottom w:val="none" w:sz="0" w:space="0" w:color="FFFFFF"/>
              <w:right w:val="none" w:sz="0" w:space="0" w:color="FFFFFF"/>
            </w:tcBorders>
            <w:shd w:val="clear" w:color="auto" w:fill="F8F8F8"/>
            <w:tcMar>
              <w:top w:w="120" w:type="dxa"/>
              <w:left w:w="280" w:type="dxa"/>
              <w:bottom w:w="120" w:type="dxa"/>
              <w:right w:w="180" w:type="dxa"/>
            </w:tcMar>
          </w:tcPr>
          <w:p w14:paraId="3A078B3B" w14:textId="77777777" w:rsidR="005D1758" w:rsidRDefault="00000000">
            <w:r>
              <w:rPr>
                <w:b/>
                <w:bCs/>
                <w:color w:val="0D2137"/>
                <w:sz w:val="32"/>
                <w:szCs w:val="32"/>
              </w:rPr>
              <w:t>FINANCIAL PERFORMANCE (2014–2025)</w:t>
            </w:r>
          </w:p>
          <w:p w14:paraId="4E7532AB" w14:textId="77777777" w:rsidR="005D1758" w:rsidRDefault="00000000">
            <w:r>
              <w:rPr>
                <w:i/>
                <w:iCs/>
                <w:color w:val="555555"/>
                <w:sz w:val="20"/>
                <w:szCs w:val="20"/>
              </w:rPr>
              <w:t>What the numbers show — and what they mean</w:t>
            </w:r>
          </w:p>
        </w:tc>
      </w:tr>
    </w:tbl>
    <w:p w14:paraId="1F825E57" w14:textId="77777777" w:rsidR="005D1758" w:rsidRDefault="005D1758">
      <w:pPr>
        <w:spacing w:after="60"/>
      </w:pPr>
    </w:p>
    <w:p w14:paraId="6769E374" w14:textId="04194442" w:rsidR="005D1758" w:rsidRDefault="00000000">
      <w:pPr>
        <w:pBdr>
          <w:bottom w:val="single" w:sz="4" w:space="0" w:color="0D2137"/>
        </w:pBdr>
        <w:spacing w:before="320" w:after="100"/>
      </w:pPr>
      <w:r>
        <w:rPr>
          <w:b/>
          <w:bCs/>
          <w:color w:val="0D2137"/>
          <w:sz w:val="28"/>
          <w:szCs w:val="28"/>
        </w:rPr>
        <w:t>3.1 Net Income: Eleven Years, Two Completely Different Stories</w:t>
      </w:r>
    </w:p>
    <w:p w14:paraId="6447D927" w14:textId="77777777" w:rsidR="005D1758" w:rsidRDefault="00000000">
      <w:pPr>
        <w:spacing w:after="140"/>
        <w:jc w:val="both"/>
      </w:pPr>
      <w:r>
        <w:t>The table below presents annual net income for both companies from 2014 to 2025. This data was sourced from Macrotrends.net as quarterly figures, cleaned to remove currency formatting, and aggregated to annual totals using Excel Pivot Tables.</w:t>
      </w:r>
    </w:p>
    <w:p w14:paraId="3362A701" w14:textId="77777777" w:rsidR="005D1758" w:rsidRDefault="005D1758">
      <w:pPr>
        <w:spacing w:after="60"/>
      </w:pPr>
    </w:p>
    <w:p w14:paraId="6AAD922D" w14:textId="77777777" w:rsidR="005D1758" w:rsidRDefault="00000000">
      <w:pPr>
        <w:spacing w:after="140"/>
        <w:jc w:val="both"/>
      </w:pPr>
      <w:r>
        <w:t>Reading this table, the most important thing to notice is not just the final numbers — it is the shape of the trajectories. NVIDIA's growth is not a straight line. It has dips (2019, 2022) that reflect industry cycles. But after each dip it recovers to a higher level. Intel's trajectory, by contrast, is a long-run decline interrupted by a single strong year (2018) before accelerating into loss territory from 2024 onward.</w:t>
      </w:r>
    </w:p>
    <w:p w14:paraId="1FCDA6C2" w14:textId="77777777" w:rsidR="005D1758" w:rsidRDefault="005D17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2200"/>
        <w:gridCol w:w="4160"/>
      </w:tblGrid>
      <w:tr w:rsidR="005D1758" w14:paraId="7ED44CBB" w14:textId="77777777">
        <w:tc>
          <w:tcPr>
            <w:tcW w:w="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2F833539" w14:textId="77777777" w:rsidR="005D1758" w:rsidRDefault="00000000">
            <w:pPr>
              <w:jc w:val="center"/>
            </w:pPr>
            <w:r>
              <w:rPr>
                <w:b/>
                <w:bCs/>
                <w:color w:val="FFFFFF"/>
                <w:sz w:val="19"/>
                <w:szCs w:val="19"/>
              </w:rPr>
              <w:t>Year</w:t>
            </w:r>
          </w:p>
        </w:tc>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579D8FE4" w14:textId="77777777" w:rsidR="005D1758" w:rsidRDefault="00000000">
            <w:pPr>
              <w:jc w:val="center"/>
            </w:pPr>
            <w:r>
              <w:rPr>
                <w:b/>
                <w:bCs/>
                <w:color w:val="FFFFFF"/>
                <w:sz w:val="19"/>
                <w:szCs w:val="19"/>
              </w:rPr>
              <w:t>NVIDIA Net Income ($M)</w:t>
            </w:r>
          </w:p>
        </w:tc>
        <w:tc>
          <w:tcPr>
            <w:tcW w:w="22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52A602E8" w14:textId="77777777" w:rsidR="005D1758" w:rsidRDefault="00000000">
            <w:pPr>
              <w:jc w:val="center"/>
            </w:pPr>
            <w:r>
              <w:rPr>
                <w:b/>
                <w:bCs/>
                <w:color w:val="FFFFFF"/>
                <w:sz w:val="19"/>
                <w:szCs w:val="19"/>
              </w:rPr>
              <w:t>Intel Net Income ($M)</w:t>
            </w:r>
          </w:p>
        </w:tc>
        <w:tc>
          <w:tcPr>
            <w:tcW w:w="41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45CA5965" w14:textId="77777777" w:rsidR="005D1758" w:rsidRDefault="00000000">
            <w:pPr>
              <w:jc w:val="center"/>
            </w:pPr>
            <w:r>
              <w:rPr>
                <w:b/>
                <w:bCs/>
                <w:color w:val="FFFFFF"/>
                <w:sz w:val="19"/>
                <w:szCs w:val="19"/>
              </w:rPr>
              <w:t>NVIDIA vs Intel</w:t>
            </w:r>
          </w:p>
        </w:tc>
      </w:tr>
      <w:tr w:rsidR="005D1758" w14:paraId="13433662"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190A85B" w14:textId="77777777" w:rsidR="005D1758" w:rsidRDefault="00000000">
            <w:r>
              <w:rPr>
                <w:sz w:val="19"/>
                <w:szCs w:val="19"/>
              </w:rPr>
              <w:t>2014</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5977FCE" w14:textId="77777777" w:rsidR="005D1758" w:rsidRDefault="00000000">
            <w:pPr>
              <w:jc w:val="center"/>
            </w:pPr>
            <w:r>
              <w:rPr>
                <w:sz w:val="19"/>
                <w:szCs w:val="19"/>
              </w:rPr>
              <w:t>585</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00EC605" w14:textId="77777777" w:rsidR="005D1758" w:rsidRDefault="00000000">
            <w:pPr>
              <w:jc w:val="center"/>
            </w:pPr>
            <w:r>
              <w:rPr>
                <w:sz w:val="19"/>
                <w:szCs w:val="19"/>
              </w:rPr>
              <w:t>11,704</w:t>
            </w:r>
          </w:p>
        </w:tc>
        <w:tc>
          <w:tcPr>
            <w:tcW w:w="41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1CF92E6" w14:textId="77777777" w:rsidR="005D1758" w:rsidRDefault="00000000">
            <w:pPr>
              <w:jc w:val="center"/>
            </w:pPr>
            <w:r>
              <w:rPr>
                <w:sz w:val="19"/>
                <w:szCs w:val="19"/>
              </w:rPr>
              <w:t>NVIDIA was 1/20th of Intel's size</w:t>
            </w:r>
          </w:p>
        </w:tc>
      </w:tr>
      <w:tr w:rsidR="005D1758" w14:paraId="2CAACFF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48A0341" w14:textId="77777777" w:rsidR="005D1758" w:rsidRDefault="00000000">
            <w:r>
              <w:rPr>
                <w:sz w:val="19"/>
                <w:szCs w:val="19"/>
              </w:rPr>
              <w:t>2015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DABA132" w14:textId="77777777" w:rsidR="005D1758" w:rsidRDefault="00000000">
            <w:pPr>
              <w:jc w:val="center"/>
            </w:pPr>
            <w:r>
              <w:rPr>
                <w:sz w:val="19"/>
                <w:szCs w:val="19"/>
              </w:rPr>
              <w:t>599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C53A0B5" w14:textId="77777777" w:rsidR="005D1758" w:rsidRDefault="00000000">
            <w:pPr>
              <w:jc w:val="center"/>
            </w:pPr>
            <w:r>
              <w:rPr>
                <w:sz w:val="19"/>
                <w:szCs w:val="19"/>
              </w:rPr>
              <w:t>11,420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F48F34D" w14:textId="77777777" w:rsidR="005D1758" w:rsidRDefault="00000000">
            <w:pPr>
              <w:jc w:val="center"/>
            </w:pPr>
            <w:r>
              <w:rPr>
                <w:sz w:val="19"/>
                <w:szCs w:val="19"/>
              </w:rPr>
              <w:t>Still negligible gap</w:t>
            </w:r>
          </w:p>
        </w:tc>
      </w:tr>
      <w:tr w:rsidR="005D1758" w14:paraId="42EF5088"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FF97F2A" w14:textId="77777777" w:rsidR="005D1758" w:rsidRDefault="00000000">
            <w:r>
              <w:rPr>
                <w:sz w:val="19"/>
                <w:szCs w:val="19"/>
              </w:rPr>
              <w:t>2016</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19043D4" w14:textId="77777777" w:rsidR="005D1758" w:rsidRDefault="00000000">
            <w:pPr>
              <w:jc w:val="center"/>
            </w:pPr>
            <w:r>
              <w:rPr>
                <w:sz w:val="19"/>
                <w:szCs w:val="19"/>
              </w:rPr>
              <w:t>1,219</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686E020" w14:textId="77777777" w:rsidR="005D1758" w:rsidRDefault="00000000">
            <w:pPr>
              <w:jc w:val="center"/>
            </w:pPr>
            <w:r>
              <w:rPr>
                <w:sz w:val="19"/>
                <w:szCs w:val="19"/>
              </w:rPr>
              <w:t>10,316</w:t>
            </w:r>
          </w:p>
        </w:tc>
        <w:tc>
          <w:tcPr>
            <w:tcW w:w="41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F5109BC" w14:textId="77777777" w:rsidR="005D1758" w:rsidRDefault="00000000">
            <w:pPr>
              <w:jc w:val="center"/>
            </w:pPr>
            <w:r>
              <w:rPr>
                <w:sz w:val="19"/>
                <w:szCs w:val="19"/>
              </w:rPr>
              <w:t>NVIDIA doubled. Intel shrank.</w:t>
            </w:r>
          </w:p>
        </w:tc>
      </w:tr>
      <w:tr w:rsidR="005D1758" w14:paraId="4FE5739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1F14613" w14:textId="77777777" w:rsidR="005D1758" w:rsidRDefault="00000000">
            <w:r>
              <w:rPr>
                <w:sz w:val="19"/>
                <w:szCs w:val="19"/>
              </w:rPr>
              <w:t>2017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01A2A7B" w14:textId="77777777" w:rsidR="005D1758" w:rsidRDefault="00000000">
            <w:pPr>
              <w:jc w:val="center"/>
            </w:pPr>
            <w:r>
              <w:rPr>
                <w:sz w:val="19"/>
                <w:szCs w:val="19"/>
              </w:rPr>
              <w:t>2,583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6DC99F6" w14:textId="77777777" w:rsidR="005D1758" w:rsidRDefault="00000000">
            <w:pPr>
              <w:jc w:val="center"/>
            </w:pPr>
            <w:r>
              <w:rPr>
                <w:sz w:val="19"/>
                <w:szCs w:val="19"/>
              </w:rPr>
              <w:t>9,601</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80B2DB6" w14:textId="77777777" w:rsidR="005D1758" w:rsidRDefault="00000000">
            <w:pPr>
              <w:jc w:val="center"/>
            </w:pPr>
            <w:r>
              <w:rPr>
                <w:sz w:val="19"/>
                <w:szCs w:val="19"/>
              </w:rPr>
              <w:t>NVIDIA doubled again.</w:t>
            </w:r>
          </w:p>
        </w:tc>
      </w:tr>
      <w:tr w:rsidR="005D1758" w14:paraId="68640AA1"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08F29FD" w14:textId="77777777" w:rsidR="005D1758" w:rsidRDefault="00000000">
            <w:r>
              <w:rPr>
                <w:sz w:val="19"/>
                <w:szCs w:val="19"/>
              </w:rPr>
              <w:t>2018</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F4A9E1B" w14:textId="77777777" w:rsidR="005D1758" w:rsidRDefault="00000000">
            <w:pPr>
              <w:jc w:val="center"/>
            </w:pPr>
            <w:r>
              <w:rPr>
                <w:sz w:val="19"/>
                <w:szCs w:val="19"/>
              </w:rPr>
              <w:t>4,694</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CA071C9" w14:textId="77777777" w:rsidR="005D1758" w:rsidRDefault="00000000">
            <w:pPr>
              <w:jc w:val="center"/>
            </w:pPr>
            <w:r>
              <w:rPr>
                <w:sz w:val="19"/>
                <w:szCs w:val="19"/>
              </w:rPr>
              <w:t>21,053</w:t>
            </w:r>
          </w:p>
        </w:tc>
        <w:tc>
          <w:tcPr>
            <w:tcW w:w="41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23A0F26" w14:textId="77777777" w:rsidR="005D1758" w:rsidRDefault="00000000">
            <w:pPr>
              <w:jc w:val="center"/>
            </w:pPr>
            <w:r>
              <w:rPr>
                <w:sz w:val="19"/>
                <w:szCs w:val="19"/>
              </w:rPr>
              <w:t>Intel's best year — a false peak</w:t>
            </w:r>
          </w:p>
        </w:tc>
      </w:tr>
      <w:tr w:rsidR="005D1758" w14:paraId="29FFB0C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0F8BCEB" w14:textId="77777777" w:rsidR="005D1758" w:rsidRDefault="00000000">
            <w:r>
              <w:rPr>
                <w:sz w:val="19"/>
                <w:szCs w:val="19"/>
              </w:rPr>
              <w:t>2019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1747BEE" w14:textId="77777777" w:rsidR="005D1758" w:rsidRDefault="00000000">
            <w:pPr>
              <w:jc w:val="center"/>
            </w:pPr>
            <w:r>
              <w:rPr>
                <w:sz w:val="19"/>
                <w:szCs w:val="19"/>
              </w:rPr>
              <w:t>2,411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CC33D44" w14:textId="77777777" w:rsidR="005D1758" w:rsidRDefault="00000000">
            <w:pPr>
              <w:jc w:val="center"/>
            </w:pPr>
            <w:r>
              <w:rPr>
                <w:sz w:val="19"/>
                <w:szCs w:val="19"/>
              </w:rPr>
              <w:t>21,048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9123171" w14:textId="77777777" w:rsidR="005D1758" w:rsidRDefault="00000000">
            <w:pPr>
              <w:jc w:val="center"/>
            </w:pPr>
            <w:r>
              <w:rPr>
                <w:sz w:val="19"/>
                <w:szCs w:val="19"/>
              </w:rPr>
              <w:t>NVIDIA dipped; Intel held flat</w:t>
            </w:r>
          </w:p>
        </w:tc>
      </w:tr>
      <w:tr w:rsidR="005D1758" w14:paraId="3D6FDC5E"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12E0F12" w14:textId="77777777" w:rsidR="005D1758" w:rsidRDefault="00000000">
            <w:r>
              <w:rPr>
                <w:sz w:val="19"/>
                <w:szCs w:val="19"/>
              </w:rPr>
              <w:t>2020</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F050FA3" w14:textId="77777777" w:rsidR="005D1758" w:rsidRDefault="00000000">
            <w:pPr>
              <w:jc w:val="center"/>
            </w:pPr>
            <w:r>
              <w:rPr>
                <w:sz w:val="19"/>
                <w:szCs w:val="19"/>
              </w:rPr>
              <w:t>3,826</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035C1D9" w14:textId="77777777" w:rsidR="005D1758" w:rsidRDefault="00000000">
            <w:pPr>
              <w:jc w:val="center"/>
            </w:pPr>
            <w:r>
              <w:rPr>
                <w:sz w:val="19"/>
                <w:szCs w:val="19"/>
              </w:rPr>
              <w:t>20,899</w:t>
            </w:r>
          </w:p>
        </w:tc>
        <w:tc>
          <w:tcPr>
            <w:tcW w:w="41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95A6F63" w14:textId="77777777" w:rsidR="005D1758" w:rsidRDefault="00000000">
            <w:pPr>
              <w:jc w:val="center"/>
            </w:pPr>
            <w:r>
              <w:rPr>
                <w:sz w:val="19"/>
                <w:szCs w:val="19"/>
              </w:rPr>
              <w:t>NVIDIA recovering; Intel plateauing</w:t>
            </w:r>
          </w:p>
        </w:tc>
      </w:tr>
      <w:tr w:rsidR="005D1758" w14:paraId="2135C2B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765CCDB" w14:textId="77777777" w:rsidR="005D1758" w:rsidRDefault="00000000">
            <w:r>
              <w:rPr>
                <w:sz w:val="19"/>
                <w:szCs w:val="19"/>
              </w:rPr>
              <w:t>2021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770A4B4" w14:textId="77777777" w:rsidR="005D1758" w:rsidRDefault="00000000">
            <w:pPr>
              <w:jc w:val="center"/>
            </w:pPr>
            <w:r>
              <w:rPr>
                <w:sz w:val="19"/>
                <w:szCs w:val="19"/>
              </w:rPr>
              <w:t>8,207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76B819A" w14:textId="77777777" w:rsidR="005D1758" w:rsidRDefault="00000000">
            <w:pPr>
              <w:jc w:val="center"/>
            </w:pPr>
            <w:r>
              <w:rPr>
                <w:sz w:val="19"/>
                <w:szCs w:val="19"/>
              </w:rPr>
              <w:t>19,868</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257E696" w14:textId="77777777" w:rsidR="005D1758" w:rsidRDefault="00000000">
            <w:pPr>
              <w:jc w:val="center"/>
            </w:pPr>
            <w:r>
              <w:rPr>
                <w:sz w:val="19"/>
                <w:szCs w:val="19"/>
              </w:rPr>
              <w:t>NVIDIA surged. Intel began sliding.</w:t>
            </w:r>
          </w:p>
        </w:tc>
      </w:tr>
      <w:tr w:rsidR="005D1758" w14:paraId="40AE5EEB"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67B9F21" w14:textId="77777777" w:rsidR="005D1758" w:rsidRDefault="00000000">
            <w:r>
              <w:rPr>
                <w:sz w:val="19"/>
                <w:szCs w:val="19"/>
              </w:rPr>
              <w:t>2022</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F9474C0" w14:textId="77777777" w:rsidR="005D1758" w:rsidRDefault="00000000">
            <w:pPr>
              <w:jc w:val="center"/>
            </w:pPr>
            <w:r>
              <w:rPr>
                <w:sz w:val="19"/>
                <w:szCs w:val="19"/>
              </w:rPr>
              <w:t>5,956</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D4FD9B2" w14:textId="77777777" w:rsidR="005D1758" w:rsidRDefault="00000000">
            <w:pPr>
              <w:jc w:val="center"/>
            </w:pPr>
            <w:r>
              <w:rPr>
                <w:sz w:val="19"/>
                <w:szCs w:val="19"/>
              </w:rPr>
              <w:t>8,014</w:t>
            </w:r>
          </w:p>
        </w:tc>
        <w:tc>
          <w:tcPr>
            <w:tcW w:w="41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B5F4386" w14:textId="77777777" w:rsidR="005D1758" w:rsidRDefault="00000000">
            <w:pPr>
              <w:jc w:val="center"/>
            </w:pPr>
            <w:r>
              <w:rPr>
                <w:sz w:val="19"/>
                <w:szCs w:val="19"/>
              </w:rPr>
              <w:t>Both fell — but Intel fell harder</w:t>
            </w:r>
          </w:p>
        </w:tc>
      </w:tr>
      <w:tr w:rsidR="005D1758" w14:paraId="085F18F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C7C454B" w14:textId="77777777" w:rsidR="005D1758" w:rsidRDefault="00000000">
            <w:r>
              <w:rPr>
                <w:sz w:val="19"/>
                <w:szCs w:val="19"/>
              </w:rPr>
              <w:t>2023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67B4BFA" w14:textId="77777777" w:rsidR="005D1758" w:rsidRDefault="00000000">
            <w:pPr>
              <w:jc w:val="center"/>
            </w:pPr>
            <w:r>
              <w:rPr>
                <w:sz w:val="19"/>
                <w:szCs w:val="19"/>
              </w:rPr>
              <w:t>18,888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31E87DF" w14:textId="77777777" w:rsidR="005D1758" w:rsidRDefault="00000000">
            <w:pPr>
              <w:jc w:val="center"/>
            </w:pPr>
            <w:r>
              <w:rPr>
                <w:sz w:val="19"/>
                <w:szCs w:val="19"/>
              </w:rPr>
              <w:t>1,689</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54F2584" w14:textId="77777777" w:rsidR="005D1758" w:rsidRDefault="00000000">
            <w:pPr>
              <w:jc w:val="center"/>
            </w:pPr>
            <w:r>
              <w:rPr>
                <w:sz w:val="19"/>
                <w:szCs w:val="19"/>
              </w:rPr>
              <w:t>NVIDIA +217%. Intel -79%.</w:t>
            </w:r>
          </w:p>
        </w:tc>
      </w:tr>
      <w:tr w:rsidR="005D1758" w14:paraId="63CE036B"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34C93D1" w14:textId="77777777" w:rsidR="005D1758" w:rsidRDefault="00000000">
            <w:r>
              <w:rPr>
                <w:sz w:val="19"/>
                <w:szCs w:val="19"/>
              </w:rPr>
              <w:t>2024</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BCF9097" w14:textId="77777777" w:rsidR="005D1758" w:rsidRDefault="00000000">
            <w:pPr>
              <w:jc w:val="center"/>
            </w:pPr>
            <w:r>
              <w:rPr>
                <w:sz w:val="19"/>
                <w:szCs w:val="19"/>
              </w:rPr>
              <w:t>63,075</w:t>
            </w:r>
          </w:p>
        </w:tc>
        <w:tc>
          <w:tcPr>
            <w:tcW w:w="22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4EADEA1" w14:textId="77777777" w:rsidR="005D1758" w:rsidRDefault="00000000">
            <w:pPr>
              <w:jc w:val="center"/>
            </w:pPr>
            <w:r>
              <w:rPr>
                <w:sz w:val="19"/>
                <w:szCs w:val="19"/>
              </w:rPr>
              <w:t>-18,756</w:t>
            </w:r>
          </w:p>
        </w:tc>
        <w:tc>
          <w:tcPr>
            <w:tcW w:w="41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16B7E03" w14:textId="77777777" w:rsidR="005D1758" w:rsidRDefault="00000000">
            <w:pPr>
              <w:jc w:val="center"/>
            </w:pPr>
            <w:r>
              <w:rPr>
                <w:sz w:val="19"/>
                <w:szCs w:val="19"/>
              </w:rPr>
              <w:t>Intel's historic loss year</w:t>
            </w:r>
          </w:p>
        </w:tc>
      </w:tr>
      <w:tr w:rsidR="005D1758" w14:paraId="36ADDD5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16600E7" w14:textId="77777777" w:rsidR="005D1758" w:rsidRDefault="00000000">
            <w:r>
              <w:rPr>
                <w:sz w:val="19"/>
                <w:szCs w:val="19"/>
              </w:rPr>
              <w:t>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13D805F" w14:textId="77777777" w:rsidR="005D1758" w:rsidRDefault="00000000">
            <w:pPr>
              <w:jc w:val="center"/>
            </w:pPr>
            <w:r>
              <w:rPr>
                <w:sz w:val="19"/>
                <w:szCs w:val="19"/>
              </w:rPr>
              <w:t>99,198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72B06D" w14:textId="77777777" w:rsidR="005D1758" w:rsidRDefault="00000000">
            <w:pPr>
              <w:jc w:val="center"/>
            </w:pPr>
            <w:r>
              <w:rPr>
                <w:sz w:val="19"/>
                <w:szCs w:val="19"/>
              </w:rPr>
              <w:t>-267</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DE71F70" w14:textId="77777777" w:rsidR="005D1758" w:rsidRDefault="00000000">
            <w:pPr>
              <w:jc w:val="center"/>
            </w:pPr>
            <w:r>
              <w:rPr>
                <w:sz w:val="19"/>
                <w:szCs w:val="19"/>
              </w:rPr>
              <w:t>NVIDIA at $99B. Intel still in loss.</w:t>
            </w:r>
          </w:p>
        </w:tc>
      </w:tr>
    </w:tbl>
    <w:p w14:paraId="4711EBD0" w14:textId="77777777" w:rsidR="005D1758" w:rsidRDefault="005D1758">
      <w:pPr>
        <w:spacing w:after="60"/>
      </w:pPr>
    </w:p>
    <w:p w14:paraId="159058CA" w14:textId="77777777" w:rsidR="005D1758" w:rsidRDefault="00000000">
      <w:pPr>
        <w:spacing w:after="140"/>
        <w:jc w:val="both"/>
      </w:pPr>
      <w:r>
        <w:t>The 2018 figure for Intel is the critical deception in this dataset. Intel's $21 billion net income that year was real, but it masked an enterprise refresh cycle that temporarily boosted demand for server CPUs. It also masked the ongoing 10nm delays that were quietly eroding Intel's process leadership. Analysts who looked at Intel's 2018 results and concluded the company was healthy were, in retrospect, looking at a peak rather than a trend.</w:t>
      </w:r>
    </w:p>
    <w:p w14:paraId="5DAB0922" w14:textId="77777777" w:rsidR="005D1758" w:rsidRDefault="005D1758">
      <w:pPr>
        <w:spacing w:after="60"/>
      </w:pPr>
    </w:p>
    <w:p w14:paraId="058A4FB2" w14:textId="77777777" w:rsidR="005D1758" w:rsidRDefault="00000000">
      <w:pPr>
        <w:spacing w:after="140"/>
        <w:jc w:val="both"/>
      </w:pPr>
      <w:r>
        <w:t>Intel's 2024 net loss of $18.8 billion requires further context. A significant portion of this figure reflects asset impairments, restructuring charges, and deferred tax asset valuation adjustments — accounting consequences of writing down the value of manufacturing assets and future earnings assumptions. But even on a normalised basis, Intel's underlying profitability had collapsed. The Intel Foundry division alone reported an operating loss of $2.8 billion in the same year its product divisions were still generating some positive operating income. The gap between the two businesses had become a structural drain.</w:t>
      </w:r>
    </w:p>
    <w:p w14:paraId="26201A2F" w14:textId="77777777" w:rsidR="005D1758" w:rsidRDefault="005D17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5D1758" w14:paraId="50732E5D" w14:textId="77777777">
        <w:tc>
          <w:tcPr>
            <w:tcW w:w="240" w:type="dxa"/>
            <w:tcBorders>
              <w:top w:val="none" w:sz="0" w:space="0" w:color="FFFFFF"/>
              <w:left w:val="none" w:sz="0" w:space="0" w:color="FFFFFF"/>
              <w:bottom w:val="none" w:sz="0" w:space="0" w:color="FFFFFF"/>
              <w:right w:val="none" w:sz="0" w:space="0" w:color="FFFFFF"/>
            </w:tcBorders>
            <w:shd w:val="clear" w:color="auto" w:fill="7B1515"/>
          </w:tcPr>
          <w:p w14:paraId="38995198" w14:textId="77777777" w:rsidR="005D1758" w:rsidRDefault="005D1758"/>
        </w:tc>
        <w:tc>
          <w:tcPr>
            <w:tcW w:w="9120" w:type="dxa"/>
            <w:tcBorders>
              <w:top w:val="none" w:sz="0" w:space="0" w:color="FFFFFF"/>
              <w:left w:val="none" w:sz="0" w:space="0" w:color="FFFFFF"/>
              <w:bottom w:val="none" w:sz="0" w:space="0" w:color="FFFFFF"/>
              <w:right w:val="none" w:sz="0" w:space="0" w:color="FFFFFF"/>
            </w:tcBorders>
            <w:shd w:val="clear" w:color="auto" w:fill="FFF3F3"/>
            <w:tcMar>
              <w:top w:w="160" w:type="dxa"/>
              <w:left w:w="280" w:type="dxa"/>
              <w:bottom w:w="160" w:type="dxa"/>
              <w:right w:w="280" w:type="dxa"/>
            </w:tcMar>
          </w:tcPr>
          <w:p w14:paraId="6CDC09DC" w14:textId="77777777" w:rsidR="005D1758" w:rsidRDefault="00000000">
            <w:pPr>
              <w:jc w:val="both"/>
            </w:pPr>
            <w:r>
              <w:rPr>
                <w:i/>
                <w:iCs/>
              </w:rPr>
              <w:t>Intel's Q3 2024 quarterly loss was $16.6 billion — the worst in the company's history. In the same quarter, NVIDIA reported quarterly net income of approximately $19 billion. The companies had effectively swapped positions in a way that would have seemed impossible to predict a decade earlier.</w:t>
            </w:r>
          </w:p>
        </w:tc>
      </w:tr>
    </w:tbl>
    <w:p w14:paraId="6DC67FEC" w14:textId="77777777" w:rsidR="005D1758" w:rsidRDefault="005D1758">
      <w:pPr>
        <w:spacing w:after="60"/>
      </w:pPr>
    </w:p>
    <w:p w14:paraId="73266E47" w14:textId="77777777" w:rsidR="005D1758" w:rsidRDefault="005D1758">
      <w:pPr>
        <w:spacing w:after="60"/>
      </w:pPr>
    </w:p>
    <w:p w14:paraId="24618937" w14:textId="585C53EB" w:rsidR="005D1758" w:rsidRDefault="00000000">
      <w:pPr>
        <w:pBdr>
          <w:bottom w:val="single" w:sz="4" w:space="0" w:color="0D2137"/>
        </w:pBdr>
        <w:spacing w:before="320" w:after="100"/>
      </w:pPr>
      <w:r>
        <w:rPr>
          <w:b/>
          <w:bCs/>
          <w:color w:val="0D2137"/>
          <w:sz w:val="28"/>
          <w:szCs w:val="28"/>
        </w:rPr>
        <w:t>3.2 Gross Profit: Where NVIDIA's Pricing Power Became Visible</w:t>
      </w:r>
    </w:p>
    <w:p w14:paraId="4CD9BA5A" w14:textId="77777777" w:rsidR="005D1758" w:rsidRDefault="00000000">
      <w:pPr>
        <w:spacing w:after="140"/>
        <w:jc w:val="both"/>
      </w:pPr>
      <w:r>
        <w:t>Gross profit — revenue minus the direct cost of making a product — tells a different but equally important story. Gross profit reflects pricing power: how much of each revenue dollar a company keeps after paying for the goods it sells. Companies with strong competitive moats — where customers have few alternatives — maintain high gross margins even as they scale. Companies whose products are commoditising see margins compress over time.</w:t>
      </w:r>
    </w:p>
    <w:p w14:paraId="57CEF173" w14:textId="77777777" w:rsidR="005D1758" w:rsidRDefault="005D1758">
      <w:pPr>
        <w:spacing w:after="60"/>
      </w:pPr>
    </w:p>
    <w:p w14:paraId="3911B20D" w14:textId="77777777" w:rsidR="005D1758" w:rsidRDefault="00000000">
      <w:pPr>
        <w:spacing w:after="140"/>
        <w:jc w:val="both"/>
      </w:pPr>
      <w:r>
        <w:t>NVIDIA's gross profit trajectory is extraordinary. It began 2014 at $2.5 billion — a fraction of Intel's $35.6 billion. By 2025 it had reached $131 billion, more than seven times Intel's $18.4 billion. This is not just a story of revenue growth: NVIDIA's gross margin actually expanded during the AI boom because demand for H100 and Blackwell chips so dramatically exceeded supply that NVIDIA had near-total pricing power. A single H100 server cluster could sell for $200,000 to $500,000. Customers — the world's largest technology companies — were willing to pay whatever it took, because the alternative was falling behind in the AI race.</w:t>
      </w:r>
    </w:p>
    <w:p w14:paraId="76E87E6D" w14:textId="77777777" w:rsidR="005D1758" w:rsidRDefault="005D17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100"/>
        <w:gridCol w:w="2100"/>
        <w:gridCol w:w="4360"/>
      </w:tblGrid>
      <w:tr w:rsidR="005D1758" w14:paraId="04C139B3" w14:textId="77777777">
        <w:tc>
          <w:tcPr>
            <w:tcW w:w="8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50471668" w14:textId="77777777" w:rsidR="005D1758" w:rsidRDefault="00000000">
            <w:pPr>
              <w:jc w:val="center"/>
            </w:pPr>
            <w:r>
              <w:rPr>
                <w:b/>
                <w:bCs/>
                <w:color w:val="FFFFFF"/>
                <w:sz w:val="19"/>
                <w:szCs w:val="19"/>
              </w:rPr>
              <w:t>Year</w:t>
            </w:r>
          </w:p>
        </w:tc>
        <w:tc>
          <w:tcPr>
            <w:tcW w:w="2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52336288" w14:textId="77777777" w:rsidR="005D1758" w:rsidRDefault="00000000">
            <w:pPr>
              <w:jc w:val="center"/>
            </w:pPr>
            <w:r>
              <w:rPr>
                <w:b/>
                <w:bCs/>
                <w:color w:val="FFFFFF"/>
                <w:sz w:val="19"/>
                <w:szCs w:val="19"/>
              </w:rPr>
              <w:t>NVIDIA Gross Profit ($M)</w:t>
            </w:r>
          </w:p>
        </w:tc>
        <w:tc>
          <w:tcPr>
            <w:tcW w:w="2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1857D194" w14:textId="77777777" w:rsidR="005D1758" w:rsidRDefault="00000000">
            <w:pPr>
              <w:jc w:val="center"/>
            </w:pPr>
            <w:r>
              <w:rPr>
                <w:b/>
                <w:bCs/>
                <w:color w:val="FFFFFF"/>
                <w:sz w:val="19"/>
                <w:szCs w:val="19"/>
              </w:rPr>
              <w:t>Intel Gross Profit ($M)</w:t>
            </w:r>
          </w:p>
        </w:tc>
        <w:tc>
          <w:tcPr>
            <w:tcW w:w="43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7C0FC9E4" w14:textId="77777777" w:rsidR="005D1758" w:rsidRDefault="00000000">
            <w:pPr>
              <w:jc w:val="center"/>
            </w:pPr>
            <w:r>
              <w:rPr>
                <w:b/>
                <w:bCs/>
                <w:color w:val="FFFFFF"/>
                <w:sz w:val="19"/>
                <w:szCs w:val="19"/>
              </w:rPr>
              <w:t>Commentary</w:t>
            </w:r>
          </w:p>
        </w:tc>
      </w:tr>
      <w:tr w:rsidR="005D1758" w14:paraId="4C730357"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3CF43E6" w14:textId="77777777" w:rsidR="005D1758" w:rsidRDefault="00000000">
            <w:r>
              <w:rPr>
                <w:sz w:val="19"/>
                <w:szCs w:val="19"/>
              </w:rPr>
              <w:t>2014</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16C870D" w14:textId="77777777" w:rsidR="005D1758" w:rsidRDefault="00000000">
            <w:pPr>
              <w:jc w:val="center"/>
            </w:pPr>
            <w:r>
              <w:rPr>
                <w:sz w:val="19"/>
                <w:szCs w:val="19"/>
              </w:rPr>
              <w:t>2,518</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B85D5E9" w14:textId="77777777" w:rsidR="005D1758" w:rsidRDefault="00000000">
            <w:pPr>
              <w:jc w:val="center"/>
            </w:pPr>
            <w:r>
              <w:rPr>
                <w:sz w:val="19"/>
                <w:szCs w:val="19"/>
              </w:rPr>
              <w:t>35,609</w:t>
            </w:r>
          </w:p>
        </w:tc>
        <w:tc>
          <w:tcPr>
            <w:tcW w:w="43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86C43D4" w14:textId="77777777" w:rsidR="005D1758" w:rsidRDefault="00000000">
            <w:pPr>
              <w:jc w:val="center"/>
            </w:pPr>
            <w:r>
              <w:rPr>
                <w:sz w:val="19"/>
                <w:szCs w:val="19"/>
              </w:rPr>
              <w:t>Intel's GP is 14x larger</w:t>
            </w:r>
          </w:p>
        </w:tc>
      </w:tr>
      <w:tr w:rsidR="005D1758" w14:paraId="1C60B9A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3540CF3" w14:textId="77777777" w:rsidR="005D1758" w:rsidRDefault="00000000">
            <w:r>
              <w:rPr>
                <w:sz w:val="19"/>
                <w:szCs w:val="19"/>
              </w:rPr>
              <w:t>2015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A81B924" w14:textId="77777777" w:rsidR="005D1758" w:rsidRDefault="00000000">
            <w:pPr>
              <w:jc w:val="center"/>
            </w:pPr>
            <w:r>
              <w:rPr>
                <w:sz w:val="19"/>
                <w:szCs w:val="19"/>
              </w:rPr>
              <w:t>2,721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DA88573" w14:textId="77777777" w:rsidR="005D1758" w:rsidRDefault="00000000">
            <w:pPr>
              <w:jc w:val="center"/>
            </w:pPr>
            <w:r>
              <w:rPr>
                <w:sz w:val="19"/>
                <w:szCs w:val="19"/>
              </w:rPr>
              <w:t>34,679</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51471DC" w14:textId="77777777" w:rsidR="005D1758" w:rsidRDefault="00000000">
            <w:pPr>
              <w:jc w:val="center"/>
            </w:pPr>
            <w:r>
              <w:rPr>
                <w:sz w:val="19"/>
                <w:szCs w:val="19"/>
              </w:rPr>
              <w:t>Both companies growing slowly</w:t>
            </w:r>
          </w:p>
        </w:tc>
      </w:tr>
      <w:tr w:rsidR="005D1758" w14:paraId="347004D8"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5BFD087" w14:textId="77777777" w:rsidR="005D1758" w:rsidRDefault="00000000">
            <w:r>
              <w:rPr>
                <w:sz w:val="19"/>
                <w:szCs w:val="19"/>
              </w:rPr>
              <w:t>2016</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AAFAB19" w14:textId="77777777" w:rsidR="005D1758" w:rsidRDefault="00000000">
            <w:pPr>
              <w:jc w:val="center"/>
            </w:pPr>
            <w:r>
              <w:rPr>
                <w:sz w:val="19"/>
                <w:szCs w:val="19"/>
              </w:rPr>
              <w:t>3,550</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043D909" w14:textId="77777777" w:rsidR="005D1758" w:rsidRDefault="00000000">
            <w:pPr>
              <w:jc w:val="center"/>
            </w:pPr>
            <w:r>
              <w:rPr>
                <w:sz w:val="19"/>
                <w:szCs w:val="19"/>
              </w:rPr>
              <w:t>36,233</w:t>
            </w:r>
          </w:p>
        </w:tc>
        <w:tc>
          <w:tcPr>
            <w:tcW w:w="43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5EA313E" w14:textId="77777777" w:rsidR="005D1758" w:rsidRDefault="00000000">
            <w:pPr>
              <w:jc w:val="center"/>
            </w:pPr>
            <w:r>
              <w:rPr>
                <w:sz w:val="19"/>
                <w:szCs w:val="19"/>
              </w:rPr>
              <w:t>NVIDIA accelerating quietly</w:t>
            </w:r>
          </w:p>
        </w:tc>
      </w:tr>
      <w:tr w:rsidR="005D1758" w14:paraId="56F17F2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876ACE8" w14:textId="77777777" w:rsidR="005D1758" w:rsidRDefault="00000000">
            <w:r>
              <w:rPr>
                <w:sz w:val="19"/>
                <w:szCs w:val="19"/>
              </w:rPr>
              <w:t>2017</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BD42357" w14:textId="77777777" w:rsidR="005D1758" w:rsidRDefault="00000000">
            <w:pPr>
              <w:jc w:val="center"/>
            </w:pPr>
            <w:r>
              <w:rPr>
                <w:sz w:val="19"/>
                <w:szCs w:val="19"/>
              </w:rPr>
              <w:t>5,324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45C7906" w14:textId="77777777" w:rsidR="005D1758" w:rsidRDefault="00000000">
            <w:pPr>
              <w:jc w:val="center"/>
            </w:pPr>
            <w:r>
              <w:rPr>
                <w:sz w:val="19"/>
                <w:szCs w:val="19"/>
              </w:rPr>
              <w:t>39,098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A9BD2C4" w14:textId="77777777" w:rsidR="005D1758" w:rsidRDefault="00000000">
            <w:pPr>
              <w:jc w:val="center"/>
            </w:pPr>
            <w:r>
              <w:rPr>
                <w:sz w:val="19"/>
                <w:szCs w:val="19"/>
              </w:rPr>
              <w:t>Intel still growing — for now</w:t>
            </w:r>
          </w:p>
        </w:tc>
      </w:tr>
      <w:tr w:rsidR="005D1758" w14:paraId="5EE2C30D"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9A79566" w14:textId="77777777" w:rsidR="005D1758" w:rsidRDefault="00000000">
            <w:r>
              <w:rPr>
                <w:sz w:val="19"/>
                <w:szCs w:val="19"/>
              </w:rPr>
              <w:t>2018</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D1B0D31" w14:textId="77777777" w:rsidR="005D1758" w:rsidRDefault="00000000">
            <w:pPr>
              <w:jc w:val="center"/>
            </w:pPr>
            <w:r>
              <w:rPr>
                <w:sz w:val="19"/>
                <w:szCs w:val="19"/>
              </w:rPr>
              <w:t>7,765</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1D61846" w14:textId="77777777" w:rsidR="005D1758" w:rsidRDefault="00000000">
            <w:pPr>
              <w:jc w:val="center"/>
            </w:pPr>
            <w:r>
              <w:rPr>
                <w:sz w:val="19"/>
                <w:szCs w:val="19"/>
              </w:rPr>
              <w:t>43,737</w:t>
            </w:r>
          </w:p>
        </w:tc>
        <w:tc>
          <w:tcPr>
            <w:tcW w:w="43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D6DF87D" w14:textId="77777777" w:rsidR="005D1758" w:rsidRDefault="00000000">
            <w:pPr>
              <w:jc w:val="center"/>
            </w:pPr>
            <w:r>
              <w:rPr>
                <w:sz w:val="19"/>
                <w:szCs w:val="19"/>
              </w:rPr>
              <w:t>Intel's gross profit peak: $43.7B</w:t>
            </w:r>
          </w:p>
        </w:tc>
      </w:tr>
      <w:tr w:rsidR="005D1758" w14:paraId="7A2F670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C61BC4A" w14:textId="77777777" w:rsidR="005D1758" w:rsidRDefault="00000000">
            <w:r>
              <w:rPr>
                <w:sz w:val="19"/>
                <w:szCs w:val="19"/>
              </w:rPr>
              <w:t>2019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C81324F" w14:textId="77777777" w:rsidR="005D1758" w:rsidRDefault="00000000">
            <w:pPr>
              <w:jc w:val="center"/>
            </w:pPr>
            <w:r>
              <w:rPr>
                <w:sz w:val="19"/>
                <w:szCs w:val="19"/>
              </w:rPr>
              <w:t>5,960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373C8DB" w14:textId="77777777" w:rsidR="005D1758" w:rsidRDefault="00000000">
            <w:pPr>
              <w:jc w:val="center"/>
            </w:pPr>
            <w:r>
              <w:rPr>
                <w:sz w:val="19"/>
                <w:szCs w:val="19"/>
              </w:rPr>
              <w:t>42,140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BED5054" w14:textId="77777777" w:rsidR="005D1758" w:rsidRDefault="00000000">
            <w:pPr>
              <w:jc w:val="center"/>
            </w:pPr>
            <w:r>
              <w:rPr>
                <w:sz w:val="19"/>
                <w:szCs w:val="19"/>
              </w:rPr>
              <w:t>NVIDIA dipped; Intel holding</w:t>
            </w:r>
          </w:p>
        </w:tc>
      </w:tr>
      <w:tr w:rsidR="005D1758" w14:paraId="1F6E46E0"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7906072" w14:textId="77777777" w:rsidR="005D1758" w:rsidRDefault="00000000">
            <w:r>
              <w:rPr>
                <w:sz w:val="19"/>
                <w:szCs w:val="19"/>
              </w:rPr>
              <w:t>2020</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8D0B447" w14:textId="77777777" w:rsidR="005D1758" w:rsidRDefault="00000000">
            <w:pPr>
              <w:jc w:val="center"/>
            </w:pPr>
            <w:r>
              <w:rPr>
                <w:sz w:val="19"/>
                <w:szCs w:val="19"/>
              </w:rPr>
              <w:t>9,254</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9A0F0D9" w14:textId="77777777" w:rsidR="005D1758" w:rsidRDefault="00000000">
            <w:pPr>
              <w:jc w:val="center"/>
            </w:pPr>
            <w:r>
              <w:rPr>
                <w:sz w:val="19"/>
                <w:szCs w:val="19"/>
              </w:rPr>
              <w:t>43,612</w:t>
            </w:r>
          </w:p>
        </w:tc>
        <w:tc>
          <w:tcPr>
            <w:tcW w:w="43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E445B44" w14:textId="77777777" w:rsidR="005D1758" w:rsidRDefault="00000000">
            <w:pPr>
              <w:jc w:val="center"/>
            </w:pPr>
            <w:r>
              <w:rPr>
                <w:sz w:val="19"/>
                <w:szCs w:val="19"/>
              </w:rPr>
              <w:t>NVIDIA recovering strongly</w:t>
            </w:r>
          </w:p>
        </w:tc>
      </w:tr>
      <w:tr w:rsidR="005D1758" w14:paraId="1231CD1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4A1CCED" w14:textId="77777777" w:rsidR="005D1758" w:rsidRDefault="00000000">
            <w:r>
              <w:rPr>
                <w:sz w:val="19"/>
                <w:szCs w:val="19"/>
              </w:rPr>
              <w:t>2021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E3F79DD" w14:textId="77777777" w:rsidR="005D1758" w:rsidRDefault="00000000">
            <w:pPr>
              <w:jc w:val="center"/>
            </w:pPr>
            <w:r>
              <w:rPr>
                <w:sz w:val="19"/>
                <w:szCs w:val="19"/>
              </w:rPr>
              <w:t>15,632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432DDFD" w14:textId="77777777" w:rsidR="005D1758" w:rsidRDefault="00000000">
            <w:pPr>
              <w:jc w:val="center"/>
            </w:pPr>
            <w:r>
              <w:rPr>
                <w:sz w:val="19"/>
                <w:szCs w:val="19"/>
              </w:rPr>
              <w:t>43,815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E7B106C" w14:textId="77777777" w:rsidR="005D1758" w:rsidRDefault="00000000">
            <w:pPr>
              <w:jc w:val="center"/>
            </w:pPr>
            <w:r>
              <w:rPr>
                <w:sz w:val="19"/>
                <w:szCs w:val="19"/>
              </w:rPr>
              <w:t>Intel's final strong year</w:t>
            </w:r>
          </w:p>
        </w:tc>
      </w:tr>
      <w:tr w:rsidR="005D1758" w14:paraId="6EEC0E90"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B959445" w14:textId="77777777" w:rsidR="005D1758" w:rsidRDefault="00000000">
            <w:r>
              <w:rPr>
                <w:sz w:val="19"/>
                <w:szCs w:val="19"/>
              </w:rPr>
              <w:t>2022</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465D549" w14:textId="77777777" w:rsidR="005D1758" w:rsidRDefault="00000000">
            <w:pPr>
              <w:jc w:val="center"/>
            </w:pPr>
            <w:r>
              <w:rPr>
                <w:sz w:val="19"/>
                <w:szCs w:val="19"/>
              </w:rPr>
              <w:t>16,523</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1B43087" w14:textId="77777777" w:rsidR="005D1758" w:rsidRDefault="00000000">
            <w:pPr>
              <w:jc w:val="center"/>
            </w:pPr>
            <w:r>
              <w:rPr>
                <w:sz w:val="19"/>
                <w:szCs w:val="19"/>
              </w:rPr>
              <w:t>26,866</w:t>
            </w:r>
          </w:p>
        </w:tc>
        <w:tc>
          <w:tcPr>
            <w:tcW w:w="43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8B6912B" w14:textId="77777777" w:rsidR="005D1758" w:rsidRDefault="00000000">
            <w:pPr>
              <w:jc w:val="center"/>
            </w:pPr>
            <w:r>
              <w:rPr>
                <w:sz w:val="19"/>
                <w:szCs w:val="19"/>
              </w:rPr>
              <w:t>Intel fell 39%. NVIDIA held.</w:t>
            </w:r>
          </w:p>
        </w:tc>
      </w:tr>
      <w:tr w:rsidR="005D1758" w14:paraId="0DE575B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0F79263" w14:textId="77777777" w:rsidR="005D1758" w:rsidRDefault="00000000">
            <w:r>
              <w:rPr>
                <w:sz w:val="19"/>
                <w:szCs w:val="19"/>
              </w:rPr>
              <w:t>2023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4B7C557" w14:textId="77777777" w:rsidR="005D1758" w:rsidRDefault="00000000">
            <w:pPr>
              <w:jc w:val="center"/>
            </w:pPr>
            <w:r>
              <w:rPr>
                <w:sz w:val="19"/>
                <w:szCs w:val="19"/>
              </w:rPr>
              <w:t>31,343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91A91AA" w14:textId="77777777" w:rsidR="005D1758" w:rsidRDefault="00000000">
            <w:pPr>
              <w:jc w:val="center"/>
            </w:pPr>
            <w:r>
              <w:rPr>
                <w:sz w:val="19"/>
                <w:szCs w:val="19"/>
              </w:rPr>
              <w:t>21,711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B5318A7" w14:textId="77777777" w:rsidR="005D1758" w:rsidRDefault="00000000">
            <w:pPr>
              <w:jc w:val="center"/>
            </w:pPr>
            <w:r>
              <w:rPr>
                <w:sz w:val="19"/>
                <w:szCs w:val="19"/>
              </w:rPr>
              <w:t>NVIDIA first overtook Intel</w:t>
            </w:r>
          </w:p>
        </w:tc>
      </w:tr>
      <w:tr w:rsidR="005D1758" w14:paraId="47EC58C4"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6E2C0E8" w14:textId="77777777" w:rsidR="005D1758" w:rsidRDefault="00000000">
            <w:r>
              <w:rPr>
                <w:sz w:val="19"/>
                <w:szCs w:val="19"/>
              </w:rPr>
              <w:t>2024</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40F57AD" w14:textId="77777777" w:rsidR="005D1758" w:rsidRDefault="00000000">
            <w:pPr>
              <w:jc w:val="center"/>
            </w:pPr>
            <w:r>
              <w:rPr>
                <w:sz w:val="19"/>
                <w:szCs w:val="19"/>
              </w:rPr>
              <w:t>85,927</w:t>
            </w:r>
          </w:p>
        </w:tc>
        <w:tc>
          <w:tcPr>
            <w:tcW w:w="2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BA3680E" w14:textId="77777777" w:rsidR="005D1758" w:rsidRDefault="00000000">
            <w:pPr>
              <w:jc w:val="center"/>
            </w:pPr>
            <w:r>
              <w:rPr>
                <w:sz w:val="19"/>
                <w:szCs w:val="19"/>
              </w:rPr>
              <w:t>17,345</w:t>
            </w:r>
          </w:p>
        </w:tc>
        <w:tc>
          <w:tcPr>
            <w:tcW w:w="43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6DBC39E" w14:textId="77777777" w:rsidR="005D1758" w:rsidRDefault="00000000">
            <w:pPr>
              <w:jc w:val="center"/>
            </w:pPr>
            <w:r>
              <w:rPr>
                <w:sz w:val="19"/>
                <w:szCs w:val="19"/>
              </w:rPr>
              <w:t>NVIDIA is now 5x Intel's GP</w:t>
            </w:r>
          </w:p>
        </w:tc>
      </w:tr>
      <w:tr w:rsidR="005D1758" w14:paraId="6DB0EB7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1164546" w14:textId="77777777" w:rsidR="005D1758" w:rsidRDefault="00000000">
            <w:r>
              <w:rPr>
                <w:sz w:val="19"/>
                <w:szCs w:val="19"/>
              </w:rPr>
              <w:t>2025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E6C61C0" w14:textId="77777777" w:rsidR="005D1758" w:rsidRDefault="00000000">
            <w:pPr>
              <w:jc w:val="center"/>
            </w:pPr>
            <w:r>
              <w:rPr>
                <w:sz w:val="19"/>
                <w:szCs w:val="19"/>
              </w:rPr>
              <w:t>131,092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EEEDBFC" w14:textId="77777777" w:rsidR="005D1758" w:rsidRDefault="00000000">
            <w:pPr>
              <w:jc w:val="center"/>
            </w:pPr>
            <w:r>
              <w:rPr>
                <w:sz w:val="19"/>
                <w:szCs w:val="19"/>
              </w:rPr>
              <w:t>18,375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C7A5F90" w14:textId="77777777" w:rsidR="005D1758" w:rsidRDefault="00000000">
            <w:pPr>
              <w:jc w:val="center"/>
            </w:pPr>
            <w:r>
              <w:rPr>
                <w:sz w:val="19"/>
                <w:szCs w:val="19"/>
              </w:rPr>
              <w:t>NVIDIA is now 7x Intel's GP</w:t>
            </w:r>
          </w:p>
        </w:tc>
      </w:tr>
    </w:tbl>
    <w:p w14:paraId="3745C0AB" w14:textId="77777777" w:rsidR="005D1758" w:rsidRDefault="005D1758">
      <w:pPr>
        <w:spacing w:after="60"/>
      </w:pPr>
    </w:p>
    <w:p w14:paraId="09FD3FF5" w14:textId="77777777" w:rsidR="005D1758" w:rsidRDefault="00000000">
      <w:pPr>
        <w:spacing w:after="140"/>
        <w:jc w:val="both"/>
      </w:pPr>
      <w:r>
        <w:t>Intel's gross profit peak of $43.8 billion in 2021 masks a deteriorating situation. The company's gross margin percentage had been quietly declining as manufacturing costs rose (partly due to the extended 14nm period, which meant more wafers consumed per chip), product mix shifted toward lower-margin segments, and competitive pressure from AMD forced pricing concessions. When the 2022 semiconductor cycle downturn hit — alongside Intel-specific execution challenges — the gross profit number fell off a cliff, dropping nearly $17 billion in a single year.</w:t>
      </w:r>
    </w:p>
    <w:p w14:paraId="538B59B1" w14:textId="77777777" w:rsidR="005D1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1758" w14:paraId="0E842E44" w14:textId="77777777">
        <w:tc>
          <w:tcPr>
            <w:tcW w:w="1200" w:type="dxa"/>
            <w:tcBorders>
              <w:top w:val="none" w:sz="0" w:space="0" w:color="FFFFFF"/>
              <w:left w:val="none" w:sz="0" w:space="0" w:color="FFFFFF"/>
              <w:bottom w:val="none" w:sz="0" w:space="0" w:color="FFFFFF"/>
              <w:right w:val="none" w:sz="0" w:space="0" w:color="FFFFFF"/>
            </w:tcBorders>
            <w:shd w:val="clear" w:color="auto" w:fill="0D2137"/>
            <w:tcMar>
              <w:top w:w="160" w:type="dxa"/>
              <w:left w:w="180" w:type="dxa"/>
              <w:bottom w:w="160" w:type="dxa"/>
              <w:right w:w="180" w:type="dxa"/>
            </w:tcMar>
            <w:vAlign w:val="center"/>
          </w:tcPr>
          <w:p w14:paraId="23FCC447" w14:textId="77777777" w:rsidR="005D1758" w:rsidRDefault="00000000">
            <w:pPr>
              <w:jc w:val="center"/>
            </w:pPr>
            <w:r>
              <w:rPr>
                <w:b/>
                <w:bCs/>
                <w:color w:val="FFFFFF"/>
                <w:sz w:val="52"/>
                <w:szCs w:val="52"/>
              </w:rPr>
              <w:t>04</w:t>
            </w:r>
          </w:p>
        </w:tc>
        <w:tc>
          <w:tcPr>
            <w:tcW w:w="8160" w:type="dxa"/>
            <w:tcBorders>
              <w:top w:val="none" w:sz="0" w:space="0" w:color="FFFFFF"/>
              <w:left w:val="none" w:sz="0" w:space="0" w:color="FFFFFF"/>
              <w:bottom w:val="none" w:sz="0" w:space="0" w:color="FFFFFF"/>
              <w:right w:val="none" w:sz="0" w:space="0" w:color="FFFFFF"/>
            </w:tcBorders>
            <w:shd w:val="clear" w:color="auto" w:fill="F8F8F8"/>
            <w:tcMar>
              <w:top w:w="120" w:type="dxa"/>
              <w:left w:w="280" w:type="dxa"/>
              <w:bottom w:w="120" w:type="dxa"/>
              <w:right w:w="180" w:type="dxa"/>
            </w:tcMar>
          </w:tcPr>
          <w:p w14:paraId="33029DA1" w14:textId="77777777" w:rsidR="005D1758" w:rsidRDefault="00000000">
            <w:r>
              <w:rPr>
                <w:b/>
                <w:bCs/>
                <w:color w:val="0D2137"/>
                <w:sz w:val="32"/>
                <w:szCs w:val="32"/>
              </w:rPr>
              <w:t>GROWTH RATE ANALYSIS</w:t>
            </w:r>
          </w:p>
          <w:p w14:paraId="0665E80F" w14:textId="77777777" w:rsidR="005D1758" w:rsidRDefault="00000000">
            <w:r>
              <w:rPr>
                <w:i/>
                <w:iCs/>
                <w:color w:val="555555"/>
                <w:sz w:val="20"/>
                <w:szCs w:val="20"/>
              </w:rPr>
              <w:t>YoY Growth, CAGR by era, and what the numbers reveal about strategic momentum</w:t>
            </w:r>
          </w:p>
        </w:tc>
      </w:tr>
    </w:tbl>
    <w:p w14:paraId="7FEF9D9F" w14:textId="77777777" w:rsidR="005D1758" w:rsidRDefault="005D1758">
      <w:pPr>
        <w:spacing w:after="60"/>
      </w:pPr>
    </w:p>
    <w:p w14:paraId="267EE270" w14:textId="690C4432" w:rsidR="005D1758" w:rsidRDefault="00000000">
      <w:pPr>
        <w:pBdr>
          <w:bottom w:val="single" w:sz="4" w:space="0" w:color="0D2137"/>
        </w:pBdr>
        <w:spacing w:before="320" w:after="100"/>
      </w:pPr>
      <w:r>
        <w:rPr>
          <w:b/>
          <w:bCs/>
          <w:color w:val="0D2137"/>
          <w:sz w:val="28"/>
          <w:szCs w:val="28"/>
        </w:rPr>
        <w:t>4.1 Year-on-Year Growth: Reading the Rhythm of Each Business</w:t>
      </w:r>
    </w:p>
    <w:p w14:paraId="6CC197F6" w14:textId="77777777" w:rsidR="005D1758" w:rsidRDefault="00000000">
      <w:pPr>
        <w:spacing w:after="140"/>
        <w:jc w:val="both"/>
      </w:pPr>
      <w:r>
        <w:t>Year-on-Year growth rates were calculated using the formula: (Current Year – Prior Year) / Prior Year. This provides a measure of how quickly each business was growing or shrinking relative to the previous year. The table below shows the net income YoY growth for both companies across the full analysis period.</w:t>
      </w:r>
    </w:p>
    <w:p w14:paraId="59EF97D3" w14:textId="77777777" w:rsidR="005D1758" w:rsidRDefault="005D1758">
      <w:pPr>
        <w:spacing w:after="60"/>
      </w:pPr>
    </w:p>
    <w:p w14:paraId="57A06360" w14:textId="77777777" w:rsidR="005D1758" w:rsidRDefault="00000000">
      <w:pPr>
        <w:spacing w:after="140"/>
        <w:jc w:val="both"/>
      </w:pPr>
      <w:r>
        <w:t xml:space="preserve">What this table reveals </w:t>
      </w:r>
      <w:proofErr w:type="gramStart"/>
      <w:r>
        <w:t>is</w:t>
      </w:r>
      <w:proofErr w:type="gramEnd"/>
      <w:r>
        <w:t xml:space="preserve"> not just magnitude — it is character. NVIDIA's growth is volatile and explosive: years of triple-digit growth interspersed with years of contraction driven by industry cycles. Intel's growth is relentlessly negative, interrupted only by 2018's enterprise refresh. These are two fundamentally different types of businesses expressing two fundamentally different strategic situations.</w:t>
      </w:r>
    </w:p>
    <w:p w14:paraId="3F113F07" w14:textId="77777777" w:rsidR="005D1758" w:rsidRDefault="005D17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1759"/>
        <w:gridCol w:w="1760"/>
        <w:gridCol w:w="5138"/>
      </w:tblGrid>
      <w:tr w:rsidR="005D1758" w14:paraId="33F6B04C" w14:textId="77777777">
        <w:tc>
          <w:tcPr>
            <w:tcW w:w="7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13ABD1A1" w14:textId="77777777" w:rsidR="005D1758" w:rsidRDefault="00000000">
            <w:pPr>
              <w:jc w:val="center"/>
            </w:pPr>
            <w:r>
              <w:rPr>
                <w:b/>
                <w:bCs/>
                <w:color w:val="FFFFFF"/>
                <w:sz w:val="19"/>
                <w:szCs w:val="19"/>
              </w:rPr>
              <w:t>Year</w:t>
            </w:r>
          </w:p>
        </w:tc>
        <w:tc>
          <w:tcPr>
            <w:tcW w:w="17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4195B80C" w14:textId="77777777" w:rsidR="005D1758" w:rsidRDefault="00000000">
            <w:pPr>
              <w:jc w:val="center"/>
            </w:pPr>
            <w:r>
              <w:rPr>
                <w:b/>
                <w:bCs/>
                <w:color w:val="FFFFFF"/>
                <w:sz w:val="19"/>
                <w:szCs w:val="19"/>
              </w:rPr>
              <w:t>NVIDIA NI YoY Growth</w:t>
            </w:r>
          </w:p>
        </w:tc>
        <w:tc>
          <w:tcPr>
            <w:tcW w:w="17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27C284CB" w14:textId="77777777" w:rsidR="005D1758" w:rsidRDefault="00000000">
            <w:pPr>
              <w:jc w:val="center"/>
            </w:pPr>
            <w:r>
              <w:rPr>
                <w:b/>
                <w:bCs/>
                <w:color w:val="FFFFFF"/>
                <w:sz w:val="19"/>
                <w:szCs w:val="19"/>
              </w:rPr>
              <w:t>Intel NI YoY Growth</w:t>
            </w:r>
          </w:p>
        </w:tc>
        <w:tc>
          <w:tcPr>
            <w:tcW w:w="514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6C6D30D1" w14:textId="77777777" w:rsidR="005D1758" w:rsidRDefault="00000000">
            <w:pPr>
              <w:jc w:val="center"/>
            </w:pPr>
            <w:r>
              <w:rPr>
                <w:b/>
                <w:bCs/>
                <w:color w:val="FFFFFF"/>
                <w:sz w:val="19"/>
                <w:szCs w:val="19"/>
              </w:rPr>
              <w:t>What Was Happening</w:t>
            </w:r>
          </w:p>
        </w:tc>
      </w:tr>
      <w:tr w:rsidR="005D1758" w14:paraId="3A5A8D31"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9D61C84" w14:textId="77777777" w:rsidR="005D1758" w:rsidRDefault="00000000">
            <w:r>
              <w:rPr>
                <w:sz w:val="19"/>
                <w:szCs w:val="19"/>
              </w:rPr>
              <w:t>2015</w:t>
            </w:r>
          </w:p>
        </w:tc>
        <w:tc>
          <w:tcPr>
            <w:tcW w:w="17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610C3AD" w14:textId="77777777" w:rsidR="005D1758" w:rsidRDefault="00000000">
            <w:pPr>
              <w:jc w:val="center"/>
            </w:pPr>
            <w:r>
              <w:rPr>
                <w:sz w:val="19"/>
                <w:szCs w:val="19"/>
              </w:rPr>
              <w:t>+2.4%</w:t>
            </w:r>
          </w:p>
        </w:tc>
        <w:tc>
          <w:tcPr>
            <w:tcW w:w="17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C2FA7E1" w14:textId="77777777" w:rsidR="005D1758" w:rsidRDefault="00000000">
            <w:pPr>
              <w:jc w:val="center"/>
            </w:pPr>
            <w:r>
              <w:rPr>
                <w:sz w:val="19"/>
                <w:szCs w:val="19"/>
              </w:rPr>
              <w:t>-2.4%</w:t>
            </w:r>
          </w:p>
        </w:tc>
        <w:tc>
          <w:tcPr>
            <w:tcW w:w="51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B482906" w14:textId="77777777" w:rsidR="005D1758" w:rsidRDefault="00000000">
            <w:pPr>
              <w:jc w:val="center"/>
            </w:pPr>
            <w:r>
              <w:rPr>
                <w:sz w:val="19"/>
                <w:szCs w:val="19"/>
              </w:rPr>
              <w:t>Quiet year. NVIDIA growing modestly off a small base.</w:t>
            </w:r>
          </w:p>
        </w:tc>
      </w:tr>
      <w:tr w:rsidR="005D1758" w14:paraId="73D54A7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EE76B9D" w14:textId="77777777" w:rsidR="005D1758" w:rsidRDefault="00000000">
            <w:r>
              <w:rPr>
                <w:sz w:val="19"/>
                <w:szCs w:val="19"/>
              </w:rPr>
              <w:t>2016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F184591" w14:textId="77777777" w:rsidR="005D1758" w:rsidRDefault="00000000">
            <w:pPr>
              <w:jc w:val="center"/>
            </w:pPr>
            <w:r>
              <w:rPr>
                <w:sz w:val="19"/>
                <w:szCs w:val="19"/>
              </w:rPr>
              <w:t>+103.5%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131BC37" w14:textId="77777777" w:rsidR="005D1758" w:rsidRDefault="00000000">
            <w:pPr>
              <w:jc w:val="center"/>
            </w:pPr>
            <w:r>
              <w:rPr>
                <w:sz w:val="19"/>
                <w:szCs w:val="19"/>
              </w:rPr>
              <w:t>-9.7%</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C0E8371" w14:textId="77777777" w:rsidR="005D1758" w:rsidRDefault="00000000">
            <w:pPr>
              <w:jc w:val="center"/>
            </w:pPr>
            <w:r>
              <w:rPr>
                <w:sz w:val="19"/>
                <w:szCs w:val="19"/>
              </w:rPr>
              <w:t>Pascal GPU launched. Deep learning demand surging.</w:t>
            </w:r>
          </w:p>
        </w:tc>
      </w:tr>
      <w:tr w:rsidR="005D1758" w14:paraId="7B0A6BD6"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896647C" w14:textId="77777777" w:rsidR="005D1758" w:rsidRDefault="00000000">
            <w:r>
              <w:rPr>
                <w:sz w:val="19"/>
                <w:szCs w:val="19"/>
              </w:rPr>
              <w:t>2017</w:t>
            </w:r>
          </w:p>
        </w:tc>
        <w:tc>
          <w:tcPr>
            <w:tcW w:w="17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C99DE2A" w14:textId="77777777" w:rsidR="005D1758" w:rsidRDefault="00000000">
            <w:pPr>
              <w:jc w:val="center"/>
            </w:pPr>
            <w:r>
              <w:rPr>
                <w:sz w:val="19"/>
                <w:szCs w:val="19"/>
              </w:rPr>
              <w:t>+111.9%</w:t>
            </w:r>
          </w:p>
        </w:tc>
        <w:tc>
          <w:tcPr>
            <w:tcW w:w="17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5ECA110" w14:textId="77777777" w:rsidR="005D1758" w:rsidRDefault="00000000">
            <w:pPr>
              <w:jc w:val="center"/>
            </w:pPr>
            <w:r>
              <w:rPr>
                <w:sz w:val="19"/>
                <w:szCs w:val="19"/>
              </w:rPr>
              <w:t>-6.9%</w:t>
            </w:r>
          </w:p>
        </w:tc>
        <w:tc>
          <w:tcPr>
            <w:tcW w:w="51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1EBB84E" w14:textId="77777777" w:rsidR="005D1758" w:rsidRDefault="00000000">
            <w:pPr>
              <w:jc w:val="center"/>
            </w:pPr>
            <w:r>
              <w:rPr>
                <w:sz w:val="19"/>
                <w:szCs w:val="19"/>
              </w:rPr>
              <w:t>AI and crypto GPU demand. NVIDIA doubled again.</w:t>
            </w:r>
          </w:p>
        </w:tc>
      </w:tr>
      <w:tr w:rsidR="005D1758" w14:paraId="0C7BEBC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9D7F956" w14:textId="77777777" w:rsidR="005D1758" w:rsidRDefault="00000000">
            <w:r>
              <w:rPr>
                <w:sz w:val="19"/>
                <w:szCs w:val="19"/>
              </w:rPr>
              <w:t>2018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D85372D" w14:textId="77777777" w:rsidR="005D1758" w:rsidRDefault="00000000">
            <w:pPr>
              <w:jc w:val="center"/>
            </w:pPr>
            <w:r>
              <w:rPr>
                <w:sz w:val="19"/>
                <w:szCs w:val="19"/>
              </w:rPr>
              <w:t>+81.7%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AA29883" w14:textId="77777777" w:rsidR="005D1758" w:rsidRDefault="00000000">
            <w:pPr>
              <w:jc w:val="center"/>
            </w:pPr>
            <w:r>
              <w:rPr>
                <w:sz w:val="19"/>
                <w:szCs w:val="19"/>
              </w:rPr>
              <w:t>+119.3%</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AC180EE" w14:textId="77777777" w:rsidR="005D1758" w:rsidRDefault="00000000">
            <w:pPr>
              <w:jc w:val="center"/>
            </w:pPr>
            <w:r>
              <w:rPr>
                <w:sz w:val="19"/>
                <w:szCs w:val="19"/>
              </w:rPr>
              <w:t>Intel enterprise refresh. NVIDIA Data Centre growing.</w:t>
            </w:r>
          </w:p>
        </w:tc>
      </w:tr>
      <w:tr w:rsidR="005D1758" w14:paraId="7E0B05E1"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911D9F0" w14:textId="77777777" w:rsidR="005D1758" w:rsidRDefault="00000000">
            <w:r>
              <w:rPr>
                <w:sz w:val="19"/>
                <w:szCs w:val="19"/>
              </w:rPr>
              <w:t>2019</w:t>
            </w:r>
          </w:p>
        </w:tc>
        <w:tc>
          <w:tcPr>
            <w:tcW w:w="17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CE28416" w14:textId="77777777" w:rsidR="005D1758" w:rsidRDefault="00000000">
            <w:pPr>
              <w:jc w:val="center"/>
            </w:pPr>
            <w:r>
              <w:rPr>
                <w:sz w:val="19"/>
                <w:szCs w:val="19"/>
              </w:rPr>
              <w:t>-48.6%</w:t>
            </w:r>
          </w:p>
        </w:tc>
        <w:tc>
          <w:tcPr>
            <w:tcW w:w="17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8F206CC" w14:textId="77777777" w:rsidR="005D1758" w:rsidRDefault="00000000">
            <w:pPr>
              <w:jc w:val="center"/>
            </w:pPr>
            <w:r>
              <w:rPr>
                <w:sz w:val="19"/>
                <w:szCs w:val="19"/>
              </w:rPr>
              <w:t>~0.0%</w:t>
            </w:r>
          </w:p>
        </w:tc>
        <w:tc>
          <w:tcPr>
            <w:tcW w:w="51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7FBB2E7" w14:textId="77777777" w:rsidR="005D1758" w:rsidRDefault="00000000">
            <w:pPr>
              <w:jc w:val="center"/>
            </w:pPr>
            <w:r>
              <w:rPr>
                <w:sz w:val="19"/>
                <w:szCs w:val="19"/>
              </w:rPr>
              <w:t>Crypto bust. NVIDIA inventory correction. Intel held flat.</w:t>
            </w:r>
          </w:p>
        </w:tc>
      </w:tr>
      <w:tr w:rsidR="005D1758" w14:paraId="405014D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7ED9143" w14:textId="77777777" w:rsidR="005D1758" w:rsidRDefault="00000000">
            <w:r>
              <w:rPr>
                <w:sz w:val="19"/>
                <w:szCs w:val="19"/>
              </w:rPr>
              <w:t>2020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FEA6905" w14:textId="77777777" w:rsidR="005D1758" w:rsidRDefault="00000000">
            <w:pPr>
              <w:jc w:val="center"/>
            </w:pPr>
            <w:r>
              <w:rPr>
                <w:sz w:val="19"/>
                <w:szCs w:val="19"/>
              </w:rPr>
              <w:t>+58.7%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ECBA8B4" w14:textId="77777777" w:rsidR="005D1758" w:rsidRDefault="00000000">
            <w:pPr>
              <w:jc w:val="center"/>
            </w:pPr>
            <w:r>
              <w:rPr>
                <w:sz w:val="19"/>
                <w:szCs w:val="19"/>
              </w:rPr>
              <w:t>-0.7%</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613CA99" w14:textId="77777777" w:rsidR="005D1758" w:rsidRDefault="00000000">
            <w:pPr>
              <w:jc w:val="center"/>
            </w:pPr>
            <w:r>
              <w:rPr>
                <w:sz w:val="19"/>
                <w:szCs w:val="19"/>
              </w:rPr>
              <w:t>NVIDIA recovering. Ampere GPU launched. Intel declining.</w:t>
            </w:r>
          </w:p>
        </w:tc>
      </w:tr>
      <w:tr w:rsidR="005D1758" w14:paraId="138BBEB9"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B3B6978" w14:textId="77777777" w:rsidR="005D1758" w:rsidRDefault="00000000">
            <w:r>
              <w:rPr>
                <w:sz w:val="19"/>
                <w:szCs w:val="19"/>
              </w:rPr>
              <w:t>2021</w:t>
            </w:r>
          </w:p>
        </w:tc>
        <w:tc>
          <w:tcPr>
            <w:tcW w:w="17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14A0EBE" w14:textId="77777777" w:rsidR="005D1758" w:rsidRDefault="00000000">
            <w:pPr>
              <w:jc w:val="center"/>
            </w:pPr>
            <w:r>
              <w:rPr>
                <w:sz w:val="19"/>
                <w:szCs w:val="19"/>
              </w:rPr>
              <w:t>+114.5%</w:t>
            </w:r>
          </w:p>
        </w:tc>
        <w:tc>
          <w:tcPr>
            <w:tcW w:w="17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12442F2" w14:textId="77777777" w:rsidR="005D1758" w:rsidRDefault="00000000">
            <w:pPr>
              <w:jc w:val="center"/>
            </w:pPr>
            <w:r>
              <w:rPr>
                <w:sz w:val="19"/>
                <w:szCs w:val="19"/>
              </w:rPr>
              <w:t>-4.9%</w:t>
            </w:r>
          </w:p>
        </w:tc>
        <w:tc>
          <w:tcPr>
            <w:tcW w:w="51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7293965" w14:textId="77777777" w:rsidR="005D1758" w:rsidRDefault="00000000">
            <w:pPr>
              <w:jc w:val="center"/>
            </w:pPr>
            <w:r>
              <w:rPr>
                <w:sz w:val="19"/>
                <w:szCs w:val="19"/>
              </w:rPr>
              <w:t>NVIDIA surged. Data Centre booming. Intel sliding.</w:t>
            </w:r>
          </w:p>
        </w:tc>
      </w:tr>
      <w:tr w:rsidR="005D1758" w14:paraId="7313995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3206950" w14:textId="77777777" w:rsidR="005D1758" w:rsidRDefault="00000000">
            <w:r>
              <w:rPr>
                <w:sz w:val="19"/>
                <w:szCs w:val="19"/>
              </w:rPr>
              <w:t>2022</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D75256A" w14:textId="77777777" w:rsidR="005D1758" w:rsidRDefault="00000000">
            <w:pPr>
              <w:jc w:val="center"/>
            </w:pPr>
            <w:r>
              <w:rPr>
                <w:sz w:val="19"/>
                <w:szCs w:val="19"/>
              </w:rPr>
              <w:t>-27.4%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2291704" w14:textId="77777777" w:rsidR="005D1758" w:rsidRDefault="00000000">
            <w:pPr>
              <w:jc w:val="center"/>
            </w:pPr>
            <w:r>
              <w:rPr>
                <w:sz w:val="19"/>
                <w:szCs w:val="19"/>
              </w:rPr>
              <w:t>-59.7%</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D64E78C" w14:textId="77777777" w:rsidR="005D1758" w:rsidRDefault="00000000">
            <w:pPr>
              <w:jc w:val="center"/>
            </w:pPr>
            <w:r>
              <w:rPr>
                <w:sz w:val="19"/>
                <w:szCs w:val="19"/>
              </w:rPr>
              <w:t>Semiconductor downturn. Both fell. Intel fell harder.</w:t>
            </w:r>
          </w:p>
        </w:tc>
      </w:tr>
      <w:tr w:rsidR="005D1758" w14:paraId="6028B207"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1EE49EA" w14:textId="77777777" w:rsidR="005D1758" w:rsidRDefault="00000000">
            <w:r>
              <w:rPr>
                <w:sz w:val="19"/>
                <w:szCs w:val="19"/>
              </w:rPr>
              <w:t>2023</w:t>
            </w:r>
          </w:p>
        </w:tc>
        <w:tc>
          <w:tcPr>
            <w:tcW w:w="17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D966F8C" w14:textId="77777777" w:rsidR="005D1758" w:rsidRDefault="00000000">
            <w:pPr>
              <w:jc w:val="center"/>
            </w:pPr>
            <w:r>
              <w:rPr>
                <w:sz w:val="19"/>
                <w:szCs w:val="19"/>
              </w:rPr>
              <w:t>+217.1%</w:t>
            </w:r>
          </w:p>
        </w:tc>
        <w:tc>
          <w:tcPr>
            <w:tcW w:w="17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F422A05" w14:textId="77777777" w:rsidR="005D1758" w:rsidRDefault="00000000">
            <w:pPr>
              <w:jc w:val="center"/>
            </w:pPr>
            <w:r>
              <w:rPr>
                <w:sz w:val="19"/>
                <w:szCs w:val="19"/>
              </w:rPr>
              <w:t>-78.9%</w:t>
            </w:r>
          </w:p>
        </w:tc>
        <w:tc>
          <w:tcPr>
            <w:tcW w:w="51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852EBB1" w14:textId="77777777" w:rsidR="005D1758" w:rsidRDefault="00000000">
            <w:pPr>
              <w:jc w:val="center"/>
            </w:pPr>
            <w:r>
              <w:rPr>
                <w:sz w:val="19"/>
                <w:szCs w:val="19"/>
              </w:rPr>
              <w:t>Generative AI demand exploded. Intel's Data Centre collapsed.</w:t>
            </w:r>
          </w:p>
        </w:tc>
      </w:tr>
      <w:tr w:rsidR="005D1758" w14:paraId="60039CB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4429063" w14:textId="77777777" w:rsidR="005D1758" w:rsidRDefault="00000000">
            <w:r>
              <w:rPr>
                <w:sz w:val="19"/>
                <w:szCs w:val="19"/>
              </w:rPr>
              <w:t>2024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8A9D146" w14:textId="77777777" w:rsidR="005D1758" w:rsidRDefault="00000000">
            <w:pPr>
              <w:jc w:val="center"/>
            </w:pPr>
            <w:r>
              <w:rPr>
                <w:sz w:val="19"/>
                <w:szCs w:val="19"/>
              </w:rPr>
              <w:t>+233.9%</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5CE43D3" w14:textId="77777777" w:rsidR="005D1758" w:rsidRDefault="00000000">
            <w:pPr>
              <w:jc w:val="center"/>
            </w:pPr>
            <w:r>
              <w:rPr>
                <w:sz w:val="19"/>
                <w:szCs w:val="19"/>
              </w:rPr>
              <w:t>N/M (net loss)</w:t>
            </w:r>
          </w:p>
        </w:tc>
        <w:tc>
          <w:tcPr>
            <w:tcW w:w="51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50C9D83" w14:textId="77777777" w:rsidR="005D1758" w:rsidRDefault="00000000">
            <w:pPr>
              <w:jc w:val="center"/>
            </w:pPr>
            <w:r>
              <w:rPr>
                <w:sz w:val="19"/>
                <w:szCs w:val="19"/>
              </w:rPr>
              <w:t>NVIDIA's record year. Intel's historic loss.</w:t>
            </w:r>
          </w:p>
        </w:tc>
      </w:tr>
      <w:tr w:rsidR="005D1758" w14:paraId="680F049A"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59F97BC" w14:textId="77777777" w:rsidR="005D1758" w:rsidRDefault="00000000">
            <w:r>
              <w:rPr>
                <w:sz w:val="19"/>
                <w:szCs w:val="19"/>
              </w:rPr>
              <w:t>2025</w:t>
            </w:r>
          </w:p>
        </w:tc>
        <w:tc>
          <w:tcPr>
            <w:tcW w:w="17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68CC1D1" w14:textId="77777777" w:rsidR="005D1758" w:rsidRDefault="00000000">
            <w:pPr>
              <w:jc w:val="center"/>
            </w:pPr>
            <w:r>
              <w:rPr>
                <w:sz w:val="19"/>
                <w:szCs w:val="19"/>
              </w:rPr>
              <w:t>+57.3%</w:t>
            </w:r>
          </w:p>
        </w:tc>
        <w:tc>
          <w:tcPr>
            <w:tcW w:w="17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0F44371" w14:textId="77777777" w:rsidR="005D1758" w:rsidRDefault="00000000">
            <w:pPr>
              <w:jc w:val="center"/>
            </w:pPr>
            <w:r>
              <w:rPr>
                <w:sz w:val="19"/>
                <w:szCs w:val="19"/>
              </w:rPr>
              <w:t>N/M</w:t>
            </w:r>
          </w:p>
        </w:tc>
        <w:tc>
          <w:tcPr>
            <w:tcW w:w="514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5CC420E" w14:textId="77777777" w:rsidR="005D1758" w:rsidRDefault="00000000">
            <w:pPr>
              <w:jc w:val="center"/>
            </w:pPr>
            <w:r>
              <w:rPr>
                <w:sz w:val="19"/>
                <w:szCs w:val="19"/>
              </w:rPr>
              <w:t>NVIDIA still at extraordinary scale. Intel still loss-making.</w:t>
            </w:r>
          </w:p>
        </w:tc>
      </w:tr>
    </w:tbl>
    <w:p w14:paraId="233068E8" w14:textId="77777777" w:rsidR="005D1758" w:rsidRDefault="005D1758">
      <w:pPr>
        <w:spacing w:after="60"/>
      </w:pPr>
    </w:p>
    <w:p w14:paraId="13354169" w14:textId="77777777" w:rsidR="005D1758" w:rsidRDefault="00000000">
      <w:pPr>
        <w:spacing w:after="140"/>
        <w:jc w:val="both"/>
      </w:pPr>
      <w:r>
        <w:t>The 2022 to 2023 transition is perhaps the most dramatic single-year reversal in this dataset. In 2022, both companies fell — NVIDIA by 27% and Intel by nearly 60%. A casual observer might have concluded that the semiconductor industry was simply in a down cycle and both companies would recover together. What happened instead was the opposite of that. In 2023, NVIDIA grew its net income by 217%, adding $12.9 billion of profit in twelve months. Intel shrank by a further 79%, falling to just $1.7 billion. The gap, already widening, became a chasm. The difference was the H100 chip, which launched in 2022 and began ramping in 2023 just as hyperscalers were urgently building out AI infrastructure.</w:t>
      </w:r>
    </w:p>
    <w:p w14:paraId="4038BBC7" w14:textId="77777777" w:rsidR="00CC25E5" w:rsidRDefault="00CC25E5">
      <w:pPr>
        <w:spacing w:after="140"/>
        <w:jc w:val="both"/>
      </w:pPr>
    </w:p>
    <w:p w14:paraId="243287D3" w14:textId="77777777" w:rsidR="00CC25E5" w:rsidRDefault="00CC25E5">
      <w:pPr>
        <w:spacing w:after="140"/>
        <w:jc w:val="both"/>
      </w:pPr>
    </w:p>
    <w:p w14:paraId="7D1B044D" w14:textId="77777777" w:rsidR="005D1758" w:rsidRDefault="005D1758">
      <w:pPr>
        <w:spacing w:after="60"/>
      </w:pPr>
    </w:p>
    <w:p w14:paraId="1080EFCB" w14:textId="77777777" w:rsidR="005D1758" w:rsidRDefault="005D1758">
      <w:pPr>
        <w:spacing w:after="60"/>
      </w:pPr>
    </w:p>
    <w:p w14:paraId="3D7BEEED" w14:textId="41917807" w:rsidR="005D1758" w:rsidRDefault="00000000">
      <w:pPr>
        <w:pBdr>
          <w:bottom w:val="single" w:sz="4" w:space="0" w:color="0D2137"/>
        </w:pBdr>
        <w:spacing w:before="320" w:after="100"/>
      </w:pPr>
      <w:r>
        <w:rPr>
          <w:b/>
          <w:bCs/>
          <w:color w:val="0D2137"/>
          <w:sz w:val="28"/>
          <w:szCs w:val="28"/>
        </w:rPr>
        <w:t>4.2 CAGR by Era: The Advantage Was There Before the AI Boom</w:t>
      </w:r>
    </w:p>
    <w:p w14:paraId="5689CC11" w14:textId="77777777" w:rsidR="005D1758" w:rsidRDefault="00000000">
      <w:pPr>
        <w:spacing w:after="140"/>
        <w:jc w:val="both"/>
      </w:pPr>
      <w:r>
        <w:t xml:space="preserve">Compound Annual Growth Rate was calculated using the formula: CAGR = (End Value / Start </w:t>
      </w:r>
      <w:proofErr w:type="gramStart"/>
      <w:r>
        <w:t>Value)^</w:t>
      </w:r>
      <w:proofErr w:type="gramEnd"/>
      <w:r>
        <w:t xml:space="preserve">(1/n) – 1, where n is the number of years. Cases where end values were negative (Intel in the AI Boom and Peak eras) return undefined results and are shown as N/A, handled in Excel using the </w:t>
      </w:r>
      <w:proofErr w:type="gramStart"/>
      <w:r>
        <w:t>IFERROR(</w:t>
      </w:r>
      <w:proofErr w:type="gramEnd"/>
      <w:r>
        <w:t>) function.</w:t>
      </w:r>
    </w:p>
    <w:p w14:paraId="7F669D6F" w14:textId="77777777" w:rsidR="005D1758" w:rsidRDefault="005D1758">
      <w:pPr>
        <w:spacing w:after="60"/>
      </w:pPr>
    </w:p>
    <w:p w14:paraId="1EB2B5CB" w14:textId="77777777" w:rsidR="005D1758" w:rsidRDefault="00000000">
      <w:pPr>
        <w:spacing w:after="140"/>
        <w:jc w:val="both"/>
      </w:pPr>
      <w:r>
        <w:t>The choice to segment CAGR by era rather than calculate a single eleven-year figure was deliberate and analytically important. A single CAGR number would correctly show NVIDIA's extraordinary full-period performance but would not reveal whether NVIDIA's advantage was a recent phenomenon (i.e., lucky timing on the AI boom) or whether it was a structural advantage visible years earlier. The era analysis answers that question definitively.</w:t>
      </w:r>
    </w:p>
    <w:p w14:paraId="48F4F9FF" w14:textId="77777777" w:rsidR="005D1758" w:rsidRDefault="005D17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1093"/>
        <w:gridCol w:w="798"/>
        <w:gridCol w:w="1385"/>
        <w:gridCol w:w="1388"/>
        <w:gridCol w:w="3299"/>
      </w:tblGrid>
      <w:tr w:rsidR="005D1758" w14:paraId="79FC1817" w14:textId="77777777">
        <w:tc>
          <w:tcPr>
            <w:tcW w:w="1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79278FE3" w14:textId="77777777" w:rsidR="005D1758" w:rsidRDefault="00000000">
            <w:pPr>
              <w:jc w:val="center"/>
            </w:pPr>
            <w:r>
              <w:rPr>
                <w:b/>
                <w:bCs/>
                <w:color w:val="FFFFFF"/>
                <w:sz w:val="19"/>
                <w:szCs w:val="19"/>
              </w:rPr>
              <w:t>Era</w:t>
            </w:r>
          </w:p>
        </w:tc>
        <w:tc>
          <w:tcPr>
            <w:tcW w:w="11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7DC7F903" w14:textId="77777777" w:rsidR="005D1758" w:rsidRDefault="00000000">
            <w:pPr>
              <w:jc w:val="center"/>
            </w:pPr>
            <w:r>
              <w:rPr>
                <w:b/>
                <w:bCs/>
                <w:color w:val="FFFFFF"/>
                <w:sz w:val="19"/>
                <w:szCs w:val="19"/>
              </w:rPr>
              <w:t>Period</w:t>
            </w:r>
          </w:p>
        </w:tc>
        <w:tc>
          <w:tcPr>
            <w:tcW w:w="7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7BA8EA89" w14:textId="77777777" w:rsidR="005D1758" w:rsidRDefault="00000000">
            <w:pPr>
              <w:jc w:val="center"/>
            </w:pPr>
            <w:r>
              <w:rPr>
                <w:b/>
                <w:bCs/>
                <w:color w:val="FFFFFF"/>
                <w:sz w:val="19"/>
                <w:szCs w:val="19"/>
              </w:rPr>
              <w:t>Years</w:t>
            </w:r>
          </w:p>
        </w:tc>
        <w:tc>
          <w:tcPr>
            <w:tcW w:w="1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1A3A931E" w14:textId="77777777" w:rsidR="005D1758" w:rsidRDefault="00000000">
            <w:pPr>
              <w:jc w:val="center"/>
            </w:pPr>
            <w:r>
              <w:rPr>
                <w:b/>
                <w:bCs/>
                <w:color w:val="FFFFFF"/>
                <w:sz w:val="19"/>
                <w:szCs w:val="19"/>
              </w:rPr>
              <w:t>NVIDIA CAGR</w:t>
            </w:r>
          </w:p>
        </w:tc>
        <w:tc>
          <w:tcPr>
            <w:tcW w:w="1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542A976D" w14:textId="77777777" w:rsidR="005D1758" w:rsidRDefault="00000000">
            <w:pPr>
              <w:jc w:val="center"/>
            </w:pPr>
            <w:r>
              <w:rPr>
                <w:b/>
                <w:bCs/>
                <w:color w:val="FFFFFF"/>
                <w:sz w:val="19"/>
                <w:szCs w:val="19"/>
              </w:rPr>
              <w:t>Intel CAGR</w:t>
            </w:r>
          </w:p>
        </w:tc>
        <w:tc>
          <w:tcPr>
            <w:tcW w:w="33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01000CEA" w14:textId="77777777" w:rsidR="005D1758" w:rsidRDefault="00000000">
            <w:pPr>
              <w:jc w:val="center"/>
            </w:pPr>
            <w:r>
              <w:rPr>
                <w:b/>
                <w:bCs/>
                <w:color w:val="FFFFFF"/>
                <w:sz w:val="19"/>
                <w:szCs w:val="19"/>
              </w:rPr>
              <w:t>What This Reveals</w:t>
            </w:r>
          </w:p>
        </w:tc>
      </w:tr>
      <w:tr w:rsidR="005D1758" w14:paraId="7A4DB3C7"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7351534" w14:textId="77777777" w:rsidR="005D1758" w:rsidRDefault="00000000">
            <w:r>
              <w:rPr>
                <w:sz w:val="19"/>
                <w:szCs w:val="19"/>
              </w:rPr>
              <w:t>Full Period</w:t>
            </w:r>
          </w:p>
        </w:tc>
        <w:tc>
          <w:tcPr>
            <w:tcW w:w="1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A7B5205" w14:textId="77777777" w:rsidR="005D1758" w:rsidRDefault="00000000">
            <w:pPr>
              <w:jc w:val="center"/>
            </w:pPr>
            <w:r>
              <w:rPr>
                <w:sz w:val="19"/>
                <w:szCs w:val="19"/>
              </w:rPr>
              <w:t>2014–2025</w:t>
            </w:r>
          </w:p>
        </w:tc>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8065365" w14:textId="77777777" w:rsidR="005D1758" w:rsidRDefault="00000000">
            <w:pPr>
              <w:jc w:val="center"/>
            </w:pPr>
            <w:r>
              <w:rPr>
                <w:sz w:val="19"/>
                <w:szCs w:val="19"/>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5BA31C5" w14:textId="77777777" w:rsidR="005D1758" w:rsidRDefault="00000000">
            <w:pPr>
              <w:jc w:val="center"/>
            </w:pPr>
            <w:r>
              <w:rPr>
                <w:sz w:val="19"/>
                <w:szCs w:val="19"/>
              </w:rPr>
              <w:t>59.5%</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3141181" w14:textId="77777777" w:rsidR="005D1758" w:rsidRDefault="00000000">
            <w:pPr>
              <w:jc w:val="center"/>
            </w:pPr>
            <w:r>
              <w:rPr>
                <w:sz w:val="19"/>
                <w:szCs w:val="19"/>
              </w:rPr>
              <w:t>Negative</w:t>
            </w:r>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3F071E2" w14:textId="77777777" w:rsidR="005D1758" w:rsidRDefault="00000000">
            <w:pPr>
              <w:jc w:val="center"/>
            </w:pPr>
            <w:r>
              <w:rPr>
                <w:sz w:val="19"/>
                <w:szCs w:val="19"/>
              </w:rPr>
              <w:t>NVIDIA's compounding advantage across the entire window</w:t>
            </w:r>
          </w:p>
        </w:tc>
      </w:tr>
      <w:tr w:rsidR="005D1758" w14:paraId="16FE077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1F6E0D7" w14:textId="77777777" w:rsidR="005D1758" w:rsidRDefault="00000000">
            <w:r>
              <w:rPr>
                <w:sz w:val="19"/>
                <w:szCs w:val="19"/>
              </w:rPr>
              <w:t>Pre-AI Era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71C6236" w14:textId="77777777" w:rsidR="005D1758" w:rsidRDefault="00000000">
            <w:pPr>
              <w:jc w:val="center"/>
            </w:pPr>
            <w:r>
              <w:rPr>
                <w:sz w:val="19"/>
                <w:szCs w:val="19"/>
              </w:rPr>
              <w:t>2014–2019</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6F07DBF" w14:textId="77777777" w:rsidR="005D1758" w:rsidRDefault="00000000">
            <w:pPr>
              <w:jc w:val="center"/>
            </w:pPr>
            <w:r>
              <w:rPr>
                <w:sz w:val="19"/>
                <w:szCs w:val="19"/>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314D0D7" w14:textId="77777777" w:rsidR="005D1758" w:rsidRDefault="00000000">
            <w:pPr>
              <w:jc w:val="center"/>
            </w:pPr>
            <w:r>
              <w:rPr>
                <w:sz w:val="19"/>
                <w:szCs w:val="19"/>
              </w:rPr>
              <w:t>32.1%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09CBAC0" w14:textId="77777777" w:rsidR="005D1758" w:rsidRDefault="00000000">
            <w:pPr>
              <w:jc w:val="center"/>
            </w:pPr>
            <w:r>
              <w:rPr>
                <w:sz w:val="19"/>
                <w:szCs w:val="19"/>
              </w:rPr>
              <w:t>12.5%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7B507EF" w14:textId="77777777" w:rsidR="005D1758" w:rsidRDefault="00000000">
            <w:pPr>
              <w:jc w:val="center"/>
            </w:pPr>
            <w:r>
              <w:rPr>
                <w:sz w:val="19"/>
                <w:szCs w:val="19"/>
              </w:rPr>
              <w:t>NVIDIA was already growing 2.5x faster BEFORE the AI boom</w:t>
            </w:r>
          </w:p>
        </w:tc>
      </w:tr>
      <w:tr w:rsidR="005D1758" w14:paraId="6B6047A2"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A7007BA" w14:textId="77777777" w:rsidR="005D1758" w:rsidRDefault="00000000">
            <w:r>
              <w:rPr>
                <w:sz w:val="19"/>
                <w:szCs w:val="19"/>
              </w:rPr>
              <w:t>AI Boom Era</w:t>
            </w:r>
          </w:p>
        </w:tc>
        <w:tc>
          <w:tcPr>
            <w:tcW w:w="11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6E536F6" w14:textId="77777777" w:rsidR="005D1758" w:rsidRDefault="00000000">
            <w:pPr>
              <w:jc w:val="center"/>
            </w:pPr>
            <w:r>
              <w:rPr>
                <w:sz w:val="19"/>
                <w:szCs w:val="19"/>
              </w:rPr>
              <w:t>2019–2025</w:t>
            </w:r>
          </w:p>
        </w:tc>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27A4908" w14:textId="77777777" w:rsidR="005D1758" w:rsidRDefault="00000000">
            <w:pPr>
              <w:jc w:val="center"/>
            </w:pPr>
            <w:r>
              <w:rPr>
                <w:sz w:val="19"/>
                <w:szCs w:val="19"/>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85088F0" w14:textId="77777777" w:rsidR="005D1758" w:rsidRDefault="00000000">
            <w:pPr>
              <w:jc w:val="center"/>
            </w:pPr>
            <w:r>
              <w:rPr>
                <w:sz w:val="19"/>
                <w:szCs w:val="19"/>
              </w:rPr>
              <w:t>85.8%</w:t>
            </w:r>
          </w:p>
        </w:tc>
        <w:tc>
          <w:tcPr>
            <w:tcW w:w="1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4A25D37" w14:textId="77777777" w:rsidR="005D1758" w:rsidRDefault="00000000">
            <w:pPr>
              <w:jc w:val="center"/>
            </w:pPr>
            <w:r>
              <w:rPr>
                <w:sz w:val="19"/>
                <w:szCs w:val="19"/>
              </w:rPr>
              <w:t>N/A (loss)</w:t>
            </w:r>
          </w:p>
        </w:tc>
        <w:tc>
          <w:tcPr>
            <w:tcW w:w="33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3DEF4C1" w14:textId="77777777" w:rsidR="005D1758" w:rsidRDefault="00000000">
            <w:pPr>
              <w:jc w:val="center"/>
            </w:pPr>
            <w:r>
              <w:rPr>
                <w:sz w:val="19"/>
                <w:szCs w:val="19"/>
              </w:rPr>
              <w:t>The AI era supercharged an already-winning strategy</w:t>
            </w:r>
          </w:p>
        </w:tc>
      </w:tr>
      <w:tr w:rsidR="005D1758" w14:paraId="2D7FCBA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7A9028B" w14:textId="77777777" w:rsidR="005D1758" w:rsidRDefault="00000000">
            <w:r>
              <w:rPr>
                <w:sz w:val="19"/>
                <w:szCs w:val="19"/>
              </w:rPr>
              <w:t>Peak Comparison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9D36F87" w14:textId="77777777" w:rsidR="005D1758" w:rsidRDefault="00000000">
            <w:pPr>
              <w:jc w:val="center"/>
            </w:pPr>
            <w:r>
              <w:rPr>
                <w:sz w:val="19"/>
                <w:szCs w:val="19"/>
              </w:rPr>
              <w:t>2021–2025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F6A7080" w14:textId="77777777" w:rsidR="005D1758" w:rsidRDefault="00000000">
            <w:pPr>
              <w:jc w:val="center"/>
            </w:pPr>
            <w:r>
              <w:rPr>
                <w:sz w:val="19"/>
                <w:szCs w:val="19"/>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16AABE6" w14:textId="77777777" w:rsidR="005D1758" w:rsidRDefault="00000000">
            <w:pPr>
              <w:jc w:val="center"/>
            </w:pPr>
            <w:r>
              <w:rPr>
                <w:sz w:val="19"/>
                <w:szCs w:val="19"/>
              </w:rPr>
              <w:t>86.5%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45188C0" w14:textId="77777777" w:rsidR="005D1758" w:rsidRDefault="00000000">
            <w:pPr>
              <w:jc w:val="center"/>
            </w:pPr>
            <w:r>
              <w:rPr>
                <w:sz w:val="19"/>
                <w:szCs w:val="19"/>
              </w:rPr>
              <w:t>N/A (loss)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6F7DA55" w14:textId="77777777" w:rsidR="005D1758" w:rsidRDefault="00000000">
            <w:pPr>
              <w:jc w:val="center"/>
            </w:pPr>
            <w:r>
              <w:rPr>
                <w:sz w:val="19"/>
                <w:szCs w:val="19"/>
              </w:rPr>
              <w:t>Even from NVIDIA's elevated 2021 base, growth accelerated</w:t>
            </w:r>
          </w:p>
        </w:tc>
      </w:tr>
    </w:tbl>
    <w:p w14:paraId="1AB42779" w14:textId="77777777" w:rsidR="005D1758" w:rsidRDefault="005D1758">
      <w:pPr>
        <w:spacing w:after="60"/>
      </w:pPr>
    </w:p>
    <w:p w14:paraId="0C5B1F15" w14:textId="77777777" w:rsidR="005D1758" w:rsidRDefault="00000000">
      <w:pPr>
        <w:spacing w:after="140"/>
        <w:jc w:val="both"/>
      </w:pPr>
      <w:r>
        <w:t>The Pre-AI Era CAGR is the number that should silence the argument that NVIDIA simply got lucky with AI timing. Between 2014 and 2019 — before generative AI was a mainstream concept, before ChatGPT, before the hyperscaler GPU investment wave — NVIDIA was already compounding net income at 32.1% per year. Intel, in the same period, was managing 12.5% growth. The strategic advantage was structural, not circumstantial. NVIDIA had better products in a faster-growing market, supported by a software ecosystem that was creating compounding lock-in with every passing year.</w:t>
      </w:r>
    </w:p>
    <w:p w14:paraId="1EC41F1B" w14:textId="77777777" w:rsidR="005D1758" w:rsidRDefault="005D17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5D1758" w14:paraId="1824683E" w14:textId="77777777">
        <w:tc>
          <w:tcPr>
            <w:tcW w:w="240" w:type="dxa"/>
            <w:tcBorders>
              <w:top w:val="none" w:sz="0" w:space="0" w:color="FFFFFF"/>
              <w:left w:val="none" w:sz="0" w:space="0" w:color="FFFFFF"/>
              <w:bottom w:val="none" w:sz="0" w:space="0" w:color="FFFFFF"/>
              <w:right w:val="none" w:sz="0" w:space="0" w:color="FFFFFF"/>
            </w:tcBorders>
            <w:shd w:val="clear" w:color="auto" w:fill="006064"/>
          </w:tcPr>
          <w:p w14:paraId="64EA044E" w14:textId="77777777" w:rsidR="005D1758" w:rsidRDefault="005D1758"/>
        </w:tc>
        <w:tc>
          <w:tcPr>
            <w:tcW w:w="9120" w:type="dxa"/>
            <w:tcBorders>
              <w:top w:val="none" w:sz="0" w:space="0" w:color="FFFFFF"/>
              <w:left w:val="none" w:sz="0" w:space="0" w:color="FFFFFF"/>
              <w:bottom w:val="none" w:sz="0" w:space="0" w:color="FFFFFF"/>
              <w:right w:val="none" w:sz="0" w:space="0" w:color="FFFFFF"/>
            </w:tcBorders>
            <w:shd w:val="clear" w:color="auto" w:fill="E0F7FA"/>
            <w:tcMar>
              <w:top w:w="160" w:type="dxa"/>
              <w:left w:w="280" w:type="dxa"/>
              <w:bottom w:w="160" w:type="dxa"/>
              <w:right w:w="280" w:type="dxa"/>
            </w:tcMar>
          </w:tcPr>
          <w:p w14:paraId="00B418B4" w14:textId="77777777" w:rsidR="005D1758" w:rsidRDefault="00000000">
            <w:pPr>
              <w:jc w:val="both"/>
            </w:pPr>
            <w:r>
              <w:rPr>
                <w:i/>
                <w:iCs/>
              </w:rPr>
              <w:t>The CAGR analysis is the most important single insight in this dataset: NVIDIA's superiority was not a product of the AI hype cycle. It was already established half a decade before ChatGPT existed. The AI boom accelerated an existing trajectory; it did not create one.</w:t>
            </w:r>
          </w:p>
        </w:tc>
      </w:tr>
    </w:tbl>
    <w:p w14:paraId="47BFC480" w14:textId="77777777" w:rsidR="005D1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1758" w14:paraId="1B1D0380" w14:textId="77777777">
        <w:tc>
          <w:tcPr>
            <w:tcW w:w="1200" w:type="dxa"/>
            <w:tcBorders>
              <w:top w:val="none" w:sz="0" w:space="0" w:color="FFFFFF"/>
              <w:left w:val="none" w:sz="0" w:space="0" w:color="FFFFFF"/>
              <w:bottom w:val="none" w:sz="0" w:space="0" w:color="FFFFFF"/>
              <w:right w:val="none" w:sz="0" w:space="0" w:color="FFFFFF"/>
            </w:tcBorders>
            <w:shd w:val="clear" w:color="auto" w:fill="1B5E20"/>
            <w:tcMar>
              <w:top w:w="160" w:type="dxa"/>
              <w:left w:w="180" w:type="dxa"/>
              <w:bottom w:w="160" w:type="dxa"/>
              <w:right w:w="180" w:type="dxa"/>
            </w:tcMar>
            <w:vAlign w:val="center"/>
          </w:tcPr>
          <w:p w14:paraId="22E24DC3" w14:textId="77777777" w:rsidR="005D1758" w:rsidRDefault="00000000">
            <w:pPr>
              <w:jc w:val="center"/>
            </w:pPr>
            <w:r>
              <w:rPr>
                <w:b/>
                <w:bCs/>
                <w:color w:val="FFFFFF"/>
                <w:sz w:val="52"/>
                <w:szCs w:val="52"/>
              </w:rPr>
              <w:t>05</w:t>
            </w:r>
          </w:p>
        </w:tc>
        <w:tc>
          <w:tcPr>
            <w:tcW w:w="8160" w:type="dxa"/>
            <w:tcBorders>
              <w:top w:val="none" w:sz="0" w:space="0" w:color="FFFFFF"/>
              <w:left w:val="none" w:sz="0" w:space="0" w:color="FFFFFF"/>
              <w:bottom w:val="none" w:sz="0" w:space="0" w:color="FFFFFF"/>
              <w:right w:val="none" w:sz="0" w:space="0" w:color="FFFFFF"/>
            </w:tcBorders>
            <w:shd w:val="clear" w:color="auto" w:fill="F8F8F8"/>
            <w:tcMar>
              <w:top w:w="120" w:type="dxa"/>
              <w:left w:w="280" w:type="dxa"/>
              <w:bottom w:w="120" w:type="dxa"/>
              <w:right w:w="180" w:type="dxa"/>
            </w:tcMar>
          </w:tcPr>
          <w:p w14:paraId="5ECDF92C" w14:textId="77777777" w:rsidR="005D1758" w:rsidRDefault="00000000">
            <w:r>
              <w:rPr>
                <w:b/>
                <w:bCs/>
                <w:color w:val="1B5E20"/>
                <w:sz w:val="32"/>
                <w:szCs w:val="32"/>
              </w:rPr>
              <w:t>CUMULATIVE GROWTH INDEX &amp; ROLLING AVERAGE</w:t>
            </w:r>
          </w:p>
          <w:p w14:paraId="1EDCE3D4" w14:textId="77777777" w:rsidR="005D1758" w:rsidRDefault="00000000">
            <w:r>
              <w:rPr>
                <w:i/>
                <w:iCs/>
                <w:color w:val="555555"/>
                <w:sz w:val="20"/>
                <w:szCs w:val="20"/>
              </w:rPr>
              <w:t>Visualising the compounding divergence and smoothing cyclical noise</w:t>
            </w:r>
          </w:p>
        </w:tc>
      </w:tr>
    </w:tbl>
    <w:p w14:paraId="431C03EA" w14:textId="77777777" w:rsidR="005D1758" w:rsidRDefault="005D1758">
      <w:pPr>
        <w:spacing w:after="60"/>
      </w:pPr>
    </w:p>
    <w:p w14:paraId="24CF0D9D" w14:textId="04B67E3C" w:rsidR="005D1758" w:rsidRDefault="00000000">
      <w:pPr>
        <w:pBdr>
          <w:bottom w:val="single" w:sz="4" w:space="0" w:color="0D2137"/>
        </w:pBdr>
        <w:spacing w:before="320" w:after="100"/>
      </w:pPr>
      <w:r>
        <w:rPr>
          <w:b/>
          <w:bCs/>
          <w:color w:val="0D2137"/>
          <w:sz w:val="28"/>
          <w:szCs w:val="28"/>
        </w:rPr>
        <w:t>5.1 Cumulative Growth Index: What $100 Became</w:t>
      </w:r>
    </w:p>
    <w:p w14:paraId="3649FF33" w14:textId="77777777" w:rsidR="005D1758" w:rsidRDefault="00000000">
      <w:pPr>
        <w:spacing w:after="140"/>
        <w:jc w:val="both"/>
      </w:pPr>
      <w:r>
        <w:t xml:space="preserve">The Cumulative Growth Index was constructed by indexing both companies' net income to a base value of 100 in 2014. Each subsequent year's value is calculated as: (Current Year Net Income / 2014 Base Net Income) × 100. This makes the compounding divergence between the two companies immediately intuitive, regardless of the absolute dollar values involved. Excel's </w:t>
      </w:r>
      <w:proofErr w:type="gramStart"/>
      <w:r>
        <w:t>IF(</w:t>
      </w:r>
      <w:proofErr w:type="gramEnd"/>
      <w:r>
        <w:t>) function was used to handle negative base-year edge cases.</w:t>
      </w:r>
    </w:p>
    <w:p w14:paraId="4FD02616" w14:textId="77777777" w:rsidR="005D1758" w:rsidRDefault="005D1758">
      <w:pPr>
        <w:spacing w:after="60"/>
      </w:pPr>
    </w:p>
    <w:p w14:paraId="7F51FCAB" w14:textId="77777777" w:rsidR="005D1758" w:rsidRDefault="00000000">
      <w:pPr>
        <w:spacing w:after="140"/>
        <w:jc w:val="both"/>
      </w:pPr>
      <w:r>
        <w:t>Think of it this way: if you had placed $100 in each company at the start of 2014, tracking their net income trajectory as a proxy for value creation, where would each dollar be by 2025? For NVIDIA, it would be worth $16,957. For Intel, it would be worth negative $2 — the company's earnings-per-dollar-invested had gone from positive to negative across the period.</w:t>
      </w:r>
    </w:p>
    <w:p w14:paraId="075734CB" w14:textId="77777777" w:rsidR="005D1758" w:rsidRDefault="005D17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2400"/>
        <w:gridCol w:w="3560"/>
      </w:tblGrid>
      <w:tr w:rsidR="005D1758" w14:paraId="562A7A45" w14:textId="77777777">
        <w:tc>
          <w:tcPr>
            <w:tcW w:w="10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37910F36" w14:textId="77777777" w:rsidR="005D1758" w:rsidRDefault="00000000">
            <w:pPr>
              <w:jc w:val="center"/>
            </w:pPr>
            <w:r>
              <w:rPr>
                <w:b/>
                <w:bCs/>
                <w:color w:val="FFFFFF"/>
                <w:sz w:val="19"/>
                <w:szCs w:val="19"/>
              </w:rPr>
              <w:t>Year</w:t>
            </w:r>
          </w:p>
        </w:tc>
        <w:tc>
          <w:tcPr>
            <w:tcW w:w="2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53015EB0" w14:textId="77777777" w:rsidR="005D1758" w:rsidRDefault="00000000">
            <w:pPr>
              <w:jc w:val="center"/>
            </w:pPr>
            <w:r>
              <w:rPr>
                <w:b/>
                <w:bCs/>
                <w:color w:val="FFFFFF"/>
                <w:sz w:val="19"/>
                <w:szCs w:val="19"/>
              </w:rPr>
              <w:t>NVIDIA NI Index (Base=100)</w:t>
            </w:r>
          </w:p>
        </w:tc>
        <w:tc>
          <w:tcPr>
            <w:tcW w:w="2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769A5821" w14:textId="77777777" w:rsidR="005D1758" w:rsidRDefault="00000000">
            <w:pPr>
              <w:jc w:val="center"/>
            </w:pPr>
            <w:r>
              <w:rPr>
                <w:b/>
                <w:bCs/>
                <w:color w:val="FFFFFF"/>
                <w:sz w:val="19"/>
                <w:szCs w:val="19"/>
              </w:rPr>
              <w:t>Intel NI Index (Base=100)</w:t>
            </w:r>
          </w:p>
        </w:tc>
        <w:tc>
          <w:tcPr>
            <w:tcW w:w="356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1A33F429" w14:textId="77777777" w:rsidR="005D1758" w:rsidRDefault="00000000">
            <w:pPr>
              <w:jc w:val="center"/>
            </w:pPr>
            <w:r>
              <w:rPr>
                <w:b/>
                <w:bCs/>
                <w:color w:val="FFFFFF"/>
                <w:sz w:val="19"/>
                <w:szCs w:val="19"/>
              </w:rPr>
              <w:t>Spread (NI Index Points)</w:t>
            </w:r>
          </w:p>
        </w:tc>
      </w:tr>
      <w:tr w:rsidR="005D1758" w14:paraId="12698B94"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6A19DCE" w14:textId="77777777" w:rsidR="005D1758" w:rsidRDefault="00000000">
            <w:r>
              <w:rPr>
                <w:sz w:val="19"/>
                <w:szCs w:val="19"/>
              </w:rPr>
              <w:t>2014</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12FC186" w14:textId="77777777" w:rsidR="005D1758" w:rsidRDefault="00000000">
            <w:pPr>
              <w:jc w:val="center"/>
            </w:pPr>
            <w:r>
              <w:rPr>
                <w:sz w:val="19"/>
                <w:szCs w:val="19"/>
              </w:rPr>
              <w:t>100</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0201BC7" w14:textId="77777777" w:rsidR="005D1758" w:rsidRDefault="00000000">
            <w:pPr>
              <w:jc w:val="center"/>
            </w:pPr>
            <w:r>
              <w:rPr>
                <w:sz w:val="19"/>
                <w:szCs w:val="19"/>
              </w:rPr>
              <w:t>100</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AD682EC" w14:textId="77777777" w:rsidR="005D1758" w:rsidRDefault="00000000">
            <w:pPr>
              <w:jc w:val="center"/>
            </w:pPr>
            <w:r>
              <w:rPr>
                <w:sz w:val="19"/>
                <w:szCs w:val="19"/>
              </w:rPr>
              <w:t>0</w:t>
            </w:r>
          </w:p>
        </w:tc>
      </w:tr>
      <w:tr w:rsidR="005D1758" w14:paraId="69B7412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61C5958" w14:textId="77777777" w:rsidR="005D1758" w:rsidRDefault="00000000">
            <w:r>
              <w:rPr>
                <w:sz w:val="19"/>
                <w:szCs w:val="19"/>
              </w:rPr>
              <w:t>2016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89C8818" w14:textId="77777777" w:rsidR="005D1758" w:rsidRDefault="00000000">
            <w:pPr>
              <w:jc w:val="center"/>
            </w:pPr>
            <w:r>
              <w:rPr>
                <w:sz w:val="19"/>
                <w:szCs w:val="19"/>
              </w:rPr>
              <w:t>208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81DD5C3" w14:textId="77777777" w:rsidR="005D1758" w:rsidRDefault="00000000">
            <w:pPr>
              <w:jc w:val="center"/>
            </w:pPr>
            <w:r>
              <w:rPr>
                <w:sz w:val="19"/>
                <w:szCs w:val="19"/>
              </w:rPr>
              <w:t>88</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B9E79E6" w14:textId="77777777" w:rsidR="005D1758" w:rsidRDefault="00000000">
            <w:pPr>
              <w:jc w:val="center"/>
            </w:pPr>
            <w:r>
              <w:rPr>
                <w:sz w:val="19"/>
                <w:szCs w:val="19"/>
              </w:rPr>
              <w:t>120</w:t>
            </w:r>
          </w:p>
        </w:tc>
      </w:tr>
      <w:tr w:rsidR="005D1758" w14:paraId="056FC0E1"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64B2B6B" w14:textId="77777777" w:rsidR="005D1758" w:rsidRDefault="00000000">
            <w:r>
              <w:rPr>
                <w:sz w:val="19"/>
                <w:szCs w:val="19"/>
              </w:rPr>
              <w:t>2017</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CCD6ED3" w14:textId="77777777" w:rsidR="005D1758" w:rsidRDefault="00000000">
            <w:pPr>
              <w:jc w:val="center"/>
            </w:pPr>
            <w:r>
              <w:rPr>
                <w:sz w:val="19"/>
                <w:szCs w:val="19"/>
              </w:rPr>
              <w:t>442</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0219560" w14:textId="77777777" w:rsidR="005D1758" w:rsidRDefault="00000000">
            <w:pPr>
              <w:jc w:val="center"/>
            </w:pPr>
            <w:r>
              <w:rPr>
                <w:sz w:val="19"/>
                <w:szCs w:val="19"/>
              </w:rPr>
              <w:t>82</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36C8679" w14:textId="77777777" w:rsidR="005D1758" w:rsidRDefault="00000000">
            <w:pPr>
              <w:jc w:val="center"/>
            </w:pPr>
            <w:r>
              <w:rPr>
                <w:sz w:val="19"/>
                <w:szCs w:val="19"/>
              </w:rPr>
              <w:t>360</w:t>
            </w:r>
          </w:p>
        </w:tc>
      </w:tr>
      <w:tr w:rsidR="005D1758" w14:paraId="361E760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B4720F3" w14:textId="77777777" w:rsidR="005D1758" w:rsidRDefault="00000000">
            <w:r>
              <w:rPr>
                <w:sz w:val="19"/>
                <w:szCs w:val="19"/>
              </w:rPr>
              <w:t>2018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2C7E05E" w14:textId="77777777" w:rsidR="005D1758" w:rsidRDefault="00000000">
            <w:pPr>
              <w:jc w:val="center"/>
            </w:pPr>
            <w:r>
              <w:rPr>
                <w:sz w:val="19"/>
                <w:szCs w:val="19"/>
              </w:rPr>
              <w:t>802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8F76B0A" w14:textId="77777777" w:rsidR="005D1758" w:rsidRDefault="00000000">
            <w:pPr>
              <w:jc w:val="center"/>
            </w:pPr>
            <w:r>
              <w:rPr>
                <w:sz w:val="19"/>
                <w:szCs w:val="19"/>
              </w:rPr>
              <w:t>180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6D21FE5" w14:textId="77777777" w:rsidR="005D1758" w:rsidRDefault="00000000">
            <w:pPr>
              <w:jc w:val="center"/>
            </w:pPr>
            <w:r>
              <w:rPr>
                <w:sz w:val="19"/>
                <w:szCs w:val="19"/>
              </w:rPr>
              <w:t>622</w:t>
            </w:r>
          </w:p>
        </w:tc>
      </w:tr>
      <w:tr w:rsidR="005D1758" w14:paraId="6483A966"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9A38CBD" w14:textId="77777777" w:rsidR="005D1758" w:rsidRDefault="00000000">
            <w:r>
              <w:rPr>
                <w:sz w:val="19"/>
                <w:szCs w:val="19"/>
              </w:rPr>
              <w:t>2019</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25B1B75" w14:textId="77777777" w:rsidR="005D1758" w:rsidRDefault="00000000">
            <w:pPr>
              <w:jc w:val="center"/>
            </w:pPr>
            <w:r>
              <w:rPr>
                <w:sz w:val="19"/>
                <w:szCs w:val="19"/>
              </w:rPr>
              <w:t>412</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C392774" w14:textId="77777777" w:rsidR="005D1758" w:rsidRDefault="00000000">
            <w:pPr>
              <w:jc w:val="center"/>
            </w:pPr>
            <w:r>
              <w:rPr>
                <w:sz w:val="19"/>
                <w:szCs w:val="19"/>
              </w:rPr>
              <w:t>180</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7AB5FB6" w14:textId="77777777" w:rsidR="005D1758" w:rsidRDefault="00000000">
            <w:pPr>
              <w:jc w:val="center"/>
            </w:pPr>
            <w:r>
              <w:rPr>
                <w:sz w:val="19"/>
                <w:szCs w:val="19"/>
              </w:rPr>
              <w:t>232</w:t>
            </w:r>
          </w:p>
        </w:tc>
      </w:tr>
      <w:tr w:rsidR="005D1758" w14:paraId="60C637C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A06978E" w14:textId="77777777" w:rsidR="005D1758" w:rsidRDefault="00000000">
            <w:r>
              <w:rPr>
                <w:sz w:val="19"/>
                <w:szCs w:val="19"/>
              </w:rPr>
              <w:t>2020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9F0F2D5" w14:textId="77777777" w:rsidR="005D1758" w:rsidRDefault="00000000">
            <w:pPr>
              <w:jc w:val="center"/>
            </w:pPr>
            <w:r>
              <w:rPr>
                <w:sz w:val="19"/>
                <w:szCs w:val="19"/>
              </w:rPr>
              <w:t>654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BA0C3D4" w14:textId="77777777" w:rsidR="005D1758" w:rsidRDefault="00000000">
            <w:pPr>
              <w:jc w:val="center"/>
            </w:pPr>
            <w:r>
              <w:rPr>
                <w:sz w:val="19"/>
                <w:szCs w:val="19"/>
              </w:rPr>
              <w:t>179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1854574" w14:textId="77777777" w:rsidR="005D1758" w:rsidRDefault="00000000">
            <w:pPr>
              <w:jc w:val="center"/>
            </w:pPr>
            <w:r>
              <w:rPr>
                <w:sz w:val="19"/>
                <w:szCs w:val="19"/>
              </w:rPr>
              <w:t>475</w:t>
            </w:r>
          </w:p>
        </w:tc>
      </w:tr>
      <w:tr w:rsidR="005D1758" w14:paraId="1A0796DB"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F568F75" w14:textId="77777777" w:rsidR="005D1758" w:rsidRDefault="00000000">
            <w:r>
              <w:rPr>
                <w:sz w:val="19"/>
                <w:szCs w:val="19"/>
              </w:rPr>
              <w:t>2021</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6CA3DE4" w14:textId="77777777" w:rsidR="005D1758" w:rsidRDefault="00000000">
            <w:pPr>
              <w:jc w:val="center"/>
            </w:pPr>
            <w:r>
              <w:rPr>
                <w:sz w:val="19"/>
                <w:szCs w:val="19"/>
              </w:rPr>
              <w:t>1,403</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7B52B1F" w14:textId="77777777" w:rsidR="005D1758" w:rsidRDefault="00000000">
            <w:pPr>
              <w:jc w:val="center"/>
            </w:pPr>
            <w:r>
              <w:rPr>
                <w:sz w:val="19"/>
                <w:szCs w:val="19"/>
              </w:rPr>
              <w:t>170</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C440F31" w14:textId="77777777" w:rsidR="005D1758" w:rsidRDefault="00000000">
            <w:pPr>
              <w:jc w:val="center"/>
            </w:pPr>
            <w:r>
              <w:rPr>
                <w:sz w:val="19"/>
                <w:szCs w:val="19"/>
              </w:rPr>
              <w:t>1,233</w:t>
            </w:r>
          </w:p>
        </w:tc>
      </w:tr>
      <w:tr w:rsidR="005D1758" w14:paraId="154FBA0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033110C" w14:textId="77777777" w:rsidR="005D1758" w:rsidRDefault="00000000">
            <w:r>
              <w:rPr>
                <w:sz w:val="19"/>
                <w:szCs w:val="19"/>
              </w:rPr>
              <w:t>2022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221C9C2" w14:textId="77777777" w:rsidR="005D1758" w:rsidRDefault="00000000">
            <w:pPr>
              <w:jc w:val="center"/>
            </w:pPr>
            <w:r>
              <w:rPr>
                <w:sz w:val="19"/>
                <w:szCs w:val="19"/>
              </w:rPr>
              <w:t>1,018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545ED7E" w14:textId="77777777" w:rsidR="005D1758" w:rsidRDefault="00000000">
            <w:pPr>
              <w:jc w:val="center"/>
            </w:pPr>
            <w:r>
              <w:rPr>
                <w:sz w:val="19"/>
                <w:szCs w:val="19"/>
              </w:rPr>
              <w:t>69</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6B4E8B1" w14:textId="77777777" w:rsidR="005D1758" w:rsidRDefault="00000000">
            <w:pPr>
              <w:jc w:val="center"/>
            </w:pPr>
            <w:r>
              <w:rPr>
                <w:sz w:val="19"/>
                <w:szCs w:val="19"/>
              </w:rPr>
              <w:t>949</w:t>
            </w:r>
          </w:p>
        </w:tc>
      </w:tr>
      <w:tr w:rsidR="005D1758" w14:paraId="28CA1395"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EA13FFE" w14:textId="77777777" w:rsidR="005D1758" w:rsidRDefault="00000000">
            <w:r>
              <w:rPr>
                <w:sz w:val="19"/>
                <w:szCs w:val="19"/>
              </w:rPr>
              <w:t>2023</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B20C0BF" w14:textId="77777777" w:rsidR="005D1758" w:rsidRDefault="00000000">
            <w:pPr>
              <w:jc w:val="center"/>
            </w:pPr>
            <w:r>
              <w:rPr>
                <w:sz w:val="19"/>
                <w:szCs w:val="19"/>
              </w:rPr>
              <w:t>3,229</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28F588C" w14:textId="77777777" w:rsidR="005D1758" w:rsidRDefault="00000000">
            <w:pPr>
              <w:jc w:val="center"/>
            </w:pPr>
            <w:r>
              <w:rPr>
                <w:sz w:val="19"/>
                <w:szCs w:val="19"/>
              </w:rPr>
              <w:t>14</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044C1C2" w14:textId="77777777" w:rsidR="005D1758" w:rsidRDefault="00000000">
            <w:pPr>
              <w:jc w:val="center"/>
            </w:pPr>
            <w:r>
              <w:rPr>
                <w:sz w:val="19"/>
                <w:szCs w:val="19"/>
              </w:rPr>
              <w:t>3,215</w:t>
            </w:r>
          </w:p>
        </w:tc>
      </w:tr>
      <w:tr w:rsidR="005D1758" w14:paraId="0092B2F6"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B5E0861" w14:textId="77777777" w:rsidR="005D1758" w:rsidRDefault="00000000">
            <w:r>
              <w:rPr>
                <w:sz w:val="19"/>
                <w:szCs w:val="19"/>
              </w:rPr>
              <w:t>2024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174557F" w14:textId="77777777" w:rsidR="005D1758" w:rsidRDefault="00000000">
            <w:pPr>
              <w:jc w:val="center"/>
            </w:pPr>
            <w:r>
              <w:rPr>
                <w:sz w:val="19"/>
                <w:szCs w:val="19"/>
              </w:rPr>
              <w:t>10,782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7009E1D" w14:textId="77777777" w:rsidR="005D1758" w:rsidRDefault="00000000">
            <w:pPr>
              <w:jc w:val="center"/>
            </w:pPr>
            <w:r>
              <w:rPr>
                <w:sz w:val="19"/>
                <w:szCs w:val="19"/>
              </w:rPr>
              <w:t>-160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DBE821F" w14:textId="77777777" w:rsidR="005D1758" w:rsidRDefault="00000000">
            <w:pPr>
              <w:jc w:val="center"/>
            </w:pPr>
            <w:r>
              <w:rPr>
                <w:sz w:val="19"/>
                <w:szCs w:val="19"/>
              </w:rPr>
              <w:t>10,942</w:t>
            </w:r>
          </w:p>
        </w:tc>
      </w:tr>
      <w:tr w:rsidR="005D1758" w14:paraId="7D420A06"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6E836BA" w14:textId="77777777" w:rsidR="005D1758" w:rsidRDefault="00000000">
            <w:r>
              <w:rPr>
                <w:sz w:val="19"/>
                <w:szCs w:val="19"/>
              </w:rPr>
              <w:t>2025</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5882941" w14:textId="77777777" w:rsidR="005D1758" w:rsidRDefault="00000000">
            <w:pPr>
              <w:jc w:val="center"/>
            </w:pPr>
            <w:r>
              <w:rPr>
                <w:sz w:val="19"/>
                <w:szCs w:val="19"/>
              </w:rPr>
              <w:t>16,957</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3A383FC" w14:textId="77777777" w:rsidR="005D1758" w:rsidRDefault="00000000">
            <w:pPr>
              <w:jc w:val="center"/>
            </w:pPr>
            <w:r>
              <w:rPr>
                <w:sz w:val="19"/>
                <w:szCs w:val="19"/>
              </w:rPr>
              <w:t>-2</w:t>
            </w:r>
          </w:p>
        </w:tc>
        <w:tc>
          <w:tcPr>
            <w:tcW w:w="356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30B22C8" w14:textId="77777777" w:rsidR="005D1758" w:rsidRDefault="00000000">
            <w:pPr>
              <w:jc w:val="center"/>
            </w:pPr>
            <w:r>
              <w:rPr>
                <w:sz w:val="19"/>
                <w:szCs w:val="19"/>
              </w:rPr>
              <w:t>16,959</w:t>
            </w:r>
          </w:p>
        </w:tc>
      </w:tr>
    </w:tbl>
    <w:p w14:paraId="6987914C" w14:textId="77777777" w:rsidR="005D1758" w:rsidRDefault="005D1758">
      <w:pPr>
        <w:spacing w:after="60"/>
      </w:pPr>
    </w:p>
    <w:p w14:paraId="10DDFA09" w14:textId="77777777" w:rsidR="005D1758" w:rsidRDefault="00000000">
      <w:pPr>
        <w:spacing w:after="140"/>
        <w:jc w:val="both"/>
      </w:pPr>
      <w:r>
        <w:t>The Spread column is the most visually striking metric in the entire analysis. In 2014 it was zero — both companies started at the same index point. By 2021 — even before the AI boom had fully manifested in NVIDIA's financials — the spread had already reached 1,233 index points. By 2023 it was 3,215. By 2025 it was 16,959. The divergence did not happen suddenly. It happened progressively, year by year, as two companies executing fundamentally different strategies accumulated the compounding consequences of their choices.</w:t>
      </w:r>
    </w:p>
    <w:p w14:paraId="2ECDF48D" w14:textId="77777777" w:rsidR="005D1758" w:rsidRDefault="005D1758">
      <w:pPr>
        <w:spacing w:after="60"/>
      </w:pPr>
    </w:p>
    <w:p w14:paraId="2E2B916D" w14:textId="77777777" w:rsidR="005D1758" w:rsidRDefault="005D1758">
      <w:pPr>
        <w:spacing w:after="60"/>
      </w:pPr>
    </w:p>
    <w:p w14:paraId="52684DAF" w14:textId="77777777" w:rsidR="00392CB1" w:rsidRDefault="00392CB1">
      <w:pPr>
        <w:pBdr>
          <w:bottom w:val="single" w:sz="4" w:space="0" w:color="0D2137"/>
        </w:pBdr>
        <w:spacing w:before="320" w:after="100"/>
        <w:rPr>
          <w:b/>
          <w:bCs/>
          <w:color w:val="0D2137"/>
          <w:sz w:val="28"/>
          <w:szCs w:val="28"/>
        </w:rPr>
      </w:pPr>
    </w:p>
    <w:p w14:paraId="5876D205" w14:textId="68158788" w:rsidR="005D1758" w:rsidRDefault="00000000">
      <w:pPr>
        <w:pBdr>
          <w:bottom w:val="single" w:sz="4" w:space="0" w:color="0D2137"/>
        </w:pBdr>
        <w:spacing w:before="320" w:after="100"/>
      </w:pPr>
      <w:r>
        <w:rPr>
          <w:b/>
          <w:bCs/>
          <w:color w:val="0D2137"/>
          <w:sz w:val="28"/>
          <w:szCs w:val="28"/>
        </w:rPr>
        <w:t>5.2 Rolling 3-Year Average Net Income: Removing the Noise, Seeing the Signal</w:t>
      </w:r>
    </w:p>
    <w:p w14:paraId="6163F855" w14:textId="77777777" w:rsidR="005D1758" w:rsidRDefault="00000000">
      <w:pPr>
        <w:spacing w:after="140"/>
        <w:jc w:val="both"/>
      </w:pPr>
      <w:r>
        <w:t xml:space="preserve">Individual years of net income can be distorted by one-off charges, accounting adjustments, and industry cycles. The rolling 3-year average — calculated using Excel's </w:t>
      </w:r>
      <w:proofErr w:type="gramStart"/>
      <w:r>
        <w:t>AVERAGE(</w:t>
      </w:r>
      <w:proofErr w:type="gramEnd"/>
      <w:r>
        <w:t>) function across a sliding 3-year window — smooths these fluctuations and reveals the underlying direction of travel for each business. This is particularly important for NVIDIA, which had two notable dip years (2019 and 2022) that might otherwise suggest instability.</w:t>
      </w:r>
    </w:p>
    <w:p w14:paraId="533AD202" w14:textId="77777777" w:rsidR="005D1758" w:rsidRDefault="005D1758">
      <w:pPr>
        <w:spacing w:after="60"/>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779"/>
        <w:gridCol w:w="1779"/>
        <w:gridCol w:w="2399"/>
        <w:gridCol w:w="2399"/>
      </w:tblGrid>
      <w:tr w:rsidR="005D1758" w14:paraId="534937F7" w14:textId="77777777">
        <w:tc>
          <w:tcPr>
            <w:tcW w:w="7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12977D9B" w14:textId="77777777" w:rsidR="005D1758" w:rsidRDefault="00000000">
            <w:pPr>
              <w:jc w:val="center"/>
            </w:pPr>
            <w:r>
              <w:rPr>
                <w:b/>
                <w:bCs/>
                <w:color w:val="FFFFFF"/>
                <w:sz w:val="19"/>
                <w:szCs w:val="19"/>
              </w:rPr>
              <w:t>Year</w:t>
            </w:r>
          </w:p>
        </w:tc>
        <w:tc>
          <w:tcPr>
            <w:tcW w:w="178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58BA65D8" w14:textId="77777777" w:rsidR="005D1758" w:rsidRDefault="00000000">
            <w:pPr>
              <w:jc w:val="center"/>
            </w:pPr>
            <w:r>
              <w:rPr>
                <w:b/>
                <w:bCs/>
                <w:color w:val="FFFFFF"/>
                <w:sz w:val="19"/>
                <w:szCs w:val="19"/>
              </w:rPr>
              <w:t>NVIDIA Net Income ($M)</w:t>
            </w:r>
          </w:p>
        </w:tc>
        <w:tc>
          <w:tcPr>
            <w:tcW w:w="178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01E1F4B3" w14:textId="77777777" w:rsidR="005D1758" w:rsidRDefault="00000000">
            <w:pPr>
              <w:jc w:val="center"/>
            </w:pPr>
            <w:r>
              <w:rPr>
                <w:b/>
                <w:bCs/>
                <w:color w:val="FFFFFF"/>
                <w:sz w:val="19"/>
                <w:szCs w:val="19"/>
              </w:rPr>
              <w:t>Intel Net Income ($M)</w:t>
            </w:r>
          </w:p>
        </w:tc>
        <w:tc>
          <w:tcPr>
            <w:tcW w:w="2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547539B6" w14:textId="77777777" w:rsidR="005D1758" w:rsidRDefault="00000000">
            <w:pPr>
              <w:jc w:val="center"/>
            </w:pPr>
            <w:r>
              <w:rPr>
                <w:b/>
                <w:bCs/>
                <w:color w:val="FFFFFF"/>
                <w:sz w:val="19"/>
                <w:szCs w:val="19"/>
              </w:rPr>
              <w:t>NVIDIA 3-Yr Rolling Avg</w:t>
            </w:r>
          </w:p>
        </w:tc>
        <w:tc>
          <w:tcPr>
            <w:tcW w:w="2400" w:type="dxa"/>
            <w:tcBorders>
              <w:top w:val="single" w:sz="1" w:space="0" w:color="CCCCCC"/>
              <w:left w:val="single" w:sz="1" w:space="0" w:color="CCCCCC"/>
              <w:bottom w:val="single" w:sz="1" w:space="0" w:color="CCCCCC"/>
              <w:right w:val="single" w:sz="1" w:space="0" w:color="CCCCCC"/>
            </w:tcBorders>
            <w:shd w:val="clear" w:color="auto" w:fill="0D2137"/>
            <w:tcMar>
              <w:top w:w="80" w:type="dxa"/>
              <w:left w:w="140" w:type="dxa"/>
              <w:bottom w:w="80" w:type="dxa"/>
              <w:right w:w="140" w:type="dxa"/>
            </w:tcMar>
          </w:tcPr>
          <w:p w14:paraId="3033EE49" w14:textId="77777777" w:rsidR="005D1758" w:rsidRDefault="00000000">
            <w:pPr>
              <w:jc w:val="center"/>
            </w:pPr>
            <w:r>
              <w:rPr>
                <w:b/>
                <w:bCs/>
                <w:color w:val="FFFFFF"/>
                <w:sz w:val="19"/>
                <w:szCs w:val="19"/>
              </w:rPr>
              <w:t>Intel 3-Yr Rolling Avg</w:t>
            </w:r>
          </w:p>
        </w:tc>
      </w:tr>
      <w:tr w:rsidR="005D1758" w14:paraId="38FCFFEE"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AF4E994" w14:textId="77777777" w:rsidR="005D1758" w:rsidRDefault="00000000">
            <w:r>
              <w:rPr>
                <w:sz w:val="19"/>
                <w:szCs w:val="19"/>
              </w:rPr>
              <w:t>2016</w:t>
            </w:r>
          </w:p>
        </w:tc>
        <w:tc>
          <w:tcPr>
            <w:tcW w:w="178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0B1AD5A" w14:textId="77777777" w:rsidR="005D1758" w:rsidRDefault="00000000">
            <w:pPr>
              <w:jc w:val="center"/>
            </w:pPr>
            <w:r>
              <w:rPr>
                <w:sz w:val="19"/>
                <w:szCs w:val="19"/>
              </w:rPr>
              <w:t>1,219</w:t>
            </w:r>
          </w:p>
        </w:tc>
        <w:tc>
          <w:tcPr>
            <w:tcW w:w="178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B5446B1" w14:textId="77777777" w:rsidR="005D1758" w:rsidRDefault="00000000">
            <w:pPr>
              <w:jc w:val="center"/>
            </w:pPr>
            <w:r>
              <w:rPr>
                <w:sz w:val="19"/>
                <w:szCs w:val="19"/>
              </w:rPr>
              <w:t>10,316</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B28A47C" w14:textId="77777777" w:rsidR="005D1758" w:rsidRDefault="00000000">
            <w:pPr>
              <w:jc w:val="center"/>
            </w:pPr>
            <w:r>
              <w:rPr>
                <w:sz w:val="19"/>
                <w:szCs w:val="19"/>
              </w:rPr>
              <w:t>$801M</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13AD4A8" w14:textId="77777777" w:rsidR="005D1758" w:rsidRDefault="00000000">
            <w:pPr>
              <w:jc w:val="center"/>
            </w:pPr>
            <w:r>
              <w:rPr>
                <w:sz w:val="19"/>
                <w:szCs w:val="19"/>
              </w:rPr>
              <w:t>$11,147M</w:t>
            </w:r>
          </w:p>
        </w:tc>
      </w:tr>
      <w:tr w:rsidR="005D1758" w14:paraId="59F0854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CF33190" w14:textId="77777777" w:rsidR="005D1758" w:rsidRDefault="00000000">
            <w:r>
              <w:rPr>
                <w:sz w:val="19"/>
                <w:szCs w:val="19"/>
              </w:rPr>
              <w:t>2017</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8C154EC" w14:textId="77777777" w:rsidR="005D1758" w:rsidRDefault="00000000">
            <w:pPr>
              <w:jc w:val="center"/>
            </w:pPr>
            <w:r>
              <w:rPr>
                <w:sz w:val="19"/>
                <w:szCs w:val="19"/>
              </w:rPr>
              <w:t>2,583</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BE3EC5A" w14:textId="77777777" w:rsidR="005D1758" w:rsidRDefault="00000000">
            <w:pPr>
              <w:jc w:val="center"/>
            </w:pPr>
            <w:r>
              <w:rPr>
                <w:sz w:val="19"/>
                <w:szCs w:val="19"/>
              </w:rPr>
              <w:t>9,601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1EF1408" w14:textId="77777777" w:rsidR="005D1758" w:rsidRDefault="00000000">
            <w:pPr>
              <w:jc w:val="center"/>
            </w:pPr>
            <w:r>
              <w:rPr>
                <w:sz w:val="19"/>
                <w:szCs w:val="19"/>
              </w:rPr>
              <w:t>$1,467M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BE060DB" w14:textId="77777777" w:rsidR="005D1758" w:rsidRDefault="00000000">
            <w:pPr>
              <w:jc w:val="center"/>
            </w:pPr>
            <w:r>
              <w:rPr>
                <w:sz w:val="19"/>
                <w:szCs w:val="19"/>
              </w:rPr>
              <w:t>$10,446M</w:t>
            </w:r>
          </w:p>
        </w:tc>
      </w:tr>
      <w:tr w:rsidR="005D1758" w14:paraId="303848BF"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B34E454" w14:textId="77777777" w:rsidR="005D1758" w:rsidRDefault="00000000">
            <w:r>
              <w:rPr>
                <w:sz w:val="19"/>
                <w:szCs w:val="19"/>
              </w:rPr>
              <w:t>2018</w:t>
            </w:r>
          </w:p>
        </w:tc>
        <w:tc>
          <w:tcPr>
            <w:tcW w:w="178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72862ED" w14:textId="77777777" w:rsidR="005D1758" w:rsidRDefault="00000000">
            <w:pPr>
              <w:jc w:val="center"/>
            </w:pPr>
            <w:r>
              <w:rPr>
                <w:sz w:val="19"/>
                <w:szCs w:val="19"/>
              </w:rPr>
              <w:t>4,694</w:t>
            </w:r>
          </w:p>
        </w:tc>
        <w:tc>
          <w:tcPr>
            <w:tcW w:w="178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367F40B" w14:textId="77777777" w:rsidR="005D1758" w:rsidRDefault="00000000">
            <w:pPr>
              <w:jc w:val="center"/>
            </w:pPr>
            <w:r>
              <w:rPr>
                <w:sz w:val="19"/>
                <w:szCs w:val="19"/>
              </w:rPr>
              <w:t>21,053</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60A0A95" w14:textId="77777777" w:rsidR="005D1758" w:rsidRDefault="00000000">
            <w:pPr>
              <w:jc w:val="center"/>
            </w:pPr>
            <w:r>
              <w:rPr>
                <w:sz w:val="19"/>
                <w:szCs w:val="19"/>
              </w:rPr>
              <w:t>$2,832M</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2A44E600" w14:textId="77777777" w:rsidR="005D1758" w:rsidRDefault="00000000">
            <w:pPr>
              <w:jc w:val="center"/>
            </w:pPr>
            <w:r>
              <w:rPr>
                <w:sz w:val="19"/>
                <w:szCs w:val="19"/>
              </w:rPr>
              <w:t>$13,657M</w:t>
            </w:r>
          </w:p>
        </w:tc>
      </w:tr>
      <w:tr w:rsidR="005D1758" w14:paraId="7C5BFC9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A4B8A72" w14:textId="77777777" w:rsidR="005D1758" w:rsidRDefault="00000000">
            <w:r>
              <w:rPr>
                <w:sz w:val="19"/>
                <w:szCs w:val="19"/>
              </w:rPr>
              <w:t>2019</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F0B270F" w14:textId="77777777" w:rsidR="005D1758" w:rsidRDefault="00000000">
            <w:pPr>
              <w:jc w:val="center"/>
            </w:pPr>
            <w:r>
              <w:rPr>
                <w:sz w:val="19"/>
                <w:szCs w:val="19"/>
              </w:rPr>
              <w:t>2,411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E636CE" w14:textId="77777777" w:rsidR="005D1758" w:rsidRDefault="00000000">
            <w:pPr>
              <w:jc w:val="center"/>
            </w:pPr>
            <w:r>
              <w:rPr>
                <w:sz w:val="19"/>
                <w:szCs w:val="19"/>
              </w:rPr>
              <w:t>21,048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FD133D4" w14:textId="77777777" w:rsidR="005D1758" w:rsidRDefault="00000000">
            <w:pPr>
              <w:jc w:val="center"/>
            </w:pPr>
            <w:r>
              <w:rPr>
                <w:sz w:val="19"/>
                <w:szCs w:val="19"/>
              </w:rPr>
              <w:t>$3,229M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7BE58A9" w14:textId="77777777" w:rsidR="005D1758" w:rsidRDefault="00000000">
            <w:pPr>
              <w:jc w:val="center"/>
            </w:pPr>
            <w:r>
              <w:rPr>
                <w:sz w:val="19"/>
                <w:szCs w:val="19"/>
              </w:rPr>
              <w:t>$17,234M</w:t>
            </w:r>
          </w:p>
        </w:tc>
      </w:tr>
      <w:tr w:rsidR="005D1758" w14:paraId="32E3517C"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FF74690" w14:textId="77777777" w:rsidR="005D1758" w:rsidRDefault="00000000">
            <w:r>
              <w:rPr>
                <w:sz w:val="19"/>
                <w:szCs w:val="19"/>
              </w:rPr>
              <w:t>2020</w:t>
            </w:r>
          </w:p>
        </w:tc>
        <w:tc>
          <w:tcPr>
            <w:tcW w:w="178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7C5AE43E" w14:textId="77777777" w:rsidR="005D1758" w:rsidRDefault="00000000">
            <w:pPr>
              <w:jc w:val="center"/>
            </w:pPr>
            <w:r>
              <w:rPr>
                <w:sz w:val="19"/>
                <w:szCs w:val="19"/>
              </w:rPr>
              <w:t>3,826</w:t>
            </w:r>
          </w:p>
        </w:tc>
        <w:tc>
          <w:tcPr>
            <w:tcW w:w="178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5F307F3" w14:textId="77777777" w:rsidR="005D1758" w:rsidRDefault="00000000">
            <w:pPr>
              <w:jc w:val="center"/>
            </w:pPr>
            <w:r>
              <w:rPr>
                <w:sz w:val="19"/>
                <w:szCs w:val="19"/>
              </w:rPr>
              <w:t>20,899</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784BEA3" w14:textId="77777777" w:rsidR="005D1758" w:rsidRDefault="00000000">
            <w:pPr>
              <w:jc w:val="center"/>
            </w:pPr>
            <w:r>
              <w:rPr>
                <w:sz w:val="19"/>
                <w:szCs w:val="19"/>
              </w:rPr>
              <w:t>$3,644M</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5A922005" w14:textId="77777777" w:rsidR="005D1758" w:rsidRDefault="00000000">
            <w:pPr>
              <w:jc w:val="center"/>
            </w:pPr>
            <w:r>
              <w:rPr>
                <w:sz w:val="19"/>
                <w:szCs w:val="19"/>
              </w:rPr>
              <w:t>$21,000M</w:t>
            </w:r>
          </w:p>
        </w:tc>
      </w:tr>
      <w:tr w:rsidR="005D1758" w14:paraId="7AEADAC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5B9CA94" w14:textId="77777777" w:rsidR="005D1758" w:rsidRDefault="00000000">
            <w:r>
              <w:rPr>
                <w:sz w:val="19"/>
                <w:szCs w:val="19"/>
              </w:rPr>
              <w:t>2021</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39D6303" w14:textId="77777777" w:rsidR="005D1758" w:rsidRDefault="00000000">
            <w:pPr>
              <w:jc w:val="center"/>
            </w:pPr>
            <w:r>
              <w:rPr>
                <w:sz w:val="19"/>
                <w:szCs w:val="19"/>
              </w:rPr>
              <w:t>8,207</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7EC3C5C" w14:textId="77777777" w:rsidR="005D1758" w:rsidRDefault="00000000">
            <w:pPr>
              <w:jc w:val="center"/>
            </w:pPr>
            <w:r>
              <w:rPr>
                <w:sz w:val="19"/>
                <w:szCs w:val="19"/>
              </w:rPr>
              <w:t>19,868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CD48032" w14:textId="77777777" w:rsidR="005D1758" w:rsidRDefault="00000000">
            <w:pPr>
              <w:jc w:val="center"/>
            </w:pPr>
            <w:r>
              <w:rPr>
                <w:sz w:val="19"/>
                <w:szCs w:val="19"/>
              </w:rPr>
              <w:t>$4,815M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F46D1C9" w14:textId="77777777" w:rsidR="005D1758" w:rsidRDefault="00000000">
            <w:pPr>
              <w:jc w:val="center"/>
            </w:pPr>
            <w:r>
              <w:rPr>
                <w:sz w:val="19"/>
                <w:szCs w:val="19"/>
              </w:rPr>
              <w:t>$20,605M</w:t>
            </w:r>
          </w:p>
        </w:tc>
      </w:tr>
      <w:tr w:rsidR="005D1758" w14:paraId="2814D29C"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ED78DBC" w14:textId="77777777" w:rsidR="005D1758" w:rsidRDefault="00000000">
            <w:r>
              <w:rPr>
                <w:sz w:val="19"/>
                <w:szCs w:val="19"/>
              </w:rPr>
              <w:t>2022</w:t>
            </w:r>
          </w:p>
        </w:tc>
        <w:tc>
          <w:tcPr>
            <w:tcW w:w="178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E653AF0" w14:textId="77777777" w:rsidR="005D1758" w:rsidRDefault="00000000">
            <w:pPr>
              <w:jc w:val="center"/>
            </w:pPr>
            <w:r>
              <w:rPr>
                <w:sz w:val="19"/>
                <w:szCs w:val="19"/>
              </w:rPr>
              <w:t>5,956</w:t>
            </w:r>
          </w:p>
        </w:tc>
        <w:tc>
          <w:tcPr>
            <w:tcW w:w="178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1C92FAA2" w14:textId="77777777" w:rsidR="005D1758" w:rsidRDefault="00000000">
            <w:pPr>
              <w:jc w:val="center"/>
            </w:pPr>
            <w:r>
              <w:rPr>
                <w:sz w:val="19"/>
                <w:szCs w:val="19"/>
              </w:rPr>
              <w:t>8,014</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DA5CC7A" w14:textId="77777777" w:rsidR="005D1758" w:rsidRDefault="00000000">
            <w:pPr>
              <w:jc w:val="center"/>
            </w:pPr>
            <w:r>
              <w:rPr>
                <w:sz w:val="19"/>
                <w:szCs w:val="19"/>
              </w:rPr>
              <w:t>$5,996M</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6CA243ED" w14:textId="77777777" w:rsidR="005D1758" w:rsidRDefault="00000000">
            <w:pPr>
              <w:jc w:val="center"/>
            </w:pPr>
            <w:r>
              <w:rPr>
                <w:sz w:val="19"/>
                <w:szCs w:val="19"/>
              </w:rPr>
              <w:t>$16,260M</w:t>
            </w:r>
          </w:p>
        </w:tc>
      </w:tr>
      <w:tr w:rsidR="005D1758" w14:paraId="560B33C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1E079B9" w14:textId="77777777" w:rsidR="005D1758" w:rsidRDefault="00000000">
            <w:r>
              <w:rPr>
                <w:sz w:val="19"/>
                <w:szCs w:val="19"/>
              </w:rPr>
              <w:t>2023</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BAA79E2" w14:textId="77777777" w:rsidR="005D1758" w:rsidRDefault="00000000">
            <w:pPr>
              <w:jc w:val="center"/>
            </w:pPr>
            <w:r>
              <w:rPr>
                <w:sz w:val="19"/>
                <w:szCs w:val="19"/>
              </w:rPr>
              <w:t>18,888</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612BE7A" w14:textId="77777777" w:rsidR="005D1758" w:rsidRDefault="00000000">
            <w:pPr>
              <w:jc w:val="center"/>
            </w:pPr>
            <w:r>
              <w:rPr>
                <w:sz w:val="19"/>
                <w:szCs w:val="19"/>
              </w:rPr>
              <w:t>1,689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8220CF7" w14:textId="77777777" w:rsidR="005D1758" w:rsidRDefault="00000000">
            <w:pPr>
              <w:jc w:val="center"/>
            </w:pPr>
            <w:r>
              <w:rPr>
                <w:sz w:val="19"/>
                <w:szCs w:val="19"/>
              </w:rPr>
              <w:t>$11,017M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D580D84" w14:textId="77777777" w:rsidR="005D1758" w:rsidRDefault="00000000">
            <w:pPr>
              <w:jc w:val="center"/>
            </w:pPr>
            <w:r>
              <w:rPr>
                <w:sz w:val="19"/>
                <w:szCs w:val="19"/>
              </w:rPr>
              <w:t>$9,857M</w:t>
            </w:r>
          </w:p>
        </w:tc>
      </w:tr>
      <w:tr w:rsidR="005D1758" w14:paraId="3EEFC599" w14:textId="77777777">
        <w:tc>
          <w:tcPr>
            <w:tcW w:w="7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6CD52CD" w14:textId="77777777" w:rsidR="005D1758" w:rsidRDefault="00000000">
            <w:r>
              <w:rPr>
                <w:sz w:val="19"/>
                <w:szCs w:val="19"/>
              </w:rPr>
              <w:t>2024</w:t>
            </w:r>
          </w:p>
        </w:tc>
        <w:tc>
          <w:tcPr>
            <w:tcW w:w="178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DEE343A" w14:textId="77777777" w:rsidR="005D1758" w:rsidRDefault="00000000">
            <w:pPr>
              <w:jc w:val="center"/>
            </w:pPr>
            <w:r>
              <w:rPr>
                <w:sz w:val="19"/>
                <w:szCs w:val="19"/>
              </w:rPr>
              <w:t>63,075</w:t>
            </w:r>
          </w:p>
        </w:tc>
        <w:tc>
          <w:tcPr>
            <w:tcW w:w="178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06565FED" w14:textId="77777777" w:rsidR="005D1758" w:rsidRDefault="00000000">
            <w:pPr>
              <w:jc w:val="center"/>
            </w:pPr>
            <w:r>
              <w:rPr>
                <w:sz w:val="19"/>
                <w:szCs w:val="19"/>
              </w:rPr>
              <w:t>-18,756</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3AAACC2F" w14:textId="77777777" w:rsidR="005D1758" w:rsidRDefault="00000000">
            <w:pPr>
              <w:jc w:val="center"/>
            </w:pPr>
            <w:r>
              <w:rPr>
                <w:sz w:val="19"/>
                <w:szCs w:val="19"/>
              </w:rPr>
              <w:t>$29,306M</w:t>
            </w:r>
          </w:p>
        </w:tc>
        <w:tc>
          <w:tcPr>
            <w:tcW w:w="2400" w:type="dxa"/>
            <w:tcBorders>
              <w:top w:val="single" w:sz="1" w:space="0" w:color="CCCCCC"/>
              <w:left w:val="single" w:sz="1" w:space="0" w:color="CCCCCC"/>
              <w:bottom w:val="single" w:sz="1" w:space="0" w:color="CCCCCC"/>
              <w:right w:val="single" w:sz="1" w:space="0" w:color="CCCCCC"/>
            </w:tcBorders>
            <w:shd w:val="clear" w:color="auto" w:fill="F8F8F8"/>
            <w:tcMar>
              <w:top w:w="60" w:type="dxa"/>
              <w:left w:w="140" w:type="dxa"/>
              <w:bottom w:w="60" w:type="dxa"/>
              <w:right w:w="140" w:type="dxa"/>
            </w:tcMar>
          </w:tcPr>
          <w:p w14:paraId="4567ECAF" w14:textId="77777777" w:rsidR="005D1758" w:rsidRDefault="00000000">
            <w:pPr>
              <w:jc w:val="center"/>
            </w:pPr>
            <w:r>
              <w:rPr>
                <w:sz w:val="19"/>
                <w:szCs w:val="19"/>
              </w:rPr>
              <w:t>-$3,018M</w:t>
            </w:r>
          </w:p>
        </w:tc>
      </w:tr>
      <w:tr w:rsidR="005D1758" w14:paraId="6838155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F7C5820" w14:textId="77777777" w:rsidR="005D1758" w:rsidRDefault="00000000">
            <w:r>
              <w:rPr>
                <w:sz w:val="19"/>
                <w:szCs w:val="19"/>
              </w:rPr>
              <w:t>2025</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04D796D" w14:textId="77777777" w:rsidR="005D1758" w:rsidRDefault="00000000">
            <w:pPr>
              <w:jc w:val="center"/>
            </w:pPr>
            <w:r>
              <w:rPr>
                <w:sz w:val="19"/>
                <w:szCs w:val="19"/>
              </w:rPr>
              <w:t>99,198</w:t>
            </w:r>
          </w:p>
        </w:tc>
        <w:tc>
          <w:tcPr>
            <w:tcW w:w="1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7380E1C" w14:textId="77777777" w:rsidR="005D1758" w:rsidRDefault="00000000">
            <w:pPr>
              <w:jc w:val="center"/>
            </w:pPr>
            <w:r>
              <w:rPr>
                <w:sz w:val="19"/>
                <w:szCs w:val="19"/>
              </w:rPr>
              <w:t>-267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C8214E6" w14:textId="77777777" w:rsidR="005D1758" w:rsidRDefault="00000000">
            <w:pPr>
              <w:jc w:val="center"/>
            </w:pPr>
            <w:r>
              <w:rPr>
                <w:sz w:val="19"/>
                <w:szCs w:val="19"/>
              </w:rPr>
              <w:t>$60,387M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5689566" w14:textId="77777777" w:rsidR="005D1758" w:rsidRDefault="00000000">
            <w:pPr>
              <w:jc w:val="center"/>
            </w:pPr>
            <w:r>
              <w:rPr>
                <w:sz w:val="19"/>
                <w:szCs w:val="19"/>
              </w:rPr>
              <w:t>-$5,778M</w:t>
            </w:r>
          </w:p>
        </w:tc>
      </w:tr>
    </w:tbl>
    <w:p w14:paraId="4A986A2D" w14:textId="77777777" w:rsidR="005D1758" w:rsidRDefault="005D1758">
      <w:pPr>
        <w:spacing w:after="60"/>
      </w:pPr>
    </w:p>
    <w:p w14:paraId="542E0E92" w14:textId="77777777" w:rsidR="005D1758" w:rsidRDefault="00000000">
      <w:pPr>
        <w:spacing w:after="140"/>
        <w:jc w:val="both"/>
      </w:pPr>
      <w:r>
        <w:t>The rolling average crossover — the moment when NVIDIA's smoothed average exceeded Intel's — occurred in 2023, when NVIDIA's 3-year average of $11.0 billion first surpassed Intel's $9.9 billion. But notice how close the 2022 figures are: NVIDIA at $6.0 billion, Intel at $16.3 billion. The crossover was coming regardless of the exact timing of the generative AI wave; NVIDIA's trajectory made it inevitable.</w:t>
      </w:r>
    </w:p>
    <w:p w14:paraId="05F1E929" w14:textId="77777777" w:rsidR="005D1758" w:rsidRDefault="005D1758">
      <w:pPr>
        <w:spacing w:after="60"/>
      </w:pPr>
    </w:p>
    <w:p w14:paraId="2C8A6F83" w14:textId="77777777" w:rsidR="005D1758" w:rsidRDefault="00000000">
      <w:pPr>
        <w:spacing w:after="140"/>
        <w:jc w:val="both"/>
      </w:pPr>
      <w:r>
        <w:t xml:space="preserve">By 2025, the rolling averages tell a story that is almost surreal in its contrast. </w:t>
      </w:r>
      <w:proofErr w:type="gramStart"/>
      <w:r>
        <w:t>NVIDIA's</w:t>
      </w:r>
      <w:proofErr w:type="gramEnd"/>
      <w:r>
        <w:t xml:space="preserve"> smoothed 3-year average is $60.4 billion — approaching the entire market capitalisation of many large companies. Intel's is negative $5.8 billion. That is a gap of more than $66 billion in average annual earnings, between two companies that in 2014 were separated by barely $10 billion on the same metric.</w:t>
      </w:r>
    </w:p>
    <w:p w14:paraId="55E4AF1C" w14:textId="77777777" w:rsidR="005D1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1758" w14:paraId="514F7043" w14:textId="77777777">
        <w:tc>
          <w:tcPr>
            <w:tcW w:w="1200" w:type="dxa"/>
            <w:tcBorders>
              <w:top w:val="none" w:sz="0" w:space="0" w:color="FFFFFF"/>
              <w:left w:val="none" w:sz="0" w:space="0" w:color="FFFFFF"/>
              <w:bottom w:val="none" w:sz="0" w:space="0" w:color="FFFFFF"/>
              <w:right w:val="none" w:sz="0" w:space="0" w:color="FFFFFF"/>
            </w:tcBorders>
            <w:shd w:val="clear" w:color="auto" w:fill="7B1515"/>
            <w:tcMar>
              <w:top w:w="160" w:type="dxa"/>
              <w:left w:w="180" w:type="dxa"/>
              <w:bottom w:w="160" w:type="dxa"/>
              <w:right w:w="180" w:type="dxa"/>
            </w:tcMar>
            <w:vAlign w:val="center"/>
          </w:tcPr>
          <w:p w14:paraId="411E99B1" w14:textId="77777777" w:rsidR="005D1758" w:rsidRDefault="00000000">
            <w:pPr>
              <w:jc w:val="center"/>
            </w:pPr>
            <w:r>
              <w:rPr>
                <w:b/>
                <w:bCs/>
                <w:color w:val="FFFFFF"/>
                <w:sz w:val="52"/>
                <w:szCs w:val="52"/>
              </w:rPr>
              <w:t>06</w:t>
            </w:r>
          </w:p>
        </w:tc>
        <w:tc>
          <w:tcPr>
            <w:tcW w:w="8160" w:type="dxa"/>
            <w:tcBorders>
              <w:top w:val="none" w:sz="0" w:space="0" w:color="FFFFFF"/>
              <w:left w:val="none" w:sz="0" w:space="0" w:color="FFFFFF"/>
              <w:bottom w:val="none" w:sz="0" w:space="0" w:color="FFFFFF"/>
              <w:right w:val="none" w:sz="0" w:space="0" w:color="FFFFFF"/>
            </w:tcBorders>
            <w:shd w:val="clear" w:color="auto" w:fill="F8F8F8"/>
            <w:tcMar>
              <w:top w:w="120" w:type="dxa"/>
              <w:left w:w="280" w:type="dxa"/>
              <w:bottom w:w="120" w:type="dxa"/>
              <w:right w:w="180" w:type="dxa"/>
            </w:tcMar>
          </w:tcPr>
          <w:p w14:paraId="4DFAF0F1" w14:textId="77777777" w:rsidR="005D1758" w:rsidRDefault="00000000">
            <w:r>
              <w:rPr>
                <w:b/>
                <w:bCs/>
                <w:color w:val="7B1515"/>
                <w:sz w:val="32"/>
                <w:szCs w:val="32"/>
              </w:rPr>
              <w:t>WHAT DROVE SUCCESS AND FAILURE</w:t>
            </w:r>
          </w:p>
          <w:p w14:paraId="2EFA3EFE" w14:textId="77777777" w:rsidR="005D1758" w:rsidRDefault="00000000">
            <w:r>
              <w:rPr>
                <w:i/>
                <w:iCs/>
                <w:color w:val="555555"/>
                <w:sz w:val="20"/>
                <w:szCs w:val="20"/>
              </w:rPr>
              <w:t>Going beyond the numbers to understand the human, strategic, and structural causes</w:t>
            </w:r>
          </w:p>
        </w:tc>
      </w:tr>
    </w:tbl>
    <w:p w14:paraId="6F9299F2" w14:textId="77777777" w:rsidR="005D1758" w:rsidRDefault="005D1758">
      <w:pPr>
        <w:spacing w:after="60"/>
      </w:pPr>
    </w:p>
    <w:p w14:paraId="6628D06C" w14:textId="1CFD4E0A" w:rsidR="005D1758" w:rsidRDefault="00000000">
      <w:pPr>
        <w:pBdr>
          <w:bottom w:val="single" w:sz="4" w:space="0" w:color="0D2137"/>
        </w:pBdr>
        <w:spacing w:before="320" w:after="100"/>
      </w:pPr>
      <w:r>
        <w:rPr>
          <w:b/>
          <w:bCs/>
          <w:color w:val="0D2137"/>
          <w:sz w:val="28"/>
          <w:szCs w:val="28"/>
        </w:rPr>
        <w:t>6.1 NVIDIA: Five Decisions That Made History</w:t>
      </w:r>
    </w:p>
    <w:p w14:paraId="46D0B4A6" w14:textId="77777777" w:rsidR="005D1758" w:rsidRDefault="00000000">
      <w:pPr>
        <w:spacing w:before="220" w:after="80"/>
      </w:pPr>
      <w:r>
        <w:rPr>
          <w:b/>
          <w:bCs/>
          <w:color w:val="006064"/>
          <w:sz w:val="24"/>
          <w:szCs w:val="24"/>
        </w:rPr>
        <w:t>Decision 1 — Invest in CUDA Before It Had a Business Case</w:t>
      </w:r>
    </w:p>
    <w:p w14:paraId="4FAF0FFB" w14:textId="77777777" w:rsidR="005D1758" w:rsidRDefault="00000000">
      <w:pPr>
        <w:spacing w:after="140"/>
        <w:jc w:val="both"/>
      </w:pPr>
      <w:r>
        <w:t>In 2006, NVIDIA spent significant engineering resources building CUDA — a general-purpose computing platform for GPUs — at a time when the obvious market for it was unclear. Gaming customers did not need it. Enterprise customers barely knew what GPUs were. But Jensen Huang had a conviction, rooted in deep technical understanding, that the kind of parallel computation GPUs excelled at would eventually matter enormously for scientific and mathematical workloads. This decision, made without a clear commercial payoff in sight, was the foundational bet that made everything else possible.</w:t>
      </w:r>
    </w:p>
    <w:p w14:paraId="0A04FB8F" w14:textId="77777777" w:rsidR="005D1758" w:rsidRDefault="005D1758">
      <w:pPr>
        <w:spacing w:after="60"/>
      </w:pPr>
    </w:p>
    <w:p w14:paraId="7C335B96" w14:textId="77777777" w:rsidR="005D1758" w:rsidRDefault="00000000">
      <w:pPr>
        <w:spacing w:before="220" w:after="80"/>
      </w:pPr>
      <w:r>
        <w:rPr>
          <w:b/>
          <w:bCs/>
          <w:color w:val="006064"/>
          <w:sz w:val="24"/>
          <w:szCs w:val="24"/>
        </w:rPr>
        <w:t>Decision 2 — Stay Fabless: Let TSMC Manufacture, Focus on Architecture</w:t>
      </w:r>
    </w:p>
    <w:p w14:paraId="594D8400" w14:textId="77777777" w:rsidR="005D1758" w:rsidRDefault="00000000">
      <w:pPr>
        <w:spacing w:after="140"/>
        <w:jc w:val="both"/>
      </w:pPr>
      <w:r>
        <w:t>Unlike Intel, NVIDIA has never owned a semiconductor factory. It designs its chips in-house and contracts the manufacturing to TSMC. This fabless model has been criticized at times as a vulnerability — what if TSMC has capacity issues? — but in practice it has been an extraordinary advantage. NVIDIA has been able to benefit from TSMC's best manufacturing processes (including 7nm, 5nm, and now 4nm and beyond) without spending the $50 billion or more that Intel has had to invest in its own factories. The capital that Intel spent maintaining fabs, NVIDIA spent on architecture research, software development, and customer relationships.</w:t>
      </w:r>
    </w:p>
    <w:p w14:paraId="0DCDCD3E" w14:textId="77777777" w:rsidR="005D1758" w:rsidRDefault="005D1758">
      <w:pPr>
        <w:spacing w:after="60"/>
      </w:pPr>
    </w:p>
    <w:p w14:paraId="2B4783D0" w14:textId="77777777" w:rsidR="005D1758" w:rsidRDefault="00000000">
      <w:pPr>
        <w:spacing w:before="220" w:after="80"/>
      </w:pPr>
      <w:r>
        <w:rPr>
          <w:b/>
          <w:bCs/>
          <w:color w:val="006064"/>
          <w:sz w:val="24"/>
          <w:szCs w:val="24"/>
        </w:rPr>
        <w:t>Decision 3 — Recognise AlexNet as a Signal, Not Noise</w:t>
      </w:r>
    </w:p>
    <w:p w14:paraId="7198968E" w14:textId="77777777" w:rsidR="005D1758" w:rsidRDefault="00000000">
      <w:pPr>
        <w:spacing w:after="140"/>
        <w:jc w:val="both"/>
      </w:pPr>
      <w:r>
        <w:t>When AlexNet won the 2012 ImageNet competition using NVIDIA GPUs and CUDA, Jensen Huang's response was not to simply note that researchers were using his products. He reorganised NVIDIA around the possibility. The company began designing GPU architectures explicitly for AI workloads. The Volta architecture (2017) introduced Tensor Cores — specialised hardware for the type of mixed-precision matrix multiplication that deep learning requires. This was NVIDIA explicitly designing its products not just for what customers were currently buying, but for what they would need when AI demand scaled.</w:t>
      </w:r>
    </w:p>
    <w:p w14:paraId="05D4B72E" w14:textId="77777777" w:rsidR="005D1758" w:rsidRDefault="005D1758">
      <w:pPr>
        <w:spacing w:after="60"/>
      </w:pPr>
    </w:p>
    <w:p w14:paraId="4C842146" w14:textId="77777777" w:rsidR="005D1758" w:rsidRDefault="00000000">
      <w:pPr>
        <w:spacing w:before="220" w:after="80"/>
      </w:pPr>
      <w:r>
        <w:rPr>
          <w:b/>
          <w:bCs/>
          <w:color w:val="006064"/>
          <w:sz w:val="24"/>
          <w:szCs w:val="24"/>
        </w:rPr>
        <w:t>Decision 4 — Build the Full Stack, Not Just the Chip</w:t>
      </w:r>
    </w:p>
    <w:p w14:paraId="03FD51CD" w14:textId="77777777" w:rsidR="005D1758" w:rsidRDefault="00000000">
      <w:pPr>
        <w:spacing w:after="140"/>
        <w:jc w:val="both"/>
      </w:pPr>
      <w:r>
        <w:t>NVIDIA's competitive moat is not the H100 chip. A chip can be reverse-engineered or outcompeted. NVIDIA's moat is the full stack: CUDA at the base, cuDNN and TensorRT for deep learning operations, NeMo for large language model training, DGX systems for enterprise AI infrastructure, and DGX Cloud for cloud-based AI computing. Every layer of this stack creates a reason for customers to stay on NVIDIA hardware, and every year the stack deepens with more tools, libraries, and integrations. A competitor that builds a chip that is 20% faster than the H100 still needs to convince AI engineers to rewrite their CUDA code — and that is a very high bar.</w:t>
      </w:r>
    </w:p>
    <w:p w14:paraId="2837D102" w14:textId="77777777" w:rsidR="005D1758" w:rsidRDefault="005D1758">
      <w:pPr>
        <w:spacing w:after="60"/>
      </w:pPr>
    </w:p>
    <w:p w14:paraId="005A01A9" w14:textId="77777777" w:rsidR="005D1758" w:rsidRDefault="00000000">
      <w:pPr>
        <w:spacing w:before="220" w:after="80"/>
      </w:pPr>
      <w:r>
        <w:rPr>
          <w:b/>
          <w:bCs/>
          <w:color w:val="006064"/>
          <w:sz w:val="24"/>
          <w:szCs w:val="24"/>
        </w:rPr>
        <w:t>Decision 5 — Maintain Leadership Stability Through the Long Arc</w:t>
      </w:r>
    </w:p>
    <w:p w14:paraId="17FE7242" w14:textId="77777777" w:rsidR="005D1758" w:rsidRDefault="00000000">
      <w:pPr>
        <w:spacing w:after="140"/>
        <w:jc w:val="both"/>
      </w:pPr>
      <w:r>
        <w:t xml:space="preserve">Jensen Huang has been NVIDIA's CEO since its founding in 1993. That is over three decades of continuous strategic leadership. This is not just a biographical detail — it is a fundamental competitive advantage. </w:t>
      </w:r>
      <w:r>
        <w:rPr>
          <w:i/>
          <w:iCs/>
        </w:rPr>
        <w:t>Strategic patience — the willingness to invest in something that won't pay off for five or ten years — requires leadership continuity. No board can demand a decade of patient investment in a technology without near-term commercial payoff if the CEO changes every three years and brings a new strategic framework each time.</w:t>
      </w:r>
    </w:p>
    <w:p w14:paraId="17721ADB" w14:textId="77777777" w:rsidR="005D1758" w:rsidRDefault="005D1758">
      <w:pPr>
        <w:spacing w:after="60"/>
      </w:pPr>
    </w:p>
    <w:p w14:paraId="0F7D1357" w14:textId="77777777" w:rsidR="005D1758" w:rsidRDefault="005D1758">
      <w:pPr>
        <w:spacing w:after="60"/>
      </w:pPr>
    </w:p>
    <w:p w14:paraId="4C5BBD17" w14:textId="3CA7A31C" w:rsidR="005D1758" w:rsidRDefault="00000000">
      <w:pPr>
        <w:pBdr>
          <w:bottom w:val="single" w:sz="4" w:space="0" w:color="0D2137"/>
        </w:pBdr>
        <w:spacing w:before="320" w:after="100"/>
      </w:pPr>
      <w:r>
        <w:rPr>
          <w:b/>
          <w:bCs/>
          <w:color w:val="0D2137"/>
          <w:sz w:val="28"/>
          <w:szCs w:val="28"/>
        </w:rPr>
        <w:t>6.2 Intel: Five Failures That Accelerated the Decline</w:t>
      </w:r>
    </w:p>
    <w:p w14:paraId="7671E823" w14:textId="77777777" w:rsidR="005D1758" w:rsidRDefault="00000000">
      <w:pPr>
        <w:spacing w:before="220" w:after="80"/>
      </w:pPr>
      <w:r>
        <w:rPr>
          <w:b/>
          <w:bCs/>
          <w:color w:val="006064"/>
          <w:sz w:val="24"/>
          <w:szCs w:val="24"/>
        </w:rPr>
        <w:t>Failure 1 — The 10nm Catastrophe</w:t>
      </w:r>
    </w:p>
    <w:p w14:paraId="0AE36F65" w14:textId="77777777" w:rsidR="005D1758" w:rsidRDefault="00000000">
      <w:pPr>
        <w:spacing w:after="140"/>
        <w:jc w:val="both"/>
      </w:pPr>
      <w:r>
        <w:t>Intel's transition from 14nm to 10nm — which should have taken two years — consumed six. The technical cause was overambition: Intel's engineers tried to achieve a 2.7x density improvement in a single node, far beyond industry norms. The decision not to adopt EUV (Extreme Ultraviolet) lithography from ASML — a technology that TSMC embraced in 2019 and that Intel executives later acknowledged was underinvested in — made the yield problems worse. While Intel was stuck on 14nm, TSMC delivered 7nm to AMD, Apple, and Qualcomm. Intel's CPUs, for the first time in modern computing history, were no longer the fastest available.</w:t>
      </w:r>
    </w:p>
    <w:p w14:paraId="52351FBA" w14:textId="77777777" w:rsidR="005D1758" w:rsidRDefault="005D1758">
      <w:pPr>
        <w:spacing w:after="60"/>
      </w:pPr>
    </w:p>
    <w:p w14:paraId="5B0EF896" w14:textId="77777777" w:rsidR="005D1758" w:rsidRDefault="00000000">
      <w:pPr>
        <w:spacing w:before="220" w:after="80"/>
      </w:pPr>
      <w:r>
        <w:rPr>
          <w:b/>
          <w:bCs/>
          <w:color w:val="006064"/>
          <w:sz w:val="24"/>
          <w:szCs w:val="24"/>
        </w:rPr>
        <w:t>Failure 2 — Five CEOs, Five Strategic Frameworks</w:t>
      </w:r>
    </w:p>
    <w:p w14:paraId="68638069" w14:textId="77777777" w:rsidR="005D1758" w:rsidRDefault="00000000">
      <w:pPr>
        <w:spacing w:after="140"/>
        <w:jc w:val="both"/>
      </w:pPr>
      <w:r>
        <w:t xml:space="preserve">Between 2013 and 2025, Intel went through five CEOs: Brian Krzanich (resigned 2018), Bob Swan (interim then permanent, departed 2021), Pat Gelsinger (returned 2021, forced out December 2024), and interim leadership since. Each transition brought a new strategic emphasis. Krzanich focused on diversification. Swan on financial discipline. Gelsinger on manufacturing revival and the foundry strategy. The constant reorientation meant that long-term investments rarely had time to compound. </w:t>
      </w:r>
      <w:r>
        <w:rPr>
          <w:i/>
          <w:iCs/>
        </w:rPr>
        <w:t>Pat Gelsinger's departure is particularly poignant: he was a technical legend at Intel, its first-ever CTO, who returned in 2021 with a genuine vision for revival. The board, facing a $16.6 billion Q3 2024 loss, ran out of patience before his strategy had time to work.</w:t>
      </w:r>
    </w:p>
    <w:p w14:paraId="4C4227E4" w14:textId="77777777" w:rsidR="005D1758" w:rsidRDefault="005D1758">
      <w:pPr>
        <w:spacing w:after="60"/>
      </w:pPr>
    </w:p>
    <w:p w14:paraId="21013750" w14:textId="77777777" w:rsidR="005D1758" w:rsidRDefault="00000000">
      <w:pPr>
        <w:spacing w:before="220" w:after="80"/>
      </w:pPr>
      <w:r>
        <w:rPr>
          <w:b/>
          <w:bCs/>
          <w:color w:val="006064"/>
          <w:sz w:val="24"/>
          <w:szCs w:val="24"/>
        </w:rPr>
        <w:t>Failure 3 — The Foundry Gamble That Has Not Yet Paid Off</w:t>
      </w:r>
    </w:p>
    <w:p w14:paraId="46B3B79A" w14:textId="77777777" w:rsidR="005D1758" w:rsidRDefault="00000000">
      <w:pPr>
        <w:spacing w:after="140"/>
        <w:jc w:val="both"/>
      </w:pPr>
      <w:r>
        <w:t>Gelsinger's most ambitious bet was Intel Foundry Services (IFS): the plan to compete with TSMC and Samsung by offering advanced chip manufacturing to external customers. This was theoretically sound — the US government wanted domestic semiconductor manufacturing capability, and poured $3–8 billion into Intel through the CHIPS and Science Act. But building credibility as a merchant foundry requires winning major external customers, and those customers — Apple, AMD, Qualcomm, NVIDIA — were already deeply embedded with TSMC. Intel Foundry reported an operating loss of $2.8 billion in 2024 alone. The factories are built; the customers have not fully arrived.</w:t>
      </w:r>
    </w:p>
    <w:p w14:paraId="779769FB" w14:textId="77777777" w:rsidR="005D1758" w:rsidRDefault="005D1758">
      <w:pPr>
        <w:spacing w:after="60"/>
      </w:pPr>
    </w:p>
    <w:p w14:paraId="06C9B6A0" w14:textId="77777777" w:rsidR="005D1758" w:rsidRDefault="00000000">
      <w:pPr>
        <w:spacing w:before="220" w:after="80"/>
      </w:pPr>
      <w:r>
        <w:rPr>
          <w:b/>
          <w:bCs/>
          <w:color w:val="006064"/>
          <w:sz w:val="24"/>
          <w:szCs w:val="24"/>
        </w:rPr>
        <w:t>Failure 4 — Arriving Late to AI Accelerators Without the Software</w:t>
      </w:r>
    </w:p>
    <w:p w14:paraId="036FD618" w14:textId="77777777" w:rsidR="005D1758" w:rsidRDefault="00000000">
      <w:pPr>
        <w:spacing w:after="140"/>
        <w:jc w:val="both"/>
      </w:pPr>
      <w:r>
        <w:t>Intel's Gaudi AI accelerator family was technically competitive on certain benchmarks but arrived years after NVIDIA's H100 and without an equivalent software ecosystem. The fundamental problem was not the chip — it was CUDA. AI engineers had spent years building their workflows, models, and tooling around CUDA. Switching to a Gaudi-based system meant re-engineering code, re-validating results, and accepting uncertainty. For hyperscalers building AI infrastructure worth billions of dollars, the switching cost was prohibitive. Microsoft and Amazon expressed interest in Intel's chips but did not commit the large-scale volumes needed to make Intel Foundry profitable.</w:t>
      </w:r>
    </w:p>
    <w:p w14:paraId="74751282" w14:textId="77777777" w:rsidR="005D1758" w:rsidRDefault="005D1758">
      <w:pPr>
        <w:spacing w:after="60"/>
      </w:pPr>
    </w:p>
    <w:p w14:paraId="4A54037B" w14:textId="77777777" w:rsidR="005D1758" w:rsidRDefault="00000000">
      <w:pPr>
        <w:spacing w:before="220" w:after="80"/>
      </w:pPr>
      <w:r>
        <w:rPr>
          <w:b/>
          <w:bCs/>
          <w:color w:val="006064"/>
          <w:sz w:val="24"/>
          <w:szCs w:val="24"/>
        </w:rPr>
        <w:t>Failure 5 — Defending Yesterday's Market Instead of Building Tomorrow's</w:t>
      </w:r>
    </w:p>
    <w:p w14:paraId="14166213" w14:textId="77777777" w:rsidR="005D1758" w:rsidRDefault="00000000">
      <w:pPr>
        <w:spacing w:after="140"/>
        <w:jc w:val="both"/>
      </w:pPr>
      <w:r>
        <w:t>Intel's deepest strategic failure is perhaps the most human: it optimised relentlessly for the market it already dominated rather than investing aggressively in the markets it did not yet own. The x86 CPU business was enormously profitable, which created rational incentives to protect it. But the PC market was maturing, the server CPU market was being disrupted by custom silicon and AMD, and the AI accelerator market — the fastest-growing segment in semiconductor history — was being built on a completely different architecture. Intel was defending a fortress while the war moved to a different city entirely.</w:t>
      </w:r>
    </w:p>
    <w:p w14:paraId="39BD24F5" w14:textId="77777777" w:rsidR="005D1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1758" w14:paraId="74E1AEE0" w14:textId="77777777">
        <w:tc>
          <w:tcPr>
            <w:tcW w:w="1200" w:type="dxa"/>
            <w:tcBorders>
              <w:top w:val="none" w:sz="0" w:space="0" w:color="FFFFFF"/>
              <w:left w:val="none" w:sz="0" w:space="0" w:color="FFFFFF"/>
              <w:bottom w:val="none" w:sz="0" w:space="0" w:color="FFFFFF"/>
              <w:right w:val="none" w:sz="0" w:space="0" w:color="FFFFFF"/>
            </w:tcBorders>
            <w:shd w:val="clear" w:color="auto" w:fill="0D2137"/>
            <w:tcMar>
              <w:top w:w="160" w:type="dxa"/>
              <w:left w:w="180" w:type="dxa"/>
              <w:bottom w:w="160" w:type="dxa"/>
              <w:right w:w="180" w:type="dxa"/>
            </w:tcMar>
            <w:vAlign w:val="center"/>
          </w:tcPr>
          <w:p w14:paraId="283F8B5E" w14:textId="77777777" w:rsidR="005D1758" w:rsidRDefault="00000000">
            <w:pPr>
              <w:jc w:val="center"/>
            </w:pPr>
            <w:r>
              <w:rPr>
                <w:b/>
                <w:bCs/>
                <w:color w:val="FFFFFF"/>
                <w:sz w:val="52"/>
                <w:szCs w:val="52"/>
              </w:rPr>
              <w:t>07</w:t>
            </w:r>
          </w:p>
        </w:tc>
        <w:tc>
          <w:tcPr>
            <w:tcW w:w="8160" w:type="dxa"/>
            <w:tcBorders>
              <w:top w:val="none" w:sz="0" w:space="0" w:color="FFFFFF"/>
              <w:left w:val="none" w:sz="0" w:space="0" w:color="FFFFFF"/>
              <w:bottom w:val="none" w:sz="0" w:space="0" w:color="FFFFFF"/>
              <w:right w:val="none" w:sz="0" w:space="0" w:color="FFFFFF"/>
            </w:tcBorders>
            <w:shd w:val="clear" w:color="auto" w:fill="F8F8F8"/>
            <w:tcMar>
              <w:top w:w="120" w:type="dxa"/>
              <w:left w:w="280" w:type="dxa"/>
              <w:bottom w:w="120" w:type="dxa"/>
              <w:right w:w="180" w:type="dxa"/>
            </w:tcMar>
          </w:tcPr>
          <w:p w14:paraId="28D2701D" w14:textId="77777777" w:rsidR="005D1758" w:rsidRDefault="00000000">
            <w:r>
              <w:rPr>
                <w:b/>
                <w:bCs/>
                <w:color w:val="0D2137"/>
                <w:sz w:val="32"/>
                <w:szCs w:val="32"/>
              </w:rPr>
              <w:t>TRANSFORMATION STRATEGY</w:t>
            </w:r>
          </w:p>
          <w:p w14:paraId="2C23CFA5" w14:textId="77777777" w:rsidR="005D1758" w:rsidRDefault="00000000">
            <w:r>
              <w:rPr>
                <w:i/>
                <w:iCs/>
                <w:color w:val="555555"/>
                <w:sz w:val="20"/>
                <w:szCs w:val="20"/>
              </w:rPr>
              <w:t>How NVIDIA reinvented itself across three acts — and what Intel attempted in response</w:t>
            </w:r>
          </w:p>
        </w:tc>
      </w:tr>
    </w:tbl>
    <w:p w14:paraId="10FEC196" w14:textId="77777777" w:rsidR="005D1758" w:rsidRDefault="005D1758">
      <w:pPr>
        <w:spacing w:after="60"/>
      </w:pPr>
    </w:p>
    <w:p w14:paraId="185554DC" w14:textId="06293BF9" w:rsidR="005D1758" w:rsidRDefault="00000000">
      <w:pPr>
        <w:pBdr>
          <w:bottom w:val="single" w:sz="4" w:space="0" w:color="0D2137"/>
        </w:pBdr>
        <w:spacing w:before="320" w:after="100"/>
      </w:pPr>
      <w:r>
        <w:rPr>
          <w:b/>
          <w:bCs/>
          <w:color w:val="0D2137"/>
          <w:sz w:val="28"/>
          <w:szCs w:val="28"/>
        </w:rPr>
        <w:t>7.1 NVIDIA's Three-Act Transformation</w:t>
      </w:r>
    </w:p>
    <w:p w14:paraId="1CA54CB2" w14:textId="77777777" w:rsidR="005D1758" w:rsidRDefault="00000000">
      <w:pPr>
        <w:spacing w:after="140"/>
        <w:jc w:val="both"/>
      </w:pPr>
      <w:r>
        <w:t>NVIDIA's journey from gaming chip maker to AI infrastructure giant did not happen in a single dramatic pivot. It unfolded in three distinct phases, each building on the foundation of the last. Understanding these phases separately is important because it reveals that transformation at scale is never a single decision — it is a compounding series of aligned decisions made over many years.</w:t>
      </w:r>
    </w:p>
    <w:p w14:paraId="0C7C1B2A" w14:textId="77777777" w:rsidR="005D1758" w:rsidRDefault="005D1758">
      <w:pPr>
        <w:spacing w:after="60"/>
      </w:pPr>
    </w:p>
    <w:p w14:paraId="102ACD36" w14:textId="77777777" w:rsidR="005D1758" w:rsidRDefault="00000000">
      <w:pPr>
        <w:spacing w:before="220" w:after="80"/>
      </w:pPr>
      <w:r>
        <w:rPr>
          <w:b/>
          <w:bCs/>
          <w:color w:val="006064"/>
          <w:sz w:val="24"/>
          <w:szCs w:val="24"/>
        </w:rPr>
        <w:t>Act One: Establishing the Gaming Platform (Pre-2013)</w:t>
      </w:r>
    </w:p>
    <w:p w14:paraId="550F57DF" w14:textId="77777777" w:rsidR="005D1758" w:rsidRDefault="00000000">
      <w:pPr>
        <w:spacing w:after="140"/>
        <w:jc w:val="both"/>
      </w:pPr>
      <w:r>
        <w:t>In its first phase, NVIDIA was a gaming company. Its GeForce GPU line dominated the discrete graphics market, and the company competed fiercely on performance benchmarks, refresh cycles, and developer relationships. This period established the engineering culture of continuous hardware improvement, the manufacturing relationship with TSMC, and crucially the CUDA platform that would later become the backbone of the AI ecosystem. Even in this phase, NVIDIA was investing in capabilities beyond what its immediate business required.</w:t>
      </w:r>
    </w:p>
    <w:p w14:paraId="48AAFC40" w14:textId="77777777" w:rsidR="005D1758" w:rsidRDefault="005D1758">
      <w:pPr>
        <w:spacing w:after="60"/>
      </w:pPr>
    </w:p>
    <w:p w14:paraId="629BEEDA" w14:textId="77777777" w:rsidR="005D1758" w:rsidRDefault="00000000">
      <w:pPr>
        <w:spacing w:before="220" w:after="80"/>
      </w:pPr>
      <w:r>
        <w:rPr>
          <w:b/>
          <w:bCs/>
          <w:color w:val="006064"/>
          <w:sz w:val="24"/>
          <w:szCs w:val="24"/>
        </w:rPr>
        <w:t>Act Two: The Data Centre Pivot and Deep Learning Infrastructure (2013–2022)</w:t>
      </w:r>
    </w:p>
    <w:p w14:paraId="1327059A" w14:textId="77777777" w:rsidR="005D1758" w:rsidRDefault="00000000">
      <w:pPr>
        <w:spacing w:after="140"/>
        <w:jc w:val="both"/>
      </w:pPr>
      <w:r>
        <w:t>The second phase began with Jensen Huang's recognition, around 2013–2014, that the demand pattern he was seeing from research institutions — universities, corporate labs, government supercomputing centres — was different in character from gaming demand. These customers were not rendering 3D games. They were running numerical simulations, training machine learning models, processing scientific datasets. NVIDIA responded by investing heavily in the Tesla (later called Data Centre) GPU line, building out the CUDA software stack for non-graphics workloads, and hiring sales teams focused exclusively on enterprise and research customers.</w:t>
      </w:r>
    </w:p>
    <w:p w14:paraId="5B0EA7B5" w14:textId="77777777" w:rsidR="005D1758" w:rsidRDefault="005D1758">
      <w:pPr>
        <w:spacing w:after="60"/>
      </w:pPr>
    </w:p>
    <w:p w14:paraId="5C449E86" w14:textId="77777777" w:rsidR="005D1758" w:rsidRDefault="00000000">
      <w:pPr>
        <w:spacing w:after="140"/>
        <w:jc w:val="both"/>
      </w:pPr>
      <w:r>
        <w:t>The financial results of this phase are visible in the Growth Rate Analysis section: NVIDIA's net income grew from $585 million in 2014 to $8.2 billion in 2021, a 14x increase. This was not gaming growth alone — it was the Data Centre business scaling from near-zero to becoming the company's single largest revenue driver. By 2020, Data Centre revenue had surpassed Gaming for the first time. The transformation was largely complete before the generative AI wave made it obvious to the public.</w:t>
      </w:r>
    </w:p>
    <w:p w14:paraId="4F82575E" w14:textId="77777777" w:rsidR="005D1758" w:rsidRDefault="005D1758">
      <w:pPr>
        <w:spacing w:after="60"/>
      </w:pPr>
    </w:p>
    <w:p w14:paraId="565E7F13" w14:textId="77777777" w:rsidR="005D1758" w:rsidRDefault="00000000">
      <w:pPr>
        <w:spacing w:before="220" w:after="80"/>
      </w:pPr>
      <w:r>
        <w:rPr>
          <w:b/>
          <w:bCs/>
          <w:color w:val="006064"/>
          <w:sz w:val="24"/>
          <w:szCs w:val="24"/>
        </w:rPr>
        <w:t>Act Three: The Generative AI Era and Industrial Dominance (2022–Present)</w:t>
      </w:r>
    </w:p>
    <w:p w14:paraId="023DD226" w14:textId="77777777" w:rsidR="005D1758" w:rsidRDefault="00000000">
      <w:pPr>
        <w:spacing w:after="140"/>
        <w:jc w:val="both"/>
      </w:pPr>
      <w:r>
        <w:t>The third phase was in some ways the easiest: NVIDIA had the right product, the right software, and the right customer relationships at exactly the moment demand exploded. The H100 Hopper chip, launched in 2022, was designed specifically for the training of large language models. It was the first GPU to feature a dedicated Transformer Engine — hardware optimised for the attention mechanisms that power models like GPT, Claude, and Gemini. When ChatGPT demonstrated to the world what large language models could do, every major technology company immediately began ordering H100s by the tens of thousands. NVIDIA simply could not make them fast enough.</w:t>
      </w:r>
    </w:p>
    <w:p w14:paraId="18B3B1E8" w14:textId="77777777" w:rsidR="005D1758" w:rsidRDefault="005D1758">
      <w:pPr>
        <w:spacing w:after="60"/>
      </w:pPr>
    </w:p>
    <w:p w14:paraId="40BCCA4E" w14:textId="77777777" w:rsidR="005D1758" w:rsidRDefault="00000000">
      <w:pPr>
        <w:spacing w:after="140"/>
        <w:jc w:val="both"/>
      </w:pPr>
      <w:r>
        <w:t>The financial results of this third phase speak for themselves: net income went from $5.9 billion in 2022 to $18.9 billion in 2023 to $63 billion in 2024 to $99 billion in 2025. Gross profit went from $16.5 billion to $131 billion over the same period. These are numbers that are genuinely difficult to contextualise within normal corporate growth frameworks. They reflect a company that had prepared for a decade for a demand surge that materialised precisely on the scale Jensen Huang had always believed it would.</w:t>
      </w:r>
    </w:p>
    <w:p w14:paraId="25A9E595" w14:textId="77777777" w:rsidR="005D1758" w:rsidRDefault="005D1758">
      <w:pPr>
        <w:spacing w:after="60"/>
      </w:pPr>
    </w:p>
    <w:p w14:paraId="01D95767" w14:textId="77777777" w:rsidR="005D1758" w:rsidRDefault="005D1758">
      <w:pPr>
        <w:spacing w:after="60"/>
      </w:pPr>
    </w:p>
    <w:p w14:paraId="09FACED5" w14:textId="76EE67EA" w:rsidR="005D1758" w:rsidRDefault="00000000">
      <w:pPr>
        <w:pBdr>
          <w:bottom w:val="single" w:sz="4" w:space="0" w:color="0D2137"/>
        </w:pBdr>
        <w:spacing w:before="320" w:after="100"/>
      </w:pPr>
      <w:r>
        <w:rPr>
          <w:b/>
          <w:bCs/>
          <w:color w:val="0D2137"/>
          <w:sz w:val="28"/>
          <w:szCs w:val="28"/>
        </w:rPr>
        <w:t>7.2 Intel's Response: Determined, But Too Late and Too Expensive</w:t>
      </w:r>
    </w:p>
    <w:p w14:paraId="75DD6EA3" w14:textId="77777777" w:rsidR="005D1758" w:rsidRDefault="00000000">
      <w:pPr>
        <w:spacing w:after="140"/>
        <w:jc w:val="both"/>
      </w:pPr>
      <w:r>
        <w:t>Pat Gelsinger returned to Intel in February 2021 with a clear-eyed assessment of the company's problems and a bold plan to fix them. His IDM 2.0 strategy had three pillars: regain manufacturing process leadership, build a merchant foundry business to compete with TSMC, and develop competitive AI accelerator products. All three pillars were the right strategic instincts. The question was whether the combination was achievable within the financial and competitive constraints Intel faced.</w:t>
      </w:r>
    </w:p>
    <w:p w14:paraId="4AEA48F5" w14:textId="77777777" w:rsidR="005D1758" w:rsidRDefault="005D1758">
      <w:pPr>
        <w:spacing w:after="60"/>
      </w:pPr>
    </w:p>
    <w:p w14:paraId="18FDC356" w14:textId="77777777" w:rsidR="005D1758" w:rsidRDefault="00000000">
      <w:pPr>
        <w:spacing w:after="140"/>
        <w:jc w:val="both"/>
      </w:pPr>
      <w:r>
        <w:t>The manufacturing recovery made genuine technical progress. Intel's 18A process — its most advanced node — achieved a performance-per-watt lead over some TSMC processes in specific AI and server benchmarks by late 2025. But the customer trust required to win large-scale foundry contracts was not rebuilt in time. Microsoft and Amazon signed agreements with Intel Foundry, but neither committed the volumes needed to make the division profitable. And the $100 billion+ capital expenditure programme required to compete with TSMC strained Intel's balance sheet precisely when its product revenues were declining.</w:t>
      </w:r>
    </w:p>
    <w:p w14:paraId="5A3B7609" w14:textId="77777777" w:rsidR="005D1758" w:rsidRDefault="005D1758">
      <w:pPr>
        <w:spacing w:after="60"/>
      </w:pPr>
    </w:p>
    <w:p w14:paraId="362C0F29" w14:textId="77777777" w:rsidR="005D1758" w:rsidRDefault="00000000">
      <w:pPr>
        <w:spacing w:after="140"/>
        <w:jc w:val="both"/>
      </w:pPr>
      <w:r>
        <w:t>Gelsinger was forced to retire in December 2024 after the board lost confidence in the pace of progress. He had not failed for lack of effort or technical vision. He had failed because the structural problems he inherited — a decade of manufacturing delays, a lost AI accelerator market, a shrinking CPU customer base, and an organisation that had not made painful strategic choices for years — were larger than any single CEO's ability to reverse in three years.</w:t>
      </w:r>
    </w:p>
    <w:p w14:paraId="534E7435" w14:textId="77777777" w:rsidR="005D1758" w:rsidRDefault="005D17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5D1758" w14:paraId="3A5AAAF7" w14:textId="77777777">
        <w:tc>
          <w:tcPr>
            <w:tcW w:w="240" w:type="dxa"/>
            <w:tcBorders>
              <w:top w:val="none" w:sz="0" w:space="0" w:color="FFFFFF"/>
              <w:left w:val="none" w:sz="0" w:space="0" w:color="FFFFFF"/>
              <w:bottom w:val="none" w:sz="0" w:space="0" w:color="FFFFFF"/>
              <w:right w:val="none" w:sz="0" w:space="0" w:color="FFFFFF"/>
            </w:tcBorders>
            <w:shd w:val="clear" w:color="auto" w:fill="4E3600"/>
          </w:tcPr>
          <w:p w14:paraId="03CCE6B4" w14:textId="77777777" w:rsidR="005D1758" w:rsidRDefault="005D1758"/>
        </w:tc>
        <w:tc>
          <w:tcPr>
            <w:tcW w:w="9120" w:type="dxa"/>
            <w:tcBorders>
              <w:top w:val="none" w:sz="0" w:space="0" w:color="FFFFFF"/>
              <w:left w:val="none" w:sz="0" w:space="0" w:color="FFFFFF"/>
              <w:bottom w:val="none" w:sz="0" w:space="0" w:color="FFFFFF"/>
              <w:right w:val="none" w:sz="0" w:space="0" w:color="FFFFFF"/>
            </w:tcBorders>
            <w:shd w:val="clear" w:color="auto" w:fill="FFF8E1"/>
            <w:tcMar>
              <w:top w:w="160" w:type="dxa"/>
              <w:left w:w="280" w:type="dxa"/>
              <w:bottom w:w="160" w:type="dxa"/>
              <w:right w:w="280" w:type="dxa"/>
            </w:tcMar>
          </w:tcPr>
          <w:p w14:paraId="66BB4BE0" w14:textId="77777777" w:rsidR="005D1758" w:rsidRDefault="00000000">
            <w:pPr>
              <w:jc w:val="both"/>
            </w:pPr>
            <w:r>
              <w:rPr>
                <w:i/>
                <w:iCs/>
              </w:rPr>
              <w:t>As one analyst put it at the time of Gelsinger's departure: Intel was almost two years behind TSMC when he joined and was approaching parity by the end of 2025 — a remarkable technical feat. But the financial cost of that journey, and the commercial progress that did not keep pace with the technical recovery, made his position untenable.</w:t>
            </w:r>
          </w:p>
        </w:tc>
      </w:tr>
    </w:tbl>
    <w:p w14:paraId="435D905C" w14:textId="77777777" w:rsidR="005D1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1758" w14:paraId="74B24ABA" w14:textId="77777777">
        <w:tc>
          <w:tcPr>
            <w:tcW w:w="1200" w:type="dxa"/>
            <w:tcBorders>
              <w:top w:val="none" w:sz="0" w:space="0" w:color="FFFFFF"/>
              <w:left w:val="none" w:sz="0" w:space="0" w:color="FFFFFF"/>
              <w:bottom w:val="none" w:sz="0" w:space="0" w:color="FFFFFF"/>
              <w:right w:val="none" w:sz="0" w:space="0" w:color="FFFFFF"/>
            </w:tcBorders>
            <w:shd w:val="clear" w:color="auto" w:fill="006064"/>
            <w:tcMar>
              <w:top w:w="160" w:type="dxa"/>
              <w:left w:w="180" w:type="dxa"/>
              <w:bottom w:w="160" w:type="dxa"/>
              <w:right w:w="180" w:type="dxa"/>
            </w:tcMar>
            <w:vAlign w:val="center"/>
          </w:tcPr>
          <w:p w14:paraId="7777EFF6" w14:textId="77777777" w:rsidR="005D1758" w:rsidRDefault="00000000">
            <w:pPr>
              <w:jc w:val="center"/>
            </w:pPr>
            <w:r>
              <w:rPr>
                <w:b/>
                <w:bCs/>
                <w:color w:val="FFFFFF"/>
                <w:sz w:val="52"/>
                <w:szCs w:val="52"/>
              </w:rPr>
              <w:t>08</w:t>
            </w:r>
          </w:p>
        </w:tc>
        <w:tc>
          <w:tcPr>
            <w:tcW w:w="8160" w:type="dxa"/>
            <w:tcBorders>
              <w:top w:val="none" w:sz="0" w:space="0" w:color="FFFFFF"/>
              <w:left w:val="none" w:sz="0" w:space="0" w:color="FFFFFF"/>
              <w:bottom w:val="none" w:sz="0" w:space="0" w:color="FFFFFF"/>
              <w:right w:val="none" w:sz="0" w:space="0" w:color="FFFFFF"/>
            </w:tcBorders>
            <w:shd w:val="clear" w:color="auto" w:fill="F8F8F8"/>
            <w:tcMar>
              <w:top w:w="120" w:type="dxa"/>
              <w:left w:w="280" w:type="dxa"/>
              <w:bottom w:w="120" w:type="dxa"/>
              <w:right w:w="180" w:type="dxa"/>
            </w:tcMar>
          </w:tcPr>
          <w:p w14:paraId="4F3DA8B4" w14:textId="77777777" w:rsidR="005D1758" w:rsidRDefault="00000000">
            <w:r>
              <w:rPr>
                <w:b/>
                <w:bCs/>
                <w:color w:val="006064"/>
                <w:sz w:val="32"/>
                <w:szCs w:val="32"/>
              </w:rPr>
              <w:t>ROLE OF AI AND DATA TECHNOLOGY</w:t>
            </w:r>
          </w:p>
          <w:p w14:paraId="0B7DD072" w14:textId="77777777" w:rsidR="005D1758" w:rsidRDefault="00000000">
            <w:r>
              <w:rPr>
                <w:i/>
                <w:iCs/>
                <w:color w:val="555555"/>
                <w:sz w:val="20"/>
                <w:szCs w:val="20"/>
              </w:rPr>
              <w:t>How the AI revolution was the cause of NVIDIA's rise — and partly the cause of Intel's struggle</w:t>
            </w:r>
          </w:p>
        </w:tc>
      </w:tr>
    </w:tbl>
    <w:p w14:paraId="76E9ACF1" w14:textId="77777777" w:rsidR="005D1758" w:rsidRDefault="005D1758">
      <w:pPr>
        <w:spacing w:after="60"/>
      </w:pPr>
    </w:p>
    <w:p w14:paraId="7D9C7EA0" w14:textId="33157F82" w:rsidR="005D1758" w:rsidRDefault="00000000">
      <w:pPr>
        <w:pBdr>
          <w:bottom w:val="single" w:sz="4" w:space="0" w:color="0D2137"/>
        </w:pBdr>
        <w:spacing w:before="320" w:after="100"/>
      </w:pPr>
      <w:r>
        <w:rPr>
          <w:b/>
          <w:bCs/>
          <w:color w:val="0D2137"/>
          <w:sz w:val="28"/>
          <w:szCs w:val="28"/>
        </w:rPr>
        <w:t>8.1 NVIDIA: Not Just a Beneficiary of AI — Its Enabler</w:t>
      </w:r>
    </w:p>
    <w:p w14:paraId="77B2C1AC" w14:textId="77777777" w:rsidR="005D1758" w:rsidRDefault="00000000">
      <w:pPr>
        <w:spacing w:after="140"/>
        <w:jc w:val="both"/>
      </w:pPr>
      <w:r>
        <w:t>It is a common misconception that NVIDIA benefited from AI in the same way that a lucky bystander might benefit from standing near an explosion. The reality is closer to the opposite: NVIDIA helped create the conditions that made modern AI possible, and then collected the returns on that investment when the market caught up to what it had been building.</w:t>
      </w:r>
    </w:p>
    <w:p w14:paraId="1FBCE5F0" w14:textId="77777777" w:rsidR="005D1758" w:rsidRDefault="005D1758">
      <w:pPr>
        <w:spacing w:after="60"/>
      </w:pPr>
    </w:p>
    <w:p w14:paraId="2CCDE4CE" w14:textId="77777777" w:rsidR="005D1758" w:rsidRDefault="00000000">
      <w:pPr>
        <w:spacing w:after="140"/>
        <w:jc w:val="both"/>
      </w:pPr>
      <w:r>
        <w:t>The CUDA platform, launched in 2006, gave researchers the tools they needed to run neural networks on GPU hardware efficiently. When Geoffrey Hinton's students trained AlexNet on two NVIDIA GTX 580 cards in a bedroom in Toronto in 2012, they were using CUDA. When Google Brain trained its cat-recognition model on a thousand CPU nodes — the same task later done on a handful of GPUs — it demonstrated that GPU-accelerated deep learning could achieve with a fraction of the hardware what required enormous CPU clusters. Every subsequent breakthrough — ResNet, BERT, GPT-2, GPT-3, AlphaFold, Stable Diffusion — was built on the CUDA foundation.</w:t>
      </w:r>
    </w:p>
    <w:p w14:paraId="71CF8AA6" w14:textId="77777777" w:rsidR="005D1758" w:rsidRDefault="005D1758">
      <w:pPr>
        <w:spacing w:after="60"/>
      </w:pPr>
    </w:p>
    <w:p w14:paraId="4206FE03" w14:textId="77777777" w:rsidR="005D1758" w:rsidRDefault="00000000">
      <w:pPr>
        <w:spacing w:after="140"/>
        <w:jc w:val="both"/>
      </w:pPr>
      <w:r>
        <w:t>The business consequence of this is profound. By the time hyperscalers began ordering H100 GPUs by the thousands in 2023, the alternative was not simply to buy a different chip. It was to retrain an entire organisation's AI engineering workforce on a different software stack, port millions of lines of CUDA code, re-validate model training results, and accept the risk of unknown performance differences in production. For companies racing to deploy AI capabilities before their competitors did, this switching cost was effectively prohibitive. NVIDIA had built a moat not with hardware but with software and time.</w:t>
      </w:r>
    </w:p>
    <w:p w14:paraId="214B8EBC" w14:textId="77777777" w:rsidR="005D1758" w:rsidRDefault="005D1758">
      <w:pPr>
        <w:spacing w:after="60"/>
      </w:pPr>
    </w:p>
    <w:p w14:paraId="6AAF8D5F" w14:textId="77777777" w:rsidR="005D1758" w:rsidRDefault="00000000">
      <w:pPr>
        <w:spacing w:after="140"/>
        <w:jc w:val="both"/>
      </w:pPr>
      <w:r>
        <w:t>Beyond CUDA, NVIDIA has continued to move up the value chain. DGX systems — turnkey AI training infrastructure — and DGX Cloud — AI compute delivered as a managed cloud service — move NVIDIA from chip vendor to platform provider. The Omniverse platform targets industrial simulation and robotics. The DRIVE platform targets autonomous vehicles. These are all long-duration bets that leverage the same GPU hardware in different application domains, extending NVIDIA's total addressable market beyond the data centre.</w:t>
      </w:r>
    </w:p>
    <w:p w14:paraId="6BCF75DD" w14:textId="77777777" w:rsidR="005D1758" w:rsidRDefault="005D1758">
      <w:pPr>
        <w:spacing w:after="60"/>
      </w:pPr>
    </w:p>
    <w:p w14:paraId="10E97EE6" w14:textId="77777777" w:rsidR="005D1758" w:rsidRDefault="005D1758">
      <w:pPr>
        <w:spacing w:after="60"/>
      </w:pPr>
    </w:p>
    <w:p w14:paraId="68B5E856" w14:textId="77777777" w:rsidR="005D1758" w:rsidRDefault="00000000">
      <w:pPr>
        <w:pBdr>
          <w:bottom w:val="single" w:sz="4" w:space="0" w:color="0D2137"/>
        </w:pBdr>
        <w:spacing w:before="320" w:after="100"/>
      </w:pPr>
      <w:proofErr w:type="gramStart"/>
      <w:r>
        <w:rPr>
          <w:b/>
          <w:bCs/>
          <w:color w:val="0D2137"/>
          <w:sz w:val="28"/>
          <w:szCs w:val="28"/>
        </w:rPr>
        <w:t>8.2  Intel</w:t>
      </w:r>
      <w:proofErr w:type="gramEnd"/>
      <w:r>
        <w:rPr>
          <w:b/>
          <w:bCs/>
          <w:color w:val="0D2137"/>
          <w:sz w:val="28"/>
          <w:szCs w:val="28"/>
        </w:rPr>
        <w:t>: Arriving at the AI Party Without the Right Credentials</w:t>
      </w:r>
    </w:p>
    <w:p w14:paraId="259F2095" w14:textId="77777777" w:rsidR="005D1758" w:rsidRDefault="00000000">
      <w:pPr>
        <w:spacing w:after="140"/>
        <w:jc w:val="both"/>
      </w:pPr>
      <w:r>
        <w:t>Intel's AI story is a cautionary tale about the difference between having a competitive product and having a competitive ecosystem. Intel's Gaudi 2 and Gaudi 3 AI accelerators performed respectably in benchmarks — in some specific workloads, Gaudi 3 matched or beat the H100 on price-performance. The chip was not the problem.</w:t>
      </w:r>
    </w:p>
    <w:p w14:paraId="64B1B8D6" w14:textId="77777777" w:rsidR="005D1758" w:rsidRDefault="005D1758">
      <w:pPr>
        <w:spacing w:after="60"/>
      </w:pPr>
    </w:p>
    <w:p w14:paraId="110CD93D" w14:textId="77777777" w:rsidR="005D1758" w:rsidRDefault="00000000">
      <w:pPr>
        <w:spacing w:after="140"/>
        <w:jc w:val="both"/>
      </w:pPr>
      <w:r>
        <w:t>The problem was that AI engineers did not trust Gaudi. Not because of the hardware, but because of the software. Frameworks like PyTorch and TensorFlow — the primary tools that AI engineers use to build and train models — had been optimised for NVIDIA's CUDA platform over more than a decade. Running them on Gaudi required additional software layers, additional testing, and additional uncertainty. In an industry where competitive advantage was measured in weeks of AI capability deployment lead time, engineers and infrastructure teams chose the path they knew would work over the path that might be slightly cheaper.</w:t>
      </w:r>
    </w:p>
    <w:p w14:paraId="34F6B76D" w14:textId="77777777" w:rsidR="005D1758" w:rsidRDefault="005D1758">
      <w:pPr>
        <w:spacing w:after="60"/>
      </w:pPr>
    </w:p>
    <w:p w14:paraId="77E7A843" w14:textId="77777777" w:rsidR="005D1758" w:rsidRDefault="00000000">
      <w:pPr>
        <w:spacing w:after="140"/>
        <w:jc w:val="both"/>
      </w:pPr>
      <w:r>
        <w:t>Intel understood this problem and invested in OneAPI — a software framework designed to allow developers to write code that could run on Intel CPUs, Intel GPUs, and Intel AI accelerators with minimal modification. The initiative was technically sound but suffered from the classic challenge of platform switching: convincing developers to invest time learning a new system when the old system was deeply embedded and already working.</w:t>
      </w:r>
    </w:p>
    <w:p w14:paraId="0D2F001D" w14:textId="77777777" w:rsidR="005D1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1758" w14:paraId="17D5BA9C" w14:textId="77777777">
        <w:tc>
          <w:tcPr>
            <w:tcW w:w="1200" w:type="dxa"/>
            <w:tcBorders>
              <w:top w:val="none" w:sz="0" w:space="0" w:color="FFFFFF"/>
              <w:left w:val="none" w:sz="0" w:space="0" w:color="FFFFFF"/>
              <w:bottom w:val="none" w:sz="0" w:space="0" w:color="FFFFFF"/>
              <w:right w:val="none" w:sz="0" w:space="0" w:color="FFFFFF"/>
            </w:tcBorders>
            <w:shd w:val="clear" w:color="auto" w:fill="4E3600"/>
            <w:tcMar>
              <w:top w:w="160" w:type="dxa"/>
              <w:left w:w="180" w:type="dxa"/>
              <w:bottom w:w="160" w:type="dxa"/>
              <w:right w:w="180" w:type="dxa"/>
            </w:tcMar>
            <w:vAlign w:val="center"/>
          </w:tcPr>
          <w:p w14:paraId="5F24100E" w14:textId="77777777" w:rsidR="005D1758" w:rsidRDefault="00000000">
            <w:pPr>
              <w:jc w:val="center"/>
            </w:pPr>
            <w:r>
              <w:rPr>
                <w:b/>
                <w:bCs/>
                <w:color w:val="FFFFFF"/>
                <w:sz w:val="52"/>
                <w:szCs w:val="52"/>
              </w:rPr>
              <w:t>09</w:t>
            </w:r>
          </w:p>
        </w:tc>
        <w:tc>
          <w:tcPr>
            <w:tcW w:w="8160" w:type="dxa"/>
            <w:tcBorders>
              <w:top w:val="none" w:sz="0" w:space="0" w:color="FFFFFF"/>
              <w:left w:val="none" w:sz="0" w:space="0" w:color="FFFFFF"/>
              <w:bottom w:val="none" w:sz="0" w:space="0" w:color="FFFFFF"/>
              <w:right w:val="none" w:sz="0" w:space="0" w:color="FFFFFF"/>
            </w:tcBorders>
            <w:shd w:val="clear" w:color="auto" w:fill="F8F8F8"/>
            <w:tcMar>
              <w:top w:w="120" w:type="dxa"/>
              <w:left w:w="280" w:type="dxa"/>
              <w:bottom w:w="120" w:type="dxa"/>
              <w:right w:w="180" w:type="dxa"/>
            </w:tcMar>
          </w:tcPr>
          <w:p w14:paraId="0588D9C8" w14:textId="77777777" w:rsidR="005D1758" w:rsidRDefault="00000000">
            <w:r>
              <w:rPr>
                <w:b/>
                <w:bCs/>
                <w:color w:val="4E3600"/>
                <w:sz w:val="32"/>
                <w:szCs w:val="32"/>
              </w:rPr>
              <w:t>KEY INSIGHTS &amp; CONSULTANT PERSPECTIVE</w:t>
            </w:r>
          </w:p>
          <w:p w14:paraId="6E178853" w14:textId="77777777" w:rsidR="005D1758" w:rsidRDefault="00000000">
            <w:r>
              <w:rPr>
                <w:i/>
                <w:iCs/>
                <w:color w:val="555555"/>
                <w:sz w:val="20"/>
                <w:szCs w:val="20"/>
              </w:rPr>
              <w:t>What this case study means for organisations navigating transformation</w:t>
            </w:r>
          </w:p>
        </w:tc>
      </w:tr>
    </w:tbl>
    <w:p w14:paraId="7D64C038" w14:textId="77777777" w:rsidR="005D1758" w:rsidRDefault="005D1758">
      <w:pPr>
        <w:spacing w:after="60"/>
      </w:pPr>
    </w:p>
    <w:p w14:paraId="1D2F2479" w14:textId="5AC96FAC" w:rsidR="005D1758" w:rsidRDefault="00000000">
      <w:pPr>
        <w:pBdr>
          <w:bottom w:val="single" w:sz="4" w:space="0" w:color="0D2137"/>
        </w:pBdr>
        <w:spacing w:before="320" w:after="100"/>
      </w:pPr>
      <w:r>
        <w:rPr>
          <w:b/>
          <w:bCs/>
          <w:color w:val="0D2137"/>
          <w:sz w:val="28"/>
          <w:szCs w:val="28"/>
        </w:rPr>
        <w:t>9.1 The Innovator's Dilemma Is Not a Theory — It Is a Recurring Event</w:t>
      </w:r>
    </w:p>
    <w:p w14:paraId="349700D0" w14:textId="77777777" w:rsidR="005D1758" w:rsidRDefault="00000000">
      <w:pPr>
        <w:spacing w:after="140"/>
        <w:jc w:val="both"/>
      </w:pPr>
      <w:r>
        <w:t xml:space="preserve">In 1997, Clayton Christensen published The Innovator's Dilemma, describing how successful, well-managed companies can fail not because they make bad decisions, but because they make rational decisions that are optimised for today's market rather than </w:t>
      </w:r>
      <w:proofErr w:type="gramStart"/>
      <w:r>
        <w:t>tomorrow's</w:t>
      </w:r>
      <w:proofErr w:type="gramEnd"/>
      <w:r>
        <w:t>. Intel is a near-perfect illustration of this dynamic. Every strategic choice Intel made between 2010 and 2020 was defensible in isolation: protect the high-margin CPU franchise, invest in manufacturing to maintain process leadership, avoid cannibalising x86 revenue with ARM experiments, focus R&amp;D on improving the core product. Each decision made sense given Intel's competitive position. Together, they constituted a failure to adapt to a world that had fundamentally changed.</w:t>
      </w:r>
    </w:p>
    <w:p w14:paraId="2006F0A6" w14:textId="77777777" w:rsidR="005D1758" w:rsidRDefault="005D1758">
      <w:pPr>
        <w:spacing w:after="60"/>
      </w:pPr>
    </w:p>
    <w:p w14:paraId="454AD5EA" w14:textId="77777777" w:rsidR="005D1758" w:rsidRDefault="00000000">
      <w:pPr>
        <w:spacing w:after="140"/>
        <w:jc w:val="both"/>
      </w:pPr>
      <w:r>
        <w:t>For a consultant advising a large enterprise client — whether in financial services, energy, professional services, or manufacturing — the Intel story is a template for the kind of disruption that is coming. The companies at most risk are those that are highly profitable in markets that appear stable but are in fact subject to platform-level disruption. Their profitability is both the thing that makes them successful today and the thing that makes transformation feel unnecessary until it is too late.</w:t>
      </w:r>
    </w:p>
    <w:p w14:paraId="62FD4208" w14:textId="77777777" w:rsidR="005D1758" w:rsidRDefault="005D1758">
      <w:pPr>
        <w:spacing w:after="60"/>
      </w:pPr>
    </w:p>
    <w:p w14:paraId="28DB0673" w14:textId="77777777" w:rsidR="005D1758" w:rsidRDefault="005D1758">
      <w:pPr>
        <w:spacing w:after="60"/>
      </w:pPr>
    </w:p>
    <w:p w14:paraId="75931F93" w14:textId="7CCE0454" w:rsidR="005D1758" w:rsidRDefault="00000000">
      <w:pPr>
        <w:pBdr>
          <w:bottom w:val="single" w:sz="4" w:space="0" w:color="0D2137"/>
        </w:pBdr>
        <w:spacing w:before="320" w:after="100"/>
      </w:pPr>
      <w:r>
        <w:rPr>
          <w:b/>
          <w:bCs/>
          <w:color w:val="0D2137"/>
          <w:sz w:val="28"/>
          <w:szCs w:val="28"/>
        </w:rPr>
        <w:t>9.2 Platform Ecosystems Are Stickier Than Products</w:t>
      </w:r>
    </w:p>
    <w:p w14:paraId="282F3447" w14:textId="77777777" w:rsidR="005D1758" w:rsidRDefault="00000000">
      <w:pPr>
        <w:spacing w:after="140"/>
        <w:jc w:val="both"/>
      </w:pPr>
      <w:r>
        <w:t>The single most important strategic lesson from NVIDIA's success is that its competitive moat is not the H100 chip — it is CUDA. A chip is a product. It can be designed around, improved upon, priced against. A developer ecosystem with 18 years of investment, millions of trained users, billions of dollars of deployed model infrastructure, and a self-reinforcing network effect of new libraries and frameworks being built continuously on top of it — that is a platform, and platforms have fundamentally different competitive dynamics than products.</w:t>
      </w:r>
    </w:p>
    <w:p w14:paraId="35F55498" w14:textId="77777777" w:rsidR="005D1758" w:rsidRDefault="005D1758">
      <w:pPr>
        <w:spacing w:after="60"/>
      </w:pPr>
    </w:p>
    <w:p w14:paraId="1FBB2C07" w14:textId="77777777" w:rsidR="005D1758" w:rsidRDefault="00000000">
      <w:pPr>
        <w:spacing w:after="140"/>
        <w:jc w:val="both"/>
      </w:pPr>
      <w:r>
        <w:t>This has direct implications for organisations undergoing digital transformation. The companies that build sustainable competitive advantage from data and technology investments are not those that buy the best software tool available today — they are those that build proprietary data assets, internal technical capability, and platform ecosystems that become more valuable as more users and use cases are added. The consultant's role is to help clients understand the difference between a point solution and a platform investment, and to build the business case for the latter even when its near-term returns are less visible.</w:t>
      </w:r>
    </w:p>
    <w:p w14:paraId="6A94D617" w14:textId="77777777" w:rsidR="005D1758" w:rsidRDefault="005D1758">
      <w:pPr>
        <w:spacing w:after="60"/>
      </w:pPr>
    </w:p>
    <w:p w14:paraId="6AE6307B" w14:textId="77777777" w:rsidR="005D1758" w:rsidRDefault="005D1758">
      <w:pPr>
        <w:spacing w:after="60"/>
      </w:pPr>
    </w:p>
    <w:p w14:paraId="1BDECFC1" w14:textId="06890B79" w:rsidR="005D1758" w:rsidRDefault="00000000">
      <w:pPr>
        <w:pBdr>
          <w:bottom w:val="single" w:sz="4" w:space="0" w:color="0D2137"/>
        </w:pBdr>
        <w:spacing w:before="320" w:after="100"/>
      </w:pPr>
      <w:r>
        <w:rPr>
          <w:b/>
          <w:bCs/>
          <w:color w:val="0D2137"/>
          <w:sz w:val="28"/>
          <w:szCs w:val="28"/>
        </w:rPr>
        <w:t>9.3 Strategic Patience Is a Scarce Resource That Must Be Actively Managed</w:t>
      </w:r>
    </w:p>
    <w:p w14:paraId="4DD4D656" w14:textId="77777777" w:rsidR="005D1758" w:rsidRDefault="00000000">
      <w:pPr>
        <w:spacing w:after="140"/>
        <w:jc w:val="both"/>
      </w:pPr>
      <w:r>
        <w:t>CUDA was launched in 2006. NVIDIA's Data Centre revenue did not become material until approximately 2016. That is a ten-year investment period where NVIDIA poured engineering resources into a platform without a clear commercial payoff. In most publicly listed companies, that kind of investment would not survive the first three-year strategic review cycle. It would be rationalised away as peripheral, de-prioritised in favour of core business investments, and eventually shut down.</w:t>
      </w:r>
    </w:p>
    <w:p w14:paraId="792F760F" w14:textId="77777777" w:rsidR="005D1758" w:rsidRDefault="005D1758">
      <w:pPr>
        <w:spacing w:after="60"/>
      </w:pPr>
    </w:p>
    <w:p w14:paraId="2CD10EF8" w14:textId="77777777" w:rsidR="005D1758" w:rsidRDefault="00000000">
      <w:pPr>
        <w:spacing w:after="140"/>
        <w:jc w:val="both"/>
      </w:pPr>
      <w:r>
        <w:t>The reason NVIDIA could sustain this investment was leadership continuity. Jensen Huang had the authority — because he had been CEO since the company's founding — and the credibility — because he had built the gaming GPU business from nothing — to make long-arc investments that other leaders would struggle to justify. This is not a formula that most organisations can replicate directly, but it points to an important structural question for any organisation undertaking transformation: have you created the conditions — in governance, in incentive structures, in leadership stability — that allow long-range strategic investments to survive the inevitable periods of doubt and short-term pressure?</w:t>
      </w:r>
    </w:p>
    <w:p w14:paraId="6B37FAC3" w14:textId="77777777" w:rsidR="005D1758" w:rsidRDefault="005D1758">
      <w:pPr>
        <w:spacing w:after="60"/>
      </w:pPr>
    </w:p>
    <w:p w14:paraId="5D9BED4B" w14:textId="77777777" w:rsidR="005D1758" w:rsidRDefault="005D1758">
      <w:pPr>
        <w:spacing w:after="60"/>
      </w:pPr>
    </w:p>
    <w:p w14:paraId="41EB4A29" w14:textId="5289C54C" w:rsidR="005D1758" w:rsidRDefault="00000000">
      <w:pPr>
        <w:pBdr>
          <w:bottom w:val="single" w:sz="4" w:space="0" w:color="0D2137"/>
        </w:pBdr>
        <w:spacing w:before="320" w:after="100"/>
      </w:pPr>
      <w:r>
        <w:rPr>
          <w:b/>
          <w:bCs/>
          <w:color w:val="0D2137"/>
          <w:sz w:val="28"/>
          <w:szCs w:val="28"/>
        </w:rPr>
        <w:t>9.4 What the Excel Analysis Reveals About Strategic Measurement</w:t>
      </w:r>
    </w:p>
    <w:p w14:paraId="7A88E0A8" w14:textId="77777777" w:rsidR="005D1758" w:rsidRDefault="00000000">
      <w:pPr>
        <w:spacing w:after="140"/>
        <w:jc w:val="both"/>
      </w:pPr>
      <w:r>
        <w:t>The choice of analytical techniques in this case study was itself a strategic act. Each method was chosen not just because it could be calculated, but because it revealed something specific that other methods would obscure.</w:t>
      </w:r>
    </w:p>
    <w:p w14:paraId="701F7E18" w14:textId="77777777" w:rsidR="005D1758" w:rsidRDefault="005D1758">
      <w:pPr>
        <w:spacing w:after="60"/>
      </w:pPr>
    </w:p>
    <w:p w14:paraId="033562AC" w14:textId="77777777" w:rsidR="005D1758" w:rsidRDefault="00000000">
      <w:pPr>
        <w:spacing w:after="140"/>
        <w:jc w:val="both"/>
      </w:pPr>
      <w:r>
        <w:rPr>
          <w:b/>
          <w:bCs/>
        </w:rPr>
        <w:t xml:space="preserve">The YoY Growth analysis </w:t>
      </w:r>
      <w:r>
        <w:t>reveals the year-by-year momentum and volatility of each business. It shows that NVIDIA's growth is not smooth — it has sharp dips in 2019 and 2022 — but that after each dip it recovers to a higher level than before. Intel's growth shows the opposite pattern: brief recoveries followed by further decline. Understanding the character of growth (not just its magnitude) is essential for any consultant advising on strategy.</w:t>
      </w:r>
    </w:p>
    <w:p w14:paraId="32170F04" w14:textId="77777777" w:rsidR="005D1758" w:rsidRDefault="005D1758">
      <w:pPr>
        <w:spacing w:after="60"/>
      </w:pPr>
    </w:p>
    <w:p w14:paraId="39A7DE94" w14:textId="77777777" w:rsidR="005D1758" w:rsidRDefault="00000000">
      <w:pPr>
        <w:spacing w:after="140"/>
        <w:jc w:val="both"/>
      </w:pPr>
      <w:r>
        <w:rPr>
          <w:b/>
          <w:bCs/>
        </w:rPr>
        <w:t xml:space="preserve">The CAGR by era analysis </w:t>
      </w:r>
      <w:r>
        <w:t>was chosen specifically to counter the narrative that NVIDIA's success was AI-boom luck. By segmenting into Pre-AI and AI Boom eras, the analysis shows that NVIDIA was already growing at 2.5x Intel's rate before ChatGPT existed. This kind of careful analytical framing — choosing the right period and segmentation to test a specific hypothesis — is what distinguishes strategic insight from numerical reporting.</w:t>
      </w:r>
    </w:p>
    <w:p w14:paraId="7812A13D" w14:textId="77777777" w:rsidR="005D1758" w:rsidRDefault="005D1758">
      <w:pPr>
        <w:spacing w:after="60"/>
      </w:pPr>
    </w:p>
    <w:p w14:paraId="7DC09A51" w14:textId="77777777" w:rsidR="005D1758" w:rsidRDefault="00000000">
      <w:pPr>
        <w:spacing w:after="140"/>
        <w:jc w:val="both"/>
      </w:pPr>
      <w:r>
        <w:rPr>
          <w:b/>
          <w:bCs/>
        </w:rPr>
        <w:t xml:space="preserve">The Rolling 3-Year Average </w:t>
      </w:r>
      <w:r>
        <w:t>was used to address the specific problem of NVIDIA's cyclical volatility. Without smoothing, the 2019 and 2022 dips might suggest NVIDIA's business was less resilient than it is. The rolling average reveals that the underlying growth trend was continuously positive even when individual years were negative. This is an important methodological choice when presenting to senior stakeholders who might otherwise overweight a single bad year.</w:t>
      </w:r>
    </w:p>
    <w:p w14:paraId="60ED0AB0" w14:textId="77777777" w:rsidR="005D1758" w:rsidRDefault="005D1758">
      <w:pPr>
        <w:spacing w:after="60"/>
      </w:pPr>
    </w:p>
    <w:p w14:paraId="00BFE61F" w14:textId="77777777" w:rsidR="005D1758" w:rsidRDefault="00000000">
      <w:pPr>
        <w:spacing w:after="140"/>
        <w:jc w:val="both"/>
      </w:pPr>
      <w:r>
        <w:rPr>
          <w:b/>
          <w:bCs/>
        </w:rPr>
        <w:t xml:space="preserve">The Cumulative Growth Index </w:t>
      </w:r>
      <w:r>
        <w:t>solves the problem of communicating large absolute numbers to a non-technical audience. Saying 'NVIDIA's net income grew from $585M to $99.2B' is technically accurate but difficult to emotionally contextualise. Saying 'if both companies started at an index of 100 in 2014, NVIDIA is now at 16,957 and Intel is at negative 2' creates an immediate, visceral understanding of the magnitude of divergence.</w:t>
      </w:r>
    </w:p>
    <w:p w14:paraId="5CEBE11E" w14:textId="77777777" w:rsidR="005D1758" w:rsidRDefault="005D1758">
      <w:pPr>
        <w:spacing w:after="60"/>
      </w:pPr>
    </w:p>
    <w:p w14:paraId="60281C08" w14:textId="77777777" w:rsidR="005D1758" w:rsidRDefault="005D1758">
      <w:pPr>
        <w:spacing w:after="60"/>
      </w:pPr>
    </w:p>
    <w:p w14:paraId="7DC845EE" w14:textId="0A62D220" w:rsidR="005D1758" w:rsidRDefault="00000000">
      <w:pPr>
        <w:pBdr>
          <w:bottom w:val="single" w:sz="4" w:space="0" w:color="0D2137"/>
        </w:pBdr>
        <w:spacing w:before="320" w:after="100"/>
      </w:pPr>
      <w:r>
        <w:rPr>
          <w:b/>
          <w:bCs/>
          <w:color w:val="0D2137"/>
          <w:sz w:val="28"/>
          <w:szCs w:val="28"/>
        </w:rPr>
        <w:t>9.5 Recommendations for Intel's Path Forward</w:t>
      </w:r>
    </w:p>
    <w:p w14:paraId="072FB24D" w14:textId="77777777" w:rsidR="005D1758" w:rsidRDefault="00000000">
      <w:pPr>
        <w:spacing w:after="140"/>
        <w:jc w:val="both"/>
      </w:pPr>
      <w:r>
        <w:t>Were this an active consulting engagement, the priority recommendations for Intel's leadership would be structured around three questions: what to stop, what to focus, and what to build.</w:t>
      </w:r>
    </w:p>
    <w:p w14:paraId="4BD7EABF" w14:textId="77777777" w:rsidR="005D1758" w:rsidRDefault="005D1758">
      <w:pPr>
        <w:spacing w:after="60"/>
      </w:pPr>
    </w:p>
    <w:p w14:paraId="355572C3" w14:textId="77777777" w:rsidR="005D1758" w:rsidRDefault="00000000">
      <w:pPr>
        <w:spacing w:after="140"/>
        <w:jc w:val="both"/>
      </w:pPr>
      <w:r>
        <w:rPr>
          <w:b/>
          <w:bCs/>
        </w:rPr>
        <w:t xml:space="preserve">Stop trying to be everything simultaneously. </w:t>
      </w:r>
      <w:r>
        <w:t>Intel has been attempting to be a leading chip designer, a world-class semiconductor manufacturer, an AI accelerator vendor, a foundry for other companies, and a leader in automotive and IoT silicon — all at the same time. With limited financial headroom and a damaged reputation for execution, capital and attention should be concentrated, not spread. A binary decision on whether to maintain and invest in Intel Foundry as an independent business, or to exit contract manufacturing and refocus on design, is overdue.</w:t>
      </w:r>
    </w:p>
    <w:p w14:paraId="2A20605C" w14:textId="77777777" w:rsidR="005D1758" w:rsidRDefault="005D1758">
      <w:pPr>
        <w:spacing w:after="60"/>
      </w:pPr>
    </w:p>
    <w:p w14:paraId="371D61C5" w14:textId="77777777" w:rsidR="005D1758" w:rsidRDefault="00000000">
      <w:pPr>
        <w:spacing w:after="140"/>
        <w:jc w:val="both"/>
      </w:pPr>
      <w:r>
        <w:rPr>
          <w:b/>
          <w:bCs/>
        </w:rPr>
        <w:t xml:space="preserve">Focus the AI strategy on inference at the edge. </w:t>
      </w:r>
      <w:r>
        <w:t>The LLM training market belongs to NVIDIA for the foreseeable future. Attempting to win it head-on with Gaudi is an expensive battle against an entrenched enemy with overwhelming software advantages. The more promising opportunity is AI inference at the edge — in PCs, IoT devices, automotive systems, and enterprise servers — where Intel's integrated CPU/GPU/NPU architecture and broad device ecosystem provide genuine differentiation. Intel's Core Ultra processors with Neural Processing Units are already shipping; the commercial narrative around them has not been effectively built.</w:t>
      </w:r>
    </w:p>
    <w:p w14:paraId="7D3C8CD1" w14:textId="77777777" w:rsidR="005D1758" w:rsidRDefault="005D1758">
      <w:pPr>
        <w:spacing w:after="60"/>
      </w:pPr>
    </w:p>
    <w:p w14:paraId="16F32E5B" w14:textId="77777777" w:rsidR="005D1758" w:rsidRDefault="00000000">
      <w:pPr>
        <w:spacing w:after="140"/>
        <w:jc w:val="both"/>
      </w:pPr>
      <w:r>
        <w:rPr>
          <w:b/>
          <w:bCs/>
        </w:rPr>
        <w:t xml:space="preserve">Build trust with one large foundry customer. </w:t>
      </w:r>
      <w:r>
        <w:t>Intel Foundry's credibility problem cannot be solved with marketing. It can only be solved by successfully delivering on a major, public, high-volume foundry contract for a well-known customer. The reported partnership with Amazon on a custom AI chip is the right type of initiative. It needs to succeed publicly, be communicated clearly, and be used as the foundation for attracting the next customer.</w:t>
      </w:r>
    </w:p>
    <w:p w14:paraId="0A46196D" w14:textId="77777777" w:rsidR="005D175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1758" w14:paraId="54405D03" w14:textId="77777777">
        <w:tc>
          <w:tcPr>
            <w:tcW w:w="1200" w:type="dxa"/>
            <w:tcBorders>
              <w:top w:val="none" w:sz="0" w:space="0" w:color="FFFFFF"/>
              <w:left w:val="none" w:sz="0" w:space="0" w:color="FFFFFF"/>
              <w:bottom w:val="none" w:sz="0" w:space="0" w:color="FFFFFF"/>
              <w:right w:val="none" w:sz="0" w:space="0" w:color="FFFFFF"/>
            </w:tcBorders>
            <w:shd w:val="clear" w:color="auto" w:fill="0D2137"/>
            <w:tcMar>
              <w:top w:w="160" w:type="dxa"/>
              <w:left w:w="180" w:type="dxa"/>
              <w:bottom w:w="160" w:type="dxa"/>
              <w:right w:w="180" w:type="dxa"/>
            </w:tcMar>
            <w:vAlign w:val="center"/>
          </w:tcPr>
          <w:p w14:paraId="3E4A1F33" w14:textId="77777777" w:rsidR="005D1758" w:rsidRDefault="00000000">
            <w:pPr>
              <w:jc w:val="center"/>
            </w:pPr>
            <w:r>
              <w:rPr>
                <w:b/>
                <w:bCs/>
                <w:color w:val="FFFFFF"/>
                <w:sz w:val="52"/>
                <w:szCs w:val="52"/>
              </w:rPr>
              <w:t>10</w:t>
            </w:r>
          </w:p>
        </w:tc>
        <w:tc>
          <w:tcPr>
            <w:tcW w:w="8160" w:type="dxa"/>
            <w:tcBorders>
              <w:top w:val="none" w:sz="0" w:space="0" w:color="FFFFFF"/>
              <w:left w:val="none" w:sz="0" w:space="0" w:color="FFFFFF"/>
              <w:bottom w:val="none" w:sz="0" w:space="0" w:color="FFFFFF"/>
              <w:right w:val="none" w:sz="0" w:space="0" w:color="FFFFFF"/>
            </w:tcBorders>
            <w:shd w:val="clear" w:color="auto" w:fill="F8F8F8"/>
            <w:tcMar>
              <w:top w:w="120" w:type="dxa"/>
              <w:left w:w="280" w:type="dxa"/>
              <w:bottom w:w="120" w:type="dxa"/>
              <w:right w:w="180" w:type="dxa"/>
            </w:tcMar>
          </w:tcPr>
          <w:p w14:paraId="3C9BAEA3" w14:textId="77777777" w:rsidR="005D1758" w:rsidRDefault="00000000">
            <w:r>
              <w:rPr>
                <w:b/>
                <w:bCs/>
                <w:color w:val="0D2137"/>
                <w:sz w:val="32"/>
                <w:szCs w:val="32"/>
              </w:rPr>
              <w:t>DATA METHODOLOGY &amp; EXCEL SKILLS</w:t>
            </w:r>
          </w:p>
          <w:p w14:paraId="3B876527" w14:textId="77777777" w:rsidR="005D1758" w:rsidRDefault="00000000">
            <w:r>
              <w:rPr>
                <w:i/>
                <w:iCs/>
                <w:color w:val="555555"/>
                <w:sz w:val="20"/>
                <w:szCs w:val="20"/>
              </w:rPr>
              <w:t>How the analysis was constructed — and why each technique was chosen</w:t>
            </w:r>
          </w:p>
        </w:tc>
      </w:tr>
    </w:tbl>
    <w:p w14:paraId="443D1FBF" w14:textId="77777777" w:rsidR="005D1758" w:rsidRDefault="005D1758">
      <w:pPr>
        <w:spacing w:after="60"/>
      </w:pPr>
    </w:p>
    <w:p w14:paraId="77F7AC30" w14:textId="0C23BD1E" w:rsidR="005D1758" w:rsidRDefault="00000000">
      <w:pPr>
        <w:pBdr>
          <w:bottom w:val="single" w:sz="4" w:space="0" w:color="0D2137"/>
        </w:pBdr>
        <w:spacing w:before="320" w:after="100"/>
      </w:pPr>
      <w:r>
        <w:rPr>
          <w:b/>
          <w:bCs/>
          <w:color w:val="0D2137"/>
          <w:sz w:val="28"/>
          <w:szCs w:val="28"/>
        </w:rPr>
        <w:t>10.1 Data Collection and Preparation</w:t>
      </w:r>
    </w:p>
    <w:p w14:paraId="7395AA6A" w14:textId="77777777" w:rsidR="005D1758" w:rsidRDefault="00000000">
      <w:pPr>
        <w:spacing w:after="140"/>
        <w:jc w:val="both"/>
      </w:pPr>
      <w:r>
        <w:t>All financial data was sourced from Macrotrends.net, a publicly available financial database that aggregates historical company financials from SEC filings. Quarterly Net Income and Gross Profit data was downloaded for both NVIDIA Corporation (ticker: NVDA) and Intel Corporation (ticker: INTC) for the period covering 2014 through early 2025.</w:t>
      </w:r>
    </w:p>
    <w:p w14:paraId="4FB7A3CF" w14:textId="77777777" w:rsidR="005D1758" w:rsidRDefault="005D1758">
      <w:pPr>
        <w:spacing w:after="60"/>
      </w:pPr>
    </w:p>
    <w:p w14:paraId="53142D6A" w14:textId="77777777" w:rsidR="005D1758" w:rsidRDefault="00000000">
      <w:pPr>
        <w:spacing w:after="140"/>
        <w:jc w:val="both"/>
      </w:pPr>
      <w:r>
        <w:t>The raw data required cleaning before analysis. Macrotrends exports financial data in a currency string format — numbers were presented as dollar-formatted text (for example, a value might appear as "$42,960" or with parentheses for negatives). These were converted to plain numeric values using Excel's Text-to-Columns feature and Find and Replace operations to remove dollar signs, commas, and parenthesis notation, ensuring that Excel recognised all values as genuine numbers suitable for formula-based calculation. Date fields, stored as Excel serial numbers, were verified against the expected quarterly end dates.</w:t>
      </w:r>
    </w:p>
    <w:p w14:paraId="481F26F4" w14:textId="77777777" w:rsidR="005D1758" w:rsidRDefault="005D1758">
      <w:pPr>
        <w:spacing w:after="60"/>
      </w:pPr>
    </w:p>
    <w:p w14:paraId="6E264A9C" w14:textId="77777777" w:rsidR="005D1758" w:rsidRDefault="005D1758">
      <w:pPr>
        <w:spacing w:after="60"/>
      </w:pPr>
    </w:p>
    <w:p w14:paraId="4E09390F" w14:textId="521AD0CF" w:rsidR="005D1758" w:rsidRDefault="00000000">
      <w:pPr>
        <w:pBdr>
          <w:bottom w:val="single" w:sz="4" w:space="0" w:color="0D2137"/>
        </w:pBdr>
        <w:spacing w:before="320" w:after="100"/>
      </w:pPr>
      <w:r>
        <w:rPr>
          <w:b/>
          <w:bCs/>
          <w:color w:val="0D2137"/>
          <w:sz w:val="28"/>
          <w:szCs w:val="28"/>
        </w:rPr>
        <w:t>10.2 Excel Techniques Applied and Why</w:t>
      </w:r>
    </w:p>
    <w:p w14:paraId="52DECDFD" w14:textId="77777777" w:rsidR="005D1758" w:rsidRDefault="00000000">
      <w:pPr>
        <w:spacing w:before="220" w:after="80"/>
      </w:pPr>
      <w:r>
        <w:rPr>
          <w:b/>
          <w:bCs/>
          <w:color w:val="006064"/>
          <w:sz w:val="24"/>
          <w:szCs w:val="24"/>
        </w:rPr>
        <w:t>Pivot Tables — Converting Quarterly Data to Annual</w:t>
      </w:r>
    </w:p>
    <w:p w14:paraId="48913F12" w14:textId="77777777" w:rsidR="005D1758" w:rsidRDefault="00000000">
      <w:pPr>
        <w:spacing w:after="140"/>
        <w:jc w:val="both"/>
      </w:pPr>
      <w:r>
        <w:t>Raw quarterly data was aggregated to annual totals using Excel Pivot Tables. The Date field was grouped by Year, with SUM as the aggregation function for both Net Income and Gross Profit. The rationale for annual rather than quarterly analysis was strategic: annual figures align with strategic planning cycles, remove seasonal noise, and make the long-run trend clearer for presentation to senior stakeholders who are unlikely to read quarterly fluctuations in detail.</w:t>
      </w:r>
    </w:p>
    <w:p w14:paraId="072D7F6B" w14:textId="77777777" w:rsidR="005D1758" w:rsidRDefault="005D1758">
      <w:pPr>
        <w:spacing w:after="60"/>
      </w:pPr>
    </w:p>
    <w:p w14:paraId="777DD23B" w14:textId="77777777" w:rsidR="005D1758" w:rsidRDefault="00000000">
      <w:pPr>
        <w:spacing w:before="220" w:after="80"/>
      </w:pPr>
      <w:r>
        <w:rPr>
          <w:b/>
          <w:bCs/>
          <w:color w:val="006064"/>
          <w:sz w:val="24"/>
          <w:szCs w:val="24"/>
        </w:rPr>
        <w:t>Year-on-Year Growth — Formula and Application</w:t>
      </w:r>
    </w:p>
    <w:p w14:paraId="30F721A3" w14:textId="77777777" w:rsidR="005D1758" w:rsidRDefault="00000000">
      <w:pPr>
        <w:spacing w:after="140"/>
        <w:jc w:val="both"/>
      </w:pPr>
      <w:r>
        <w:t>YoY Growth was calculated for both Net Income and Gross Profit using the formula: (Current Year Value – Prior Year Value) / Prior Year Value. For years where Intel's net income turned negative, the resulting growth rates become mathematically undefined or misleading (a loss that becomes less negative will show as a positive growth rate, which overstates the business recovery). These cases were flagged explicitly in the analysis rather than presented as positive growth.</w:t>
      </w:r>
    </w:p>
    <w:p w14:paraId="13D23BF7" w14:textId="77777777" w:rsidR="005D1758" w:rsidRDefault="005D1758">
      <w:pPr>
        <w:spacing w:after="60"/>
      </w:pPr>
    </w:p>
    <w:p w14:paraId="03532CBB" w14:textId="77777777" w:rsidR="005D1758" w:rsidRDefault="00000000">
      <w:pPr>
        <w:spacing w:before="220" w:after="80"/>
      </w:pPr>
      <w:r>
        <w:rPr>
          <w:b/>
          <w:bCs/>
          <w:color w:val="006064"/>
          <w:sz w:val="24"/>
          <w:szCs w:val="24"/>
        </w:rPr>
        <w:t>CAGR — With IFERROR for Negative End Values</w:t>
      </w:r>
    </w:p>
    <w:p w14:paraId="28E7A5AD" w14:textId="77777777" w:rsidR="005D1758" w:rsidRDefault="00000000">
      <w:pPr>
        <w:spacing w:after="140"/>
        <w:jc w:val="both"/>
      </w:pPr>
      <w:r>
        <w:t xml:space="preserve">Compound Annual Growth Rate was calculated as: (End Value / Start </w:t>
      </w:r>
      <w:proofErr w:type="gramStart"/>
      <w:r>
        <w:t>Value)^</w:t>
      </w:r>
      <w:proofErr w:type="gramEnd"/>
      <w:r>
        <w:t xml:space="preserve">(1/n) – 1. The </w:t>
      </w:r>
      <w:proofErr w:type="gramStart"/>
      <w:r>
        <w:t>IFERROR(</w:t>
      </w:r>
      <w:proofErr w:type="gramEnd"/>
      <w:r>
        <w:t xml:space="preserve">) function was wrapped around this formula to handle cases where Intel's end value in the AI Boom and Peak Comparison eras was negative — a negative end value produces a mathematically undefined CAGR result. </w:t>
      </w:r>
      <w:proofErr w:type="gramStart"/>
      <w:r>
        <w:t>IFERROR(</w:t>
      </w:r>
      <w:proofErr w:type="gramEnd"/>
      <w:r>
        <w:t>) returns a clean "N/A" label in these cells rather than an error code, maintaining the professional presentation of the table.</w:t>
      </w:r>
    </w:p>
    <w:p w14:paraId="59CBA9FA" w14:textId="77777777" w:rsidR="005D1758" w:rsidRDefault="005D1758">
      <w:pPr>
        <w:spacing w:after="60"/>
      </w:pPr>
    </w:p>
    <w:p w14:paraId="7544BB47" w14:textId="77777777" w:rsidR="005D1758" w:rsidRDefault="00000000">
      <w:pPr>
        <w:spacing w:before="220" w:after="80"/>
      </w:pPr>
      <w:r>
        <w:rPr>
          <w:b/>
          <w:bCs/>
          <w:color w:val="006064"/>
          <w:sz w:val="24"/>
          <w:szCs w:val="24"/>
        </w:rPr>
        <w:t>Cumulative Growth Index — With IF for Edge Cases</w:t>
      </w:r>
    </w:p>
    <w:p w14:paraId="68D17C5D" w14:textId="77777777" w:rsidR="005D1758" w:rsidRDefault="00000000">
      <w:pPr>
        <w:spacing w:after="140"/>
        <w:jc w:val="both"/>
      </w:pPr>
      <w:r>
        <w:t xml:space="preserve">The index was constructed by dividing each year's value by the 2014 base year value and multiplying by 100. Excel's </w:t>
      </w:r>
      <w:proofErr w:type="gramStart"/>
      <w:r>
        <w:t>IF(</w:t>
      </w:r>
      <w:proofErr w:type="gramEnd"/>
      <w:r>
        <w:t>) function was used to handle the edge case where Intel's net income turned negative — a negative value in the index is mathematically valid but requires careful labelling to avoid misinterpretation. The formula used was effectively: =</w:t>
      </w:r>
      <w:proofErr w:type="gramStart"/>
      <w:r>
        <w:t>IF(</w:t>
      </w:r>
      <w:proofErr w:type="gramEnd"/>
      <w:r>
        <w:t>base&gt;0, (current/</w:t>
      </w:r>
      <w:proofErr w:type="gramStart"/>
      <w:r>
        <w:t>base)*</w:t>
      </w:r>
      <w:proofErr w:type="gramEnd"/>
      <w:r>
        <w:t>100, "N/A"), with negative values preserved and explicitly labelled in the output.</w:t>
      </w:r>
    </w:p>
    <w:p w14:paraId="479CF971" w14:textId="77777777" w:rsidR="005D1758" w:rsidRDefault="005D1758">
      <w:pPr>
        <w:spacing w:after="60"/>
      </w:pPr>
    </w:p>
    <w:p w14:paraId="6C1A2EFA" w14:textId="77777777" w:rsidR="005D1758" w:rsidRDefault="00000000">
      <w:pPr>
        <w:spacing w:before="220" w:after="80"/>
      </w:pPr>
      <w:r>
        <w:rPr>
          <w:b/>
          <w:bCs/>
          <w:color w:val="006064"/>
          <w:sz w:val="24"/>
          <w:szCs w:val="24"/>
        </w:rPr>
        <w:t xml:space="preserve">Rolling 3-Year Average — Using </w:t>
      </w:r>
      <w:proofErr w:type="gramStart"/>
      <w:r>
        <w:rPr>
          <w:b/>
          <w:bCs/>
          <w:color w:val="006064"/>
          <w:sz w:val="24"/>
          <w:szCs w:val="24"/>
        </w:rPr>
        <w:t>AVERAGE(</w:t>
      </w:r>
      <w:proofErr w:type="gramEnd"/>
      <w:r>
        <w:rPr>
          <w:b/>
          <w:bCs/>
          <w:color w:val="006064"/>
          <w:sz w:val="24"/>
          <w:szCs w:val="24"/>
        </w:rPr>
        <w:t xml:space="preserve">) with </w:t>
      </w:r>
      <w:proofErr w:type="gramStart"/>
      <w:r>
        <w:rPr>
          <w:b/>
          <w:bCs/>
          <w:color w:val="006064"/>
          <w:sz w:val="24"/>
          <w:szCs w:val="24"/>
        </w:rPr>
        <w:t>IF(</w:t>
      </w:r>
      <w:proofErr w:type="gramEnd"/>
      <w:r>
        <w:rPr>
          <w:b/>
          <w:bCs/>
          <w:color w:val="006064"/>
          <w:sz w:val="24"/>
          <w:szCs w:val="24"/>
        </w:rPr>
        <w:t>) for Early Years</w:t>
      </w:r>
    </w:p>
    <w:p w14:paraId="43891F3C" w14:textId="77777777" w:rsidR="005D1758" w:rsidRDefault="00000000">
      <w:pPr>
        <w:spacing w:after="140"/>
        <w:jc w:val="both"/>
      </w:pPr>
      <w:r>
        <w:t xml:space="preserve">The Rolling 3-Year Average was calculated using Excel's </w:t>
      </w:r>
      <w:proofErr w:type="gramStart"/>
      <w:r>
        <w:t>AVERAGE(</w:t>
      </w:r>
      <w:proofErr w:type="gramEnd"/>
      <w:r>
        <w:t xml:space="preserve">) function across a 3-row sliding window. For the first two data years (2014 and 2015), a rolling average cannot be calculated with a 3-year window. An </w:t>
      </w:r>
      <w:proofErr w:type="gramStart"/>
      <w:r>
        <w:t>IF(</w:t>
      </w:r>
      <w:proofErr w:type="gramEnd"/>
      <w:r>
        <w:t>) function was used to detect these early rows and return a dash character (—) rather than an incomplete average, ensuring the table remains clean and correctly represents the point at which the rolling average becomes valid.</w:t>
      </w:r>
    </w:p>
    <w:p w14:paraId="7E8028B8" w14:textId="77777777" w:rsidR="005D1758" w:rsidRDefault="005D1758">
      <w:pPr>
        <w:spacing w:after="60"/>
      </w:pPr>
    </w:p>
    <w:p w14:paraId="15A71894" w14:textId="77777777" w:rsidR="005D1758" w:rsidRDefault="005D17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5D1758" w14:paraId="3D0014B9" w14:textId="77777777">
        <w:tc>
          <w:tcPr>
            <w:tcW w:w="1200" w:type="dxa"/>
            <w:tcBorders>
              <w:top w:val="none" w:sz="0" w:space="0" w:color="FFFFFF"/>
              <w:left w:val="none" w:sz="0" w:space="0" w:color="FFFFFF"/>
              <w:bottom w:val="none" w:sz="0" w:space="0" w:color="FFFFFF"/>
              <w:right w:val="none" w:sz="0" w:space="0" w:color="FFFFFF"/>
            </w:tcBorders>
            <w:shd w:val="clear" w:color="auto" w:fill="0D2137"/>
            <w:tcMar>
              <w:top w:w="160" w:type="dxa"/>
              <w:left w:w="180" w:type="dxa"/>
              <w:bottom w:w="160" w:type="dxa"/>
              <w:right w:w="180" w:type="dxa"/>
            </w:tcMar>
            <w:vAlign w:val="center"/>
          </w:tcPr>
          <w:p w14:paraId="46669173" w14:textId="77777777" w:rsidR="005D1758" w:rsidRDefault="00000000">
            <w:pPr>
              <w:jc w:val="center"/>
            </w:pPr>
            <w:r>
              <w:rPr>
                <w:b/>
                <w:bCs/>
                <w:color w:val="FFFFFF"/>
                <w:sz w:val="52"/>
                <w:szCs w:val="52"/>
              </w:rPr>
              <w:t>CC</w:t>
            </w:r>
          </w:p>
        </w:tc>
        <w:tc>
          <w:tcPr>
            <w:tcW w:w="8160" w:type="dxa"/>
            <w:tcBorders>
              <w:top w:val="none" w:sz="0" w:space="0" w:color="FFFFFF"/>
              <w:left w:val="none" w:sz="0" w:space="0" w:color="FFFFFF"/>
              <w:bottom w:val="none" w:sz="0" w:space="0" w:color="FFFFFF"/>
              <w:right w:val="none" w:sz="0" w:space="0" w:color="FFFFFF"/>
            </w:tcBorders>
            <w:shd w:val="clear" w:color="auto" w:fill="F8F8F8"/>
            <w:tcMar>
              <w:top w:w="120" w:type="dxa"/>
              <w:left w:w="280" w:type="dxa"/>
              <w:bottom w:w="120" w:type="dxa"/>
              <w:right w:w="180" w:type="dxa"/>
            </w:tcMar>
          </w:tcPr>
          <w:p w14:paraId="67E6BEA5" w14:textId="77777777" w:rsidR="005D1758" w:rsidRDefault="00000000">
            <w:r>
              <w:rPr>
                <w:b/>
                <w:bCs/>
                <w:color w:val="0D2137"/>
                <w:sz w:val="32"/>
                <w:szCs w:val="32"/>
              </w:rPr>
              <w:t>CONCLUSION</w:t>
            </w:r>
          </w:p>
          <w:p w14:paraId="1A2C9FED" w14:textId="77777777" w:rsidR="005D1758" w:rsidRDefault="00000000">
            <w:r>
              <w:rPr>
                <w:i/>
                <w:iCs/>
                <w:color w:val="555555"/>
                <w:sz w:val="20"/>
                <w:szCs w:val="20"/>
              </w:rPr>
              <w:t>What this decade of divergence tells us about strategy, technology, and the cost of standing still</w:t>
            </w:r>
          </w:p>
        </w:tc>
      </w:tr>
    </w:tbl>
    <w:p w14:paraId="4727DDF0" w14:textId="77777777" w:rsidR="005D1758" w:rsidRDefault="005D1758">
      <w:pPr>
        <w:spacing w:after="60"/>
      </w:pPr>
    </w:p>
    <w:p w14:paraId="5F7A2D22" w14:textId="77777777" w:rsidR="005D1758" w:rsidRDefault="00000000">
      <w:pPr>
        <w:spacing w:after="140"/>
        <w:jc w:val="both"/>
      </w:pPr>
      <w:r>
        <w:t>This case study set out to answer a deceptively simple question: what separates a company that successfully adapts and transforms from one that does not?</w:t>
      </w:r>
    </w:p>
    <w:p w14:paraId="6D224F3C" w14:textId="77777777" w:rsidR="005D1758" w:rsidRDefault="005D1758">
      <w:pPr>
        <w:spacing w:after="60"/>
      </w:pPr>
    </w:p>
    <w:p w14:paraId="5846A17D" w14:textId="77777777" w:rsidR="005D1758" w:rsidRDefault="00000000">
      <w:pPr>
        <w:spacing w:after="140"/>
        <w:jc w:val="both"/>
      </w:pPr>
      <w:r>
        <w:t>The answer, drawn from eleven years of financial data and the strategic context surrounding it, is not luck, and it is not simply technology. The companies that successfully transform are those that make long-arc bets before the commercial case is obvious, that build ecosystems rather than products, that maintain the leadership continuity required for strategic patience, and that are willing to accept short-term financial pressure in exchange for long-term strategic positioning.</w:t>
      </w:r>
    </w:p>
    <w:p w14:paraId="28AE1972" w14:textId="77777777" w:rsidR="005D1758" w:rsidRDefault="005D1758">
      <w:pPr>
        <w:spacing w:after="60"/>
      </w:pPr>
    </w:p>
    <w:p w14:paraId="3A12E682" w14:textId="77777777" w:rsidR="005D1758" w:rsidRDefault="00000000">
      <w:pPr>
        <w:spacing w:after="140"/>
        <w:jc w:val="both"/>
      </w:pPr>
      <w:r>
        <w:t>NVIDIA did all of these things. It launched CUDA in 2006 without a clear commercial market. It kept investing in that platform for a decade before the returns materialised. It designed GPU architectures explicitly for workloads that barely existed commercially at the time. And when the AI wave broke, it was not caught scrambling to respond — it was the wave.</w:t>
      </w:r>
    </w:p>
    <w:p w14:paraId="0221D6A2" w14:textId="77777777" w:rsidR="005D1758" w:rsidRDefault="005D1758">
      <w:pPr>
        <w:spacing w:after="60"/>
      </w:pPr>
    </w:p>
    <w:p w14:paraId="6733AA50" w14:textId="77777777" w:rsidR="005D1758" w:rsidRDefault="00000000">
      <w:pPr>
        <w:spacing w:after="140"/>
        <w:jc w:val="both"/>
      </w:pPr>
      <w:r>
        <w:t>Intel did not do these things — not because its leaders were unintelligent or its engineers were inadequate, but because the structural incentives of running a highly profitable incumbent business made transformation feel unnecessary for too long, and urgent only after the window for comfortable change had already closed. The manufacturing delays, the leadership instability, the late entry into AI, the foundry gamble — each was a consequence of an organisation that had optimised so thoroughly for defending its existing position that it had lost the flexibility to build a new one.</w:t>
      </w:r>
    </w:p>
    <w:p w14:paraId="4419B860" w14:textId="77777777" w:rsidR="005D1758" w:rsidRDefault="005D1758">
      <w:pPr>
        <w:spacing w:after="60"/>
      </w:pPr>
    </w:p>
    <w:p w14:paraId="29C30847" w14:textId="77777777" w:rsidR="005D1758" w:rsidRDefault="00000000">
      <w:pPr>
        <w:spacing w:after="140"/>
        <w:jc w:val="both"/>
      </w:pPr>
      <w:r>
        <w:t>The rolling 3-year average net income gap between these two companies — $60.4 billion for NVIDIA versus negative $5.8 billion for Intel by 2025 — is not a data point. It is the quantified consequence of two decades of strategic choices. It is the financial expression of the difference between a company that saw the future coming and prepared for it, and a company that watched the future arrive and found itself without the right tools to meet it.</w:t>
      </w:r>
    </w:p>
    <w:p w14:paraId="3A21579F" w14:textId="77777777" w:rsidR="005D1758" w:rsidRDefault="005D1758">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
        <w:gridCol w:w="9120"/>
      </w:tblGrid>
      <w:tr w:rsidR="005D1758" w14:paraId="040231DA" w14:textId="77777777">
        <w:tc>
          <w:tcPr>
            <w:tcW w:w="240" w:type="dxa"/>
            <w:tcBorders>
              <w:top w:val="none" w:sz="0" w:space="0" w:color="FFFFFF"/>
              <w:left w:val="none" w:sz="0" w:space="0" w:color="FFFFFF"/>
              <w:bottom w:val="none" w:sz="0" w:space="0" w:color="FFFFFF"/>
              <w:right w:val="none" w:sz="0" w:space="0" w:color="FFFFFF"/>
            </w:tcBorders>
            <w:shd w:val="clear" w:color="auto" w:fill="006064"/>
          </w:tcPr>
          <w:p w14:paraId="2C2B41B5" w14:textId="77777777" w:rsidR="005D1758" w:rsidRDefault="005D1758"/>
        </w:tc>
        <w:tc>
          <w:tcPr>
            <w:tcW w:w="9120" w:type="dxa"/>
            <w:tcBorders>
              <w:top w:val="none" w:sz="0" w:space="0" w:color="FFFFFF"/>
              <w:left w:val="none" w:sz="0" w:space="0" w:color="FFFFFF"/>
              <w:bottom w:val="none" w:sz="0" w:space="0" w:color="FFFFFF"/>
              <w:right w:val="none" w:sz="0" w:space="0" w:color="FFFFFF"/>
            </w:tcBorders>
            <w:shd w:val="clear" w:color="auto" w:fill="E0F7FA"/>
            <w:tcMar>
              <w:top w:w="160" w:type="dxa"/>
              <w:left w:w="280" w:type="dxa"/>
              <w:bottom w:w="160" w:type="dxa"/>
              <w:right w:w="280" w:type="dxa"/>
            </w:tcMar>
          </w:tcPr>
          <w:p w14:paraId="12849985" w14:textId="77777777" w:rsidR="005D1758" w:rsidRDefault="00000000">
            <w:pPr>
              <w:jc w:val="both"/>
            </w:pPr>
            <w:r>
              <w:rPr>
                <w:i/>
                <w:iCs/>
              </w:rPr>
              <w:t>For any consultant advising a client organisation on transformation, this case study is both an inspiration and a warning. The inspiration is that extraordinary value creation is possible when vision, patience, and execution are aligned. The warning is that the time to transform is before the crisis, not during it. By the time the financial statements make the need for change undeniable, the best options are already gone.</w:t>
            </w:r>
          </w:p>
        </w:tc>
      </w:tr>
    </w:tbl>
    <w:p w14:paraId="633F23F4" w14:textId="77777777" w:rsidR="005D1758" w:rsidRDefault="005D1758">
      <w:pPr>
        <w:spacing w:after="60"/>
      </w:pPr>
    </w:p>
    <w:p w14:paraId="0853247B" w14:textId="77777777" w:rsidR="005D1758" w:rsidRDefault="005D1758">
      <w:pPr>
        <w:spacing w:after="60"/>
      </w:pPr>
    </w:p>
    <w:p w14:paraId="78AB382E" w14:textId="77777777" w:rsidR="005D1758" w:rsidRDefault="005D1758">
      <w:pPr>
        <w:pBdr>
          <w:bottom w:val="single" w:sz="6" w:space="0" w:color="0D2137"/>
        </w:pBdr>
      </w:pPr>
    </w:p>
    <w:p w14:paraId="5B973113" w14:textId="77777777" w:rsidR="005D1758" w:rsidRDefault="00000000">
      <w:pPr>
        <w:spacing w:before="100"/>
        <w:jc w:val="center"/>
      </w:pPr>
      <w:r>
        <w:rPr>
          <w:i/>
          <w:iCs/>
          <w:color w:val="555555"/>
          <w:sz w:val="17"/>
          <w:szCs w:val="17"/>
        </w:rPr>
        <w:t xml:space="preserve">Data: </w:t>
      </w:r>
      <w:proofErr w:type="gramStart"/>
      <w:r>
        <w:rPr>
          <w:i/>
          <w:iCs/>
          <w:color w:val="555555"/>
          <w:sz w:val="17"/>
          <w:szCs w:val="17"/>
        </w:rPr>
        <w:t>Macrotrends.net  |</w:t>
      </w:r>
      <w:proofErr w:type="gramEnd"/>
      <w:r>
        <w:rPr>
          <w:i/>
          <w:iCs/>
          <w:color w:val="555555"/>
          <w:sz w:val="17"/>
          <w:szCs w:val="17"/>
        </w:rPr>
        <w:t xml:space="preserve">  All analysis performed in Microsoft </w:t>
      </w:r>
      <w:proofErr w:type="gramStart"/>
      <w:r>
        <w:rPr>
          <w:i/>
          <w:iCs/>
          <w:color w:val="555555"/>
          <w:sz w:val="17"/>
          <w:szCs w:val="17"/>
        </w:rPr>
        <w:t>Excel  |</w:t>
      </w:r>
      <w:proofErr w:type="gramEnd"/>
      <w:r>
        <w:rPr>
          <w:i/>
          <w:iCs/>
          <w:color w:val="555555"/>
          <w:sz w:val="17"/>
          <w:szCs w:val="17"/>
        </w:rPr>
        <w:t xml:space="preserve">  Prepared for Grayce Data Consultant </w:t>
      </w:r>
      <w:proofErr w:type="gramStart"/>
      <w:r>
        <w:rPr>
          <w:i/>
          <w:iCs/>
          <w:color w:val="555555"/>
          <w:sz w:val="17"/>
          <w:szCs w:val="17"/>
        </w:rPr>
        <w:t>Interview  |</w:t>
      </w:r>
      <w:proofErr w:type="gramEnd"/>
      <w:r>
        <w:rPr>
          <w:i/>
          <w:iCs/>
          <w:color w:val="555555"/>
          <w:sz w:val="17"/>
          <w:szCs w:val="17"/>
        </w:rPr>
        <w:t xml:space="preserve">  2025</w:t>
      </w:r>
    </w:p>
    <w:sectPr w:rsidR="005D175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6CE93" w14:textId="77777777" w:rsidR="00E01BB7" w:rsidRDefault="00E01BB7">
      <w:r>
        <w:separator/>
      </w:r>
    </w:p>
  </w:endnote>
  <w:endnote w:type="continuationSeparator" w:id="0">
    <w:p w14:paraId="1DF8FDDA" w14:textId="77777777" w:rsidR="00E01BB7" w:rsidRDefault="00E01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77C6" w14:textId="77777777" w:rsidR="005D1758" w:rsidRDefault="00000000">
    <w:pPr>
      <w:pBdr>
        <w:top w:val="single" w:sz="3" w:space="0" w:color="0D2137"/>
      </w:pBdr>
      <w:jc w:val="right"/>
    </w:pPr>
    <w:r>
      <w:rPr>
        <w:color w:val="555555"/>
        <w:sz w:val="17"/>
        <w:szCs w:val="17"/>
      </w:rPr>
      <w:t xml:space="preserve">Confidential — Prepared for Grayce </w:t>
    </w:r>
    <w:proofErr w:type="gramStart"/>
    <w:r>
      <w:rPr>
        <w:color w:val="555555"/>
        <w:sz w:val="17"/>
        <w:szCs w:val="17"/>
      </w:rPr>
      <w:t>Interview  |</w:t>
    </w:r>
    <w:proofErr w:type="gramEnd"/>
    <w:r>
      <w:rPr>
        <w:color w:val="555555"/>
        <w:sz w:val="17"/>
        <w:szCs w:val="17"/>
      </w:rPr>
      <w:t xml:space="preserve">  Page </w:t>
    </w:r>
    <w:r>
      <w:rPr>
        <w:color w:val="555555"/>
        <w:sz w:val="17"/>
        <w:szCs w:val="17"/>
      </w:rPr>
      <w:fldChar w:fldCharType="begin"/>
    </w:r>
    <w:r>
      <w:rPr>
        <w:color w:val="555555"/>
        <w:sz w:val="17"/>
        <w:szCs w:val="17"/>
      </w:rPr>
      <w:instrText>PAGE</w:instrText>
    </w:r>
    <w:r>
      <w:rPr>
        <w:color w:val="555555"/>
        <w:sz w:val="17"/>
        <w:szCs w:val="17"/>
      </w:rPr>
      <w:fldChar w:fldCharType="separate"/>
    </w:r>
    <w:r w:rsidR="00392CB1">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04E79" w14:textId="77777777" w:rsidR="00E01BB7" w:rsidRDefault="00E01BB7">
      <w:r>
        <w:separator/>
      </w:r>
    </w:p>
  </w:footnote>
  <w:footnote w:type="continuationSeparator" w:id="0">
    <w:p w14:paraId="2A67EBCC" w14:textId="77777777" w:rsidR="00E01BB7" w:rsidRDefault="00E01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EAC35" w14:textId="111D08FA" w:rsidR="005D1758" w:rsidRDefault="00000000">
    <w:pPr>
      <w:pBdr>
        <w:bottom w:val="single" w:sz="3" w:space="0" w:color="0D2137"/>
      </w:pBdr>
    </w:pPr>
    <w:r>
      <w:rPr>
        <w:color w:val="555555"/>
        <w:sz w:val="17"/>
        <w:szCs w:val="17"/>
      </w:rPr>
      <w:t>NVIDIA vs INTEL</w:t>
    </w:r>
    <w:r w:rsidR="00392CB1">
      <w:rPr>
        <w:color w:val="555555"/>
        <w:sz w:val="17"/>
        <w:szCs w:val="17"/>
      </w:rPr>
      <w:t xml:space="preserve"> </w:t>
    </w:r>
    <w:r>
      <w:rPr>
        <w:color w:val="555555"/>
        <w:sz w:val="17"/>
        <w:szCs w:val="17"/>
      </w:rPr>
      <w:t>| Financial Performance Case Study (2014–2025) | Grayce Data Consultant Interview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0306"/>
    <w:multiLevelType w:val="hybridMultilevel"/>
    <w:tmpl w:val="38684294"/>
    <w:lvl w:ilvl="0" w:tplc="94564070">
      <w:start w:val="1"/>
      <w:numFmt w:val="bullet"/>
      <w:lvlText w:val="•"/>
      <w:lvlJc w:val="left"/>
      <w:pPr>
        <w:ind w:left="720" w:hanging="360"/>
      </w:pPr>
    </w:lvl>
    <w:lvl w:ilvl="1" w:tplc="9E3E3866">
      <w:numFmt w:val="decimal"/>
      <w:lvlText w:val=""/>
      <w:lvlJc w:val="left"/>
    </w:lvl>
    <w:lvl w:ilvl="2" w:tplc="157EBFF8">
      <w:numFmt w:val="decimal"/>
      <w:lvlText w:val=""/>
      <w:lvlJc w:val="left"/>
    </w:lvl>
    <w:lvl w:ilvl="3" w:tplc="486A902E">
      <w:numFmt w:val="decimal"/>
      <w:lvlText w:val=""/>
      <w:lvlJc w:val="left"/>
    </w:lvl>
    <w:lvl w:ilvl="4" w:tplc="AFE8E73A">
      <w:numFmt w:val="decimal"/>
      <w:lvlText w:val=""/>
      <w:lvlJc w:val="left"/>
    </w:lvl>
    <w:lvl w:ilvl="5" w:tplc="3CBE9960">
      <w:numFmt w:val="decimal"/>
      <w:lvlText w:val=""/>
      <w:lvlJc w:val="left"/>
    </w:lvl>
    <w:lvl w:ilvl="6" w:tplc="71869458">
      <w:numFmt w:val="decimal"/>
      <w:lvlText w:val=""/>
      <w:lvlJc w:val="left"/>
    </w:lvl>
    <w:lvl w:ilvl="7" w:tplc="5D76FDD4">
      <w:numFmt w:val="decimal"/>
      <w:lvlText w:val=""/>
      <w:lvlJc w:val="left"/>
    </w:lvl>
    <w:lvl w:ilvl="8" w:tplc="4B3C930A">
      <w:numFmt w:val="decimal"/>
      <w:lvlText w:val=""/>
      <w:lvlJc w:val="left"/>
    </w:lvl>
  </w:abstractNum>
  <w:abstractNum w:abstractNumId="1" w15:restartNumberingAfterBreak="0">
    <w:nsid w:val="58B54D81"/>
    <w:multiLevelType w:val="hybridMultilevel"/>
    <w:tmpl w:val="2496DD62"/>
    <w:lvl w:ilvl="0" w:tplc="787CA5E2">
      <w:start w:val="1"/>
      <w:numFmt w:val="bullet"/>
      <w:lvlText w:val="●"/>
      <w:lvlJc w:val="left"/>
      <w:pPr>
        <w:ind w:left="720" w:hanging="360"/>
      </w:pPr>
    </w:lvl>
    <w:lvl w:ilvl="1" w:tplc="4D1ED7A8">
      <w:start w:val="1"/>
      <w:numFmt w:val="bullet"/>
      <w:lvlText w:val="○"/>
      <w:lvlJc w:val="left"/>
      <w:pPr>
        <w:ind w:left="1440" w:hanging="360"/>
      </w:pPr>
    </w:lvl>
    <w:lvl w:ilvl="2" w:tplc="F24289D4">
      <w:start w:val="1"/>
      <w:numFmt w:val="bullet"/>
      <w:lvlText w:val="■"/>
      <w:lvlJc w:val="left"/>
      <w:pPr>
        <w:ind w:left="2160" w:hanging="360"/>
      </w:pPr>
    </w:lvl>
    <w:lvl w:ilvl="3" w:tplc="FC4EF654">
      <w:start w:val="1"/>
      <w:numFmt w:val="bullet"/>
      <w:lvlText w:val="●"/>
      <w:lvlJc w:val="left"/>
      <w:pPr>
        <w:ind w:left="2880" w:hanging="360"/>
      </w:pPr>
    </w:lvl>
    <w:lvl w:ilvl="4" w:tplc="A3AA47B6">
      <w:start w:val="1"/>
      <w:numFmt w:val="bullet"/>
      <w:lvlText w:val="○"/>
      <w:lvlJc w:val="left"/>
      <w:pPr>
        <w:ind w:left="3600" w:hanging="360"/>
      </w:pPr>
    </w:lvl>
    <w:lvl w:ilvl="5" w:tplc="6310D202">
      <w:start w:val="1"/>
      <w:numFmt w:val="bullet"/>
      <w:lvlText w:val="■"/>
      <w:lvlJc w:val="left"/>
      <w:pPr>
        <w:ind w:left="4320" w:hanging="360"/>
      </w:pPr>
    </w:lvl>
    <w:lvl w:ilvl="6" w:tplc="3604AF68">
      <w:start w:val="1"/>
      <w:numFmt w:val="bullet"/>
      <w:lvlText w:val="●"/>
      <w:lvlJc w:val="left"/>
      <w:pPr>
        <w:ind w:left="5040" w:hanging="360"/>
      </w:pPr>
    </w:lvl>
    <w:lvl w:ilvl="7" w:tplc="9500C8B4">
      <w:start w:val="1"/>
      <w:numFmt w:val="bullet"/>
      <w:lvlText w:val="●"/>
      <w:lvlJc w:val="left"/>
      <w:pPr>
        <w:ind w:left="5760" w:hanging="360"/>
      </w:pPr>
    </w:lvl>
    <w:lvl w:ilvl="8" w:tplc="34868106">
      <w:start w:val="1"/>
      <w:numFmt w:val="bullet"/>
      <w:lvlText w:val="●"/>
      <w:lvlJc w:val="left"/>
      <w:pPr>
        <w:ind w:left="6480" w:hanging="360"/>
      </w:pPr>
    </w:lvl>
  </w:abstractNum>
  <w:num w:numId="1" w16cid:durableId="11769915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758"/>
    <w:rsid w:val="00392CB1"/>
    <w:rsid w:val="004F1EEC"/>
    <w:rsid w:val="00584CE7"/>
    <w:rsid w:val="005D1758"/>
    <w:rsid w:val="008A48B5"/>
    <w:rsid w:val="00CC25E5"/>
    <w:rsid w:val="00CD77C9"/>
    <w:rsid w:val="00E01B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69001"/>
  <w15:docId w15:val="{902CFF99-E2A0-41E3-8FA5-A280A8A30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2CB1"/>
    <w:pPr>
      <w:tabs>
        <w:tab w:val="center" w:pos="4513"/>
        <w:tab w:val="right" w:pos="9026"/>
      </w:tabs>
    </w:pPr>
  </w:style>
  <w:style w:type="character" w:customStyle="1" w:styleId="HeaderChar">
    <w:name w:val="Header Char"/>
    <w:basedOn w:val="DefaultParagraphFont"/>
    <w:link w:val="Header"/>
    <w:uiPriority w:val="99"/>
    <w:rsid w:val="00392CB1"/>
  </w:style>
  <w:style w:type="paragraph" w:styleId="Footer">
    <w:name w:val="footer"/>
    <w:basedOn w:val="Normal"/>
    <w:link w:val="FooterChar"/>
    <w:uiPriority w:val="99"/>
    <w:unhideWhenUsed/>
    <w:rsid w:val="00392CB1"/>
    <w:pPr>
      <w:tabs>
        <w:tab w:val="center" w:pos="4513"/>
        <w:tab w:val="right" w:pos="9026"/>
      </w:tabs>
    </w:pPr>
  </w:style>
  <w:style w:type="character" w:customStyle="1" w:styleId="FooterChar">
    <w:name w:val="Footer Char"/>
    <w:basedOn w:val="DefaultParagraphFont"/>
    <w:link w:val="Footer"/>
    <w:uiPriority w:val="99"/>
    <w:rsid w:val="00392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8368</Words>
  <Characters>47703</Characters>
  <Application>Microsoft Office Word</Application>
  <DocSecurity>0</DocSecurity>
  <Lines>397</Lines>
  <Paragraphs>111</Paragraphs>
  <ScaleCrop>false</ScaleCrop>
  <Company/>
  <LinksUpToDate>false</LinksUpToDate>
  <CharactersWithSpaces>55960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Harshada Sanjay Naik</cp:lastModifiedBy>
  <cp:revision>4</cp:revision>
  <dcterms:created xsi:type="dcterms:W3CDTF">2026-04-21T10:52:00Z</dcterms:created>
  <dcterms:modified xsi:type="dcterms:W3CDTF">2026-04-30T13:03:00Z</dcterms:modified>
</cp:coreProperties>
</file>