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7ADD9">
      <w:pPr>
        <w:spacing w:after="60"/>
        <w:jc w:val="center"/>
      </w:pPr>
      <w:r>
        <w:rPr>
          <w:b/>
          <w:bCs/>
          <w:color w:val="555555"/>
          <w:sz w:val="22"/>
          <w:szCs w:val="22"/>
        </w:rPr>
        <w:t xml:space="preserve">Design Phase II </w:t>
      </w:r>
    </w:p>
    <w:p w14:paraId="14756949">
      <w:pPr>
        <w:spacing w:after="60"/>
        <w:jc w:val="center"/>
      </w:pPr>
      <w:r>
        <w:rPr>
          <w:b/>
          <w:bCs/>
          <w:color w:val="1F4E79"/>
          <w:sz w:val="34"/>
          <w:szCs w:val="34"/>
        </w:rPr>
        <w:t>Functional and Non-Functional Requirements Specification</w:t>
      </w:r>
    </w:p>
    <w:p w14:paraId="0EE96475">
      <w:pPr>
        <w:spacing w:after="300"/>
        <w:jc w:val="center"/>
      </w:pPr>
      <w:r>
        <w:rPr>
          <w:i/>
          <w:iCs/>
          <w:sz w:val="24"/>
          <w:szCs w:val="24"/>
        </w:rPr>
        <w:t>Book A Doctor — Digital Healthcare Appointment Scheduling System</w:t>
      </w:r>
    </w:p>
    <w:tbl>
      <w:tblPr>
        <w:tblStyle w:val="9"/>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40"/>
      </w:tblGrid>
      <w:tr w14:paraId="1674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1363C3C6">
            <w:r>
              <w:rPr>
                <w:b/>
                <w:bCs/>
                <w:sz w:val="20"/>
                <w:szCs w:val="20"/>
              </w:rPr>
              <w:t>Report Prepared On</w:t>
            </w:r>
          </w:p>
        </w:tc>
        <w:tc>
          <w:tcPr>
            <w:tcW w:w="6640" w:type="dxa"/>
          </w:tcPr>
          <w:p w14:paraId="3EB1FD53">
            <w:r>
              <w:rPr>
                <w:sz w:val="20"/>
                <w:szCs w:val="20"/>
              </w:rPr>
              <w:t>1</w:t>
            </w:r>
            <w:r>
              <w:rPr>
                <w:rFonts w:hint="default"/>
                <w:sz w:val="20"/>
                <w:szCs w:val="20"/>
                <w:lang w:val="en-IN"/>
              </w:rPr>
              <w:t>3</w:t>
            </w:r>
            <w:r>
              <w:rPr>
                <w:sz w:val="20"/>
                <w:szCs w:val="20"/>
              </w:rPr>
              <w:t xml:space="preserve"> July 2026</w:t>
            </w:r>
          </w:p>
        </w:tc>
      </w:tr>
      <w:tr w14:paraId="28B3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2823BCF1">
            <w:r>
              <w:rPr>
                <w:b/>
                <w:bCs/>
                <w:sz w:val="20"/>
                <w:szCs w:val="20"/>
              </w:rPr>
              <w:t>Team Identifier</w:t>
            </w:r>
          </w:p>
        </w:tc>
        <w:tc>
          <w:tcPr>
            <w:tcW w:w="6640" w:type="dxa"/>
          </w:tcPr>
          <w:p w14:paraId="26EF302F">
            <w:r>
              <w:rPr>
                <w:rFonts w:hint="default"/>
              </w:rPr>
              <w:t>2026-9150</w:t>
            </w:r>
          </w:p>
        </w:tc>
      </w:tr>
      <w:tr w14:paraId="6521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558E351D">
            <w:r>
              <w:rPr>
                <w:b/>
                <w:bCs/>
                <w:sz w:val="20"/>
                <w:szCs w:val="20"/>
              </w:rPr>
              <w:t>Solution Name</w:t>
            </w:r>
          </w:p>
        </w:tc>
        <w:tc>
          <w:tcPr>
            <w:tcW w:w="6640" w:type="dxa"/>
          </w:tcPr>
          <w:p w14:paraId="47561E32">
            <w:r>
              <w:rPr>
                <w:sz w:val="20"/>
                <w:szCs w:val="20"/>
              </w:rPr>
              <w:t>Book A Doctor — Digital Healthcare Appointment Scheduling System</w:t>
            </w:r>
          </w:p>
        </w:tc>
      </w:tr>
      <w:tr w14:paraId="1644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4F3F0A5E">
            <w:r>
              <w:rPr>
                <w:b/>
                <w:bCs/>
                <w:sz w:val="20"/>
                <w:szCs w:val="20"/>
              </w:rPr>
              <w:t>Evaluation Weight</w:t>
            </w:r>
          </w:p>
        </w:tc>
        <w:tc>
          <w:tcPr>
            <w:tcW w:w="6640" w:type="dxa"/>
          </w:tcPr>
          <w:p w14:paraId="371DE5A2">
            <w:r>
              <w:rPr>
                <w:sz w:val="20"/>
                <w:szCs w:val="20"/>
              </w:rPr>
              <w:t>4 Marks</w:t>
            </w:r>
          </w:p>
        </w:tc>
      </w:tr>
    </w:tbl>
    <w:p w14:paraId="44974198">
      <w:pPr>
        <w:pStyle w:val="2"/>
        <w:spacing w:before="320" w:after="160"/>
      </w:pPr>
      <w:r>
        <w:t>1. Purpose of This Document</w:t>
      </w:r>
    </w:p>
    <w:p w14:paraId="535998AA">
      <w:pPr>
        <w:spacing w:after="160"/>
        <w:jc w:val="both"/>
      </w:pPr>
      <w:r>
        <w:t>This document sets out what the Book A Doctor platform must do (its functional requirements) and the quality standards its implementation must meet (its non-functional requirements). Together, these requirements describe a system that lets patients discover and book appointments with approved doctors, exchange supporting clinical documents, and receive timely status updates, while giving administrators the oversight needed to keep the doctor roster trustworthy.</w:t>
      </w:r>
    </w:p>
    <w:p w14:paraId="7B44C579">
      <w:pPr>
        <w:pStyle w:val="2"/>
        <w:spacing w:before="320" w:after="160"/>
      </w:pPr>
      <w:r>
        <w:t>2. Functional Requirements</w:t>
      </w:r>
    </w:p>
    <w:p w14:paraId="42CC9603">
      <w:pPr>
        <w:spacing w:after="160"/>
        <w:jc w:val="both"/>
      </w:pPr>
      <w:r>
        <w:t>Each capability area below is expressed as a single identifier together with the concrete behaviours a user should be able to observe. The identifiers replace the platform's internal epics with plain capability names so that each row can be read on its own.</w:t>
      </w:r>
    </w:p>
    <w:tbl>
      <w:tblPr>
        <w:tblStyle w:val="9"/>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5440"/>
      </w:tblGrid>
      <w:tr w14:paraId="6244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4E79"/>
            <w:vAlign w:val="center"/>
          </w:tcPr>
          <w:p w14:paraId="51D0789D">
            <w:pPr>
              <w:jc w:val="center"/>
            </w:pPr>
            <w:r>
              <w:rPr>
                <w:b/>
                <w:bCs/>
                <w:color w:val="FFFFFF"/>
                <w:sz w:val="20"/>
                <w:szCs w:val="20"/>
              </w:rPr>
              <w:t>ID</w:t>
            </w:r>
          </w:p>
        </w:tc>
        <w:tc>
          <w:tcPr>
            <w:tcW w:w="2800" w:type="dxa"/>
            <w:shd w:val="clear" w:color="auto" w:fill="1F4E79"/>
            <w:vAlign w:val="center"/>
          </w:tcPr>
          <w:p w14:paraId="31132C76">
            <w:pPr>
              <w:jc w:val="center"/>
            </w:pPr>
            <w:r>
              <w:rPr>
                <w:b/>
                <w:bCs/>
                <w:color w:val="FFFFFF"/>
                <w:sz w:val="20"/>
                <w:szCs w:val="20"/>
              </w:rPr>
              <w:t>Capability Area</w:t>
            </w:r>
          </w:p>
        </w:tc>
        <w:tc>
          <w:tcPr>
            <w:tcW w:w="5440" w:type="dxa"/>
            <w:shd w:val="clear" w:color="auto" w:fill="1F4E79"/>
            <w:vAlign w:val="center"/>
          </w:tcPr>
          <w:p w14:paraId="09DAA462">
            <w:pPr>
              <w:jc w:val="center"/>
            </w:pPr>
            <w:r>
              <w:rPr>
                <w:b/>
                <w:bCs/>
                <w:color w:val="FFFFFF"/>
                <w:sz w:val="20"/>
                <w:szCs w:val="20"/>
              </w:rPr>
              <w:t>Expected System Behaviour</w:t>
            </w:r>
          </w:p>
        </w:tc>
      </w:tr>
      <w:tr w14:paraId="3011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5A872DA8">
            <w:r>
              <w:rPr>
                <w:b/>
                <w:bCs/>
                <w:sz w:val="20"/>
                <w:szCs w:val="20"/>
              </w:rPr>
              <w:t>F-01</w:t>
            </w:r>
          </w:p>
        </w:tc>
        <w:tc>
          <w:tcPr>
            <w:tcW w:w="2800" w:type="dxa"/>
            <w:shd w:val="clear" w:color="auto" w:fill="FFFFFF"/>
            <w:vAlign w:val="center"/>
          </w:tcPr>
          <w:p w14:paraId="1A8C5186">
            <w:r>
              <w:rPr>
                <w:b w:val="0"/>
                <w:bCs w:val="0"/>
                <w:sz w:val="20"/>
                <w:szCs w:val="20"/>
              </w:rPr>
              <w:t>Account Creation</w:t>
            </w:r>
          </w:p>
        </w:tc>
        <w:tc>
          <w:tcPr>
            <w:tcW w:w="5440" w:type="dxa"/>
            <w:shd w:val="clear" w:color="auto" w:fill="FFFFFF"/>
            <w:vAlign w:val="center"/>
          </w:tcPr>
          <w:p w14:paraId="49FB0521">
            <w:pPr>
              <w:pStyle w:val="16"/>
              <w:numPr>
                <w:ilvl w:val="0"/>
                <w:numId w:val="1"/>
              </w:numPr>
              <w:spacing w:after="60"/>
            </w:pPr>
            <w:r>
              <w:rPr>
                <w:sz w:val="20"/>
                <w:szCs w:val="20"/>
              </w:rPr>
              <w:t>A visitor can create either a patient account or a doctor account by supplying a display name, e-mail address, password, and contact number.</w:t>
            </w:r>
          </w:p>
          <w:p w14:paraId="09F37CA2">
            <w:pPr>
              <w:pStyle w:val="16"/>
              <w:numPr>
                <w:ilvl w:val="0"/>
                <w:numId w:val="1"/>
              </w:numPr>
              <w:spacing w:after="0"/>
            </w:pPr>
            <w:r>
              <w:rPr>
                <w:sz w:val="20"/>
                <w:szCs w:val="20"/>
              </w:rPr>
              <w:t>Submitted passwords are never stored in plain text; they are transformed with a one-way bcrypt hash prior to persistence.</w:t>
            </w:r>
          </w:p>
        </w:tc>
      </w:tr>
      <w:tr w14:paraId="71CA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5D793640">
            <w:r>
              <w:rPr>
                <w:b/>
                <w:bCs/>
                <w:sz w:val="20"/>
                <w:szCs w:val="20"/>
              </w:rPr>
              <w:t>F-02</w:t>
            </w:r>
          </w:p>
        </w:tc>
        <w:tc>
          <w:tcPr>
            <w:tcW w:w="2800" w:type="dxa"/>
            <w:shd w:val="clear" w:color="auto" w:fill="F7F9FC"/>
            <w:vAlign w:val="center"/>
          </w:tcPr>
          <w:p w14:paraId="4F71808F">
            <w:r>
              <w:rPr>
                <w:b w:val="0"/>
                <w:bCs w:val="0"/>
                <w:sz w:val="20"/>
                <w:szCs w:val="20"/>
              </w:rPr>
              <w:t>Session Authentication</w:t>
            </w:r>
          </w:p>
        </w:tc>
        <w:tc>
          <w:tcPr>
            <w:tcW w:w="5440" w:type="dxa"/>
            <w:shd w:val="clear" w:color="auto" w:fill="F7F9FC"/>
            <w:vAlign w:val="center"/>
          </w:tcPr>
          <w:p w14:paraId="6A8CE75F">
            <w:pPr>
              <w:pStyle w:val="16"/>
              <w:numPr>
                <w:ilvl w:val="0"/>
                <w:numId w:val="1"/>
              </w:numPr>
              <w:spacing w:after="60"/>
            </w:pPr>
            <w:r>
              <w:rPr>
                <w:sz w:val="20"/>
                <w:szCs w:val="20"/>
              </w:rPr>
              <w:t>A registered user signs in using e-mail and password credentials.</w:t>
            </w:r>
          </w:p>
          <w:p w14:paraId="60520741">
            <w:pPr>
              <w:pStyle w:val="16"/>
              <w:numPr>
                <w:ilvl w:val="0"/>
                <w:numId w:val="1"/>
              </w:numPr>
              <w:spacing w:after="0"/>
            </w:pPr>
            <w:r>
              <w:rPr>
                <w:sz w:val="20"/>
                <w:szCs w:val="20"/>
              </w:rPr>
              <w:t>On successful verification, the system issues a JSON Web Token that the client attaches to subsequent calls against protected endpoints.</w:t>
            </w:r>
          </w:p>
        </w:tc>
      </w:tr>
      <w:tr w14:paraId="1342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01A0F472">
            <w:r>
              <w:rPr>
                <w:b/>
                <w:bCs/>
                <w:sz w:val="20"/>
                <w:szCs w:val="20"/>
              </w:rPr>
              <w:t>F-03</w:t>
            </w:r>
          </w:p>
        </w:tc>
        <w:tc>
          <w:tcPr>
            <w:tcW w:w="2800" w:type="dxa"/>
            <w:shd w:val="clear" w:color="auto" w:fill="FFFFFF"/>
            <w:vAlign w:val="center"/>
          </w:tcPr>
          <w:p w14:paraId="4D387528">
            <w:r>
              <w:rPr>
                <w:b w:val="0"/>
                <w:bCs w:val="0"/>
                <w:sz w:val="20"/>
                <w:szCs w:val="20"/>
              </w:rPr>
              <w:t>Physician Discovery</w:t>
            </w:r>
          </w:p>
        </w:tc>
        <w:tc>
          <w:tcPr>
            <w:tcW w:w="5440" w:type="dxa"/>
            <w:shd w:val="clear" w:color="auto" w:fill="FFFFFF"/>
            <w:vAlign w:val="center"/>
          </w:tcPr>
          <w:p w14:paraId="03941E8E">
            <w:pPr>
              <w:pStyle w:val="16"/>
              <w:numPr>
                <w:ilvl w:val="0"/>
                <w:numId w:val="1"/>
              </w:numPr>
              <w:spacing w:after="60"/>
            </w:pPr>
            <w:r>
              <w:rPr>
                <w:sz w:val="20"/>
                <w:szCs w:val="20"/>
              </w:rPr>
              <w:t>Any authenticated patient can browse the roster of doctors who have been approved by an administrator.</w:t>
            </w:r>
          </w:p>
          <w:p w14:paraId="12CF4075">
            <w:pPr>
              <w:pStyle w:val="16"/>
              <w:numPr>
                <w:ilvl w:val="0"/>
                <w:numId w:val="1"/>
              </w:numPr>
              <w:spacing w:after="60"/>
            </w:pPr>
            <w:r>
              <w:rPr>
                <w:sz w:val="20"/>
                <w:szCs w:val="20"/>
              </w:rPr>
              <w:t>The roster can be narrowed using a name or specialization filter.</w:t>
            </w:r>
          </w:p>
          <w:p w14:paraId="332AAB0A">
            <w:pPr>
              <w:pStyle w:val="16"/>
              <w:numPr>
                <w:ilvl w:val="0"/>
                <w:numId w:val="1"/>
              </w:numPr>
              <w:spacing w:after="0"/>
            </w:pPr>
            <w:r>
              <w:rPr>
                <w:sz w:val="20"/>
                <w:szCs w:val="20"/>
              </w:rPr>
              <w:t>Selecting an individual doctor reveals an expanded profile covering credentials, consultation fee, open time slots, and patient rating.</w:t>
            </w:r>
          </w:p>
        </w:tc>
      </w:tr>
      <w:tr w14:paraId="13395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4C0BAEAB">
            <w:r>
              <w:rPr>
                <w:b/>
                <w:bCs/>
                <w:sz w:val="20"/>
                <w:szCs w:val="20"/>
              </w:rPr>
              <w:t>F-04</w:t>
            </w:r>
          </w:p>
        </w:tc>
        <w:tc>
          <w:tcPr>
            <w:tcW w:w="2800" w:type="dxa"/>
            <w:shd w:val="clear" w:color="auto" w:fill="F7F9FC"/>
            <w:vAlign w:val="center"/>
          </w:tcPr>
          <w:p w14:paraId="2431CD60">
            <w:r>
              <w:rPr>
                <w:b w:val="0"/>
                <w:bCs w:val="0"/>
                <w:sz w:val="20"/>
                <w:szCs w:val="20"/>
              </w:rPr>
              <w:t>Appointment Lifecycle Management</w:t>
            </w:r>
          </w:p>
        </w:tc>
        <w:tc>
          <w:tcPr>
            <w:tcW w:w="5440" w:type="dxa"/>
            <w:shd w:val="clear" w:color="auto" w:fill="F7F9FC"/>
            <w:vAlign w:val="center"/>
          </w:tcPr>
          <w:p w14:paraId="2A1807D0">
            <w:pPr>
              <w:pStyle w:val="16"/>
              <w:numPr>
                <w:ilvl w:val="0"/>
                <w:numId w:val="1"/>
              </w:numPr>
              <w:spacing w:after="60"/>
            </w:pPr>
            <w:r>
              <w:rPr>
                <w:sz w:val="20"/>
                <w:szCs w:val="20"/>
              </w:rPr>
              <w:t>A patient reserves a consultation by selecting an available date and time slot for a given doctor.</w:t>
            </w:r>
          </w:p>
          <w:p w14:paraId="4F2A43AB">
            <w:pPr>
              <w:pStyle w:val="16"/>
              <w:numPr>
                <w:ilvl w:val="0"/>
                <w:numId w:val="1"/>
              </w:numPr>
              <w:spacing w:after="60"/>
            </w:pPr>
            <w:r>
              <w:rPr>
                <w:sz w:val="20"/>
                <w:szCs w:val="20"/>
              </w:rPr>
              <w:t>The receiving doctor may accept, decline, or mark the reservation as fulfilled once the consultation has taken place.</w:t>
            </w:r>
          </w:p>
          <w:p w14:paraId="26D0D741">
            <w:pPr>
              <w:pStyle w:val="16"/>
              <w:numPr>
                <w:ilvl w:val="0"/>
                <w:numId w:val="1"/>
              </w:numPr>
              <w:spacing w:after="0"/>
            </w:pPr>
            <w:r>
              <w:rPr>
                <w:sz w:val="20"/>
                <w:szCs w:val="20"/>
              </w:rPr>
              <w:t>Both parties can retrieve a list restricted to appointments in which they are a participant.</w:t>
            </w:r>
          </w:p>
        </w:tc>
      </w:tr>
      <w:tr w14:paraId="2D47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31CC6881">
            <w:r>
              <w:rPr>
                <w:b/>
                <w:bCs/>
                <w:sz w:val="20"/>
                <w:szCs w:val="20"/>
              </w:rPr>
              <w:t>F-05</w:t>
            </w:r>
          </w:p>
        </w:tc>
        <w:tc>
          <w:tcPr>
            <w:tcW w:w="2800" w:type="dxa"/>
            <w:shd w:val="clear" w:color="auto" w:fill="FFFFFF"/>
            <w:vAlign w:val="center"/>
          </w:tcPr>
          <w:p w14:paraId="46F4C8C1">
            <w:r>
              <w:rPr>
                <w:b w:val="0"/>
                <w:bCs w:val="0"/>
                <w:sz w:val="20"/>
                <w:szCs w:val="20"/>
              </w:rPr>
              <w:t>Clinical File Exchange</w:t>
            </w:r>
          </w:p>
        </w:tc>
        <w:tc>
          <w:tcPr>
            <w:tcW w:w="5440" w:type="dxa"/>
            <w:shd w:val="clear" w:color="auto" w:fill="FFFFFF"/>
            <w:vAlign w:val="center"/>
          </w:tcPr>
          <w:p w14:paraId="454CAE11">
            <w:pPr>
              <w:pStyle w:val="16"/>
              <w:numPr>
                <w:ilvl w:val="0"/>
                <w:numId w:val="1"/>
              </w:numPr>
              <w:spacing w:after="60"/>
            </w:pPr>
            <w:r>
              <w:rPr>
                <w:sz w:val="20"/>
                <w:szCs w:val="20"/>
              </w:rPr>
              <w:t>A patient can attach supporting files — such as prior prescriptions or diagnostic reports — to a specific booked appointment.</w:t>
            </w:r>
          </w:p>
          <w:p w14:paraId="2B268AC4">
            <w:pPr>
              <w:pStyle w:val="16"/>
              <w:numPr>
                <w:ilvl w:val="0"/>
                <w:numId w:val="1"/>
              </w:numPr>
              <w:spacing w:after="0"/>
            </w:pPr>
            <w:r>
              <w:rPr>
                <w:sz w:val="20"/>
                <w:szCs w:val="20"/>
              </w:rPr>
              <w:t>The assigned doctor can retrieve those attachments in advance of the consultation.</w:t>
            </w:r>
          </w:p>
        </w:tc>
      </w:tr>
      <w:tr w14:paraId="6904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67D8ABC4">
            <w:r>
              <w:rPr>
                <w:b/>
                <w:bCs/>
                <w:sz w:val="20"/>
                <w:szCs w:val="20"/>
              </w:rPr>
              <w:t>F-06</w:t>
            </w:r>
          </w:p>
        </w:tc>
        <w:tc>
          <w:tcPr>
            <w:tcW w:w="2800" w:type="dxa"/>
            <w:shd w:val="clear" w:color="auto" w:fill="F7F9FC"/>
            <w:vAlign w:val="center"/>
          </w:tcPr>
          <w:p w14:paraId="7A32E251">
            <w:r>
              <w:rPr>
                <w:b w:val="0"/>
                <w:bCs w:val="0"/>
                <w:sz w:val="20"/>
                <w:szCs w:val="20"/>
              </w:rPr>
              <w:t>In-App Alerts</w:t>
            </w:r>
          </w:p>
        </w:tc>
        <w:tc>
          <w:tcPr>
            <w:tcW w:w="5440" w:type="dxa"/>
            <w:shd w:val="clear" w:color="auto" w:fill="F7F9FC"/>
            <w:vAlign w:val="center"/>
          </w:tcPr>
          <w:p w14:paraId="2F0A0302">
            <w:pPr>
              <w:pStyle w:val="16"/>
              <w:numPr>
                <w:ilvl w:val="0"/>
                <w:numId w:val="1"/>
              </w:numPr>
              <w:spacing w:after="60"/>
            </w:pPr>
            <w:r>
              <w:rPr>
                <w:sz w:val="20"/>
                <w:szCs w:val="20"/>
              </w:rPr>
              <w:t>The platform automatically raises an alert whenever a booking is requested, confirmed, or changes status.</w:t>
            </w:r>
          </w:p>
          <w:p w14:paraId="1107E51B">
            <w:pPr>
              <w:pStyle w:val="16"/>
              <w:numPr>
                <w:ilvl w:val="0"/>
                <w:numId w:val="1"/>
              </w:numPr>
              <w:spacing w:after="0"/>
            </w:pPr>
            <w:r>
              <w:rPr>
                <w:sz w:val="20"/>
                <w:szCs w:val="20"/>
              </w:rPr>
              <w:t>Users can review their alert history and mark individual entries as read.</w:t>
            </w:r>
          </w:p>
        </w:tc>
      </w:tr>
      <w:tr w14:paraId="33BC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0A2CBCFB">
            <w:r>
              <w:rPr>
                <w:b/>
                <w:bCs/>
                <w:sz w:val="20"/>
                <w:szCs w:val="20"/>
              </w:rPr>
              <w:t>F-07</w:t>
            </w:r>
          </w:p>
        </w:tc>
        <w:tc>
          <w:tcPr>
            <w:tcW w:w="2800" w:type="dxa"/>
            <w:shd w:val="clear" w:color="auto" w:fill="FFFFFF"/>
            <w:vAlign w:val="center"/>
          </w:tcPr>
          <w:p w14:paraId="7A1EC812">
            <w:r>
              <w:rPr>
                <w:b w:val="0"/>
                <w:bCs w:val="0"/>
                <w:sz w:val="20"/>
                <w:szCs w:val="20"/>
              </w:rPr>
              <w:t>Platform Oversight</w:t>
            </w:r>
          </w:p>
        </w:tc>
        <w:tc>
          <w:tcPr>
            <w:tcW w:w="5440" w:type="dxa"/>
            <w:shd w:val="clear" w:color="auto" w:fill="FFFFFF"/>
            <w:vAlign w:val="center"/>
          </w:tcPr>
          <w:p w14:paraId="04584F81">
            <w:pPr>
              <w:pStyle w:val="16"/>
              <w:numPr>
                <w:ilvl w:val="0"/>
                <w:numId w:val="1"/>
              </w:numPr>
              <w:spacing w:after="60"/>
            </w:pPr>
            <w:r>
              <w:rPr>
                <w:sz w:val="20"/>
                <w:szCs w:val="20"/>
              </w:rPr>
              <w:t>An administrator can review, approve, or revoke doctor accounts pending or already active on the platform.</w:t>
            </w:r>
          </w:p>
          <w:p w14:paraId="79555CF2">
            <w:pPr>
              <w:pStyle w:val="16"/>
              <w:numPr>
                <w:ilvl w:val="0"/>
                <w:numId w:val="1"/>
              </w:numPr>
              <w:spacing w:after="0"/>
            </w:pPr>
            <w:r>
              <w:rPr>
                <w:sz w:val="20"/>
                <w:szCs w:val="20"/>
              </w:rPr>
              <w:t>An administrator has visibility into the full set of appointments created across the system.</w:t>
            </w:r>
          </w:p>
        </w:tc>
      </w:tr>
    </w:tbl>
    <w:p w14:paraId="368BAE61">
      <w:pPr>
        <w:spacing w:after="200"/>
      </w:pPr>
    </w:p>
    <w:p w14:paraId="09246EE3">
      <w:pPr>
        <w:pStyle w:val="2"/>
        <w:spacing w:before="320" w:after="160"/>
      </w:pPr>
      <w:r>
        <w:t>3. Non-Functional Requirements</w:t>
      </w:r>
    </w:p>
    <w:p w14:paraId="12F5E000">
      <w:pPr>
        <w:spacing w:after="160"/>
        <w:jc w:val="both"/>
      </w:pPr>
      <w:r>
        <w:t>The qualities below constrain how the functional capabilities are built rather than what they do. Each row pairs the motivating concern with the concrete mechanism the architecture uses to address it.</w:t>
      </w:r>
    </w:p>
    <w:tbl>
      <w:tblPr>
        <w:tblStyle w:val="9"/>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00"/>
        <w:gridCol w:w="3840"/>
      </w:tblGrid>
      <w:tr w14:paraId="400A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4E79"/>
            <w:vAlign w:val="center"/>
          </w:tcPr>
          <w:p w14:paraId="2CB5D38C">
            <w:pPr>
              <w:jc w:val="center"/>
            </w:pPr>
            <w:r>
              <w:rPr>
                <w:b/>
                <w:bCs/>
                <w:color w:val="FFFFFF"/>
                <w:sz w:val="20"/>
                <w:szCs w:val="20"/>
              </w:rPr>
              <w:t>Quality Attribute</w:t>
            </w:r>
          </w:p>
        </w:tc>
        <w:tc>
          <w:tcPr>
            <w:tcW w:w="3600" w:type="dxa"/>
            <w:shd w:val="clear" w:color="auto" w:fill="1F4E79"/>
            <w:vAlign w:val="center"/>
          </w:tcPr>
          <w:p w14:paraId="05A7A020">
            <w:pPr>
              <w:jc w:val="center"/>
            </w:pPr>
            <w:r>
              <w:rPr>
                <w:b/>
                <w:bCs/>
                <w:color w:val="FFFFFF"/>
                <w:sz w:val="20"/>
                <w:szCs w:val="20"/>
              </w:rPr>
              <w:t>Why It Matters Here</w:t>
            </w:r>
          </w:p>
        </w:tc>
        <w:tc>
          <w:tcPr>
            <w:tcW w:w="3840" w:type="dxa"/>
            <w:shd w:val="clear" w:color="auto" w:fill="1F4E79"/>
            <w:vAlign w:val="center"/>
          </w:tcPr>
          <w:p w14:paraId="4F959DE9">
            <w:pPr>
              <w:jc w:val="center"/>
            </w:pPr>
            <w:r>
              <w:rPr>
                <w:b/>
                <w:bCs/>
                <w:color w:val="FFFFFF"/>
                <w:sz w:val="20"/>
                <w:szCs w:val="20"/>
              </w:rPr>
              <w:t>How the Design Achieves It</w:t>
            </w:r>
          </w:p>
        </w:tc>
      </w:tr>
      <w:tr w14:paraId="19F2B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vAlign w:val="center"/>
          </w:tcPr>
          <w:p w14:paraId="62FB88C0">
            <w:r>
              <w:rPr>
                <w:b/>
                <w:bCs/>
                <w:sz w:val="20"/>
                <w:szCs w:val="20"/>
              </w:rPr>
              <w:t>Usability</w:t>
            </w:r>
          </w:p>
        </w:tc>
        <w:tc>
          <w:tcPr>
            <w:tcW w:w="3600" w:type="dxa"/>
            <w:shd w:val="clear" w:color="auto" w:fill="FFFFFF"/>
            <w:vAlign w:val="center"/>
          </w:tcPr>
          <w:p w14:paraId="40BC0522">
            <w:r>
              <w:rPr>
                <w:b w:val="0"/>
                <w:bCs w:val="0"/>
                <w:sz w:val="20"/>
                <w:szCs w:val="20"/>
              </w:rPr>
              <w:t>Patients, doctors, and administrators each need a workflow suited to their role without unnecessary complexity.</w:t>
            </w:r>
          </w:p>
        </w:tc>
        <w:tc>
          <w:tcPr>
            <w:tcW w:w="3840" w:type="dxa"/>
            <w:shd w:val="clear" w:color="auto" w:fill="FFFFFF"/>
            <w:vAlign w:val="center"/>
          </w:tcPr>
          <w:p w14:paraId="39DB6594">
            <w:r>
              <w:rPr>
                <w:b w:val="0"/>
                <w:bCs w:val="0"/>
                <w:sz w:val="20"/>
                <w:szCs w:val="20"/>
              </w:rPr>
              <w:t>Role-specific dashboards, a persistent navigation bar, and route guarding keep each user oriented to only the actions relevant to their role.</w:t>
            </w:r>
          </w:p>
        </w:tc>
      </w:tr>
      <w:tr w14:paraId="6EF4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7F9FC"/>
            <w:vAlign w:val="center"/>
          </w:tcPr>
          <w:p w14:paraId="188B4E37">
            <w:r>
              <w:rPr>
                <w:b/>
                <w:bCs/>
                <w:sz w:val="20"/>
                <w:szCs w:val="20"/>
              </w:rPr>
              <w:t>Security</w:t>
            </w:r>
          </w:p>
        </w:tc>
        <w:tc>
          <w:tcPr>
            <w:tcW w:w="3600" w:type="dxa"/>
            <w:shd w:val="clear" w:color="auto" w:fill="F7F9FC"/>
            <w:vAlign w:val="center"/>
          </w:tcPr>
          <w:p w14:paraId="4ADEDFE7">
            <w:r>
              <w:rPr>
                <w:b w:val="0"/>
                <w:bCs w:val="0"/>
                <w:sz w:val="20"/>
                <w:szCs w:val="20"/>
              </w:rPr>
              <w:t>Health-related booking data and personal credentials require strong protection against unauthorized access.</w:t>
            </w:r>
          </w:p>
        </w:tc>
        <w:tc>
          <w:tcPr>
            <w:tcW w:w="3840" w:type="dxa"/>
            <w:shd w:val="clear" w:color="auto" w:fill="F7F9FC"/>
            <w:vAlign w:val="center"/>
          </w:tcPr>
          <w:p w14:paraId="5AAC9EBB">
            <w:r>
              <w:rPr>
                <w:b w:val="0"/>
                <w:bCs w:val="0"/>
                <w:sz w:val="20"/>
                <w:szCs w:val="20"/>
              </w:rPr>
              <w:t>Stateless JWT-based sign-in, bcrypt password hashing, role-checking middleware on protected routes, and a centralized error handler that avoids leaking internal details.</w:t>
            </w:r>
          </w:p>
        </w:tc>
      </w:tr>
      <w:tr w14:paraId="0B34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vAlign w:val="center"/>
          </w:tcPr>
          <w:p w14:paraId="7E8B710D">
            <w:r>
              <w:rPr>
                <w:b/>
                <w:bCs/>
                <w:sz w:val="20"/>
                <w:szCs w:val="20"/>
              </w:rPr>
              <w:t>Reliability</w:t>
            </w:r>
          </w:p>
        </w:tc>
        <w:tc>
          <w:tcPr>
            <w:tcW w:w="3600" w:type="dxa"/>
            <w:shd w:val="clear" w:color="auto" w:fill="FFFFFF"/>
            <w:vAlign w:val="center"/>
          </w:tcPr>
          <w:p w14:paraId="5B6EFE29">
            <w:r>
              <w:rPr>
                <w:b w:val="0"/>
                <w:bCs w:val="0"/>
                <w:sz w:val="20"/>
                <w:szCs w:val="20"/>
              </w:rPr>
              <w:t>Two patients must never be able to claim the same appointment slot, and stored records must stay internally consistent.</w:t>
            </w:r>
          </w:p>
        </w:tc>
        <w:tc>
          <w:tcPr>
            <w:tcW w:w="3840" w:type="dxa"/>
            <w:shd w:val="clear" w:color="auto" w:fill="FFFFFF"/>
            <w:vAlign w:val="center"/>
          </w:tcPr>
          <w:p w14:paraId="1AAD2496">
            <w:r>
              <w:rPr>
                <w:b w:val="0"/>
                <w:bCs w:val="0"/>
                <w:sz w:val="20"/>
                <w:szCs w:val="20"/>
              </w:rPr>
              <w:t>Mongoose schema-level validation together with indexes on doctor, date, and time-slot fields guards against duplicate or malformed bookings.</w:t>
            </w:r>
          </w:p>
        </w:tc>
      </w:tr>
      <w:tr w14:paraId="3FE7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7F9FC"/>
            <w:vAlign w:val="center"/>
          </w:tcPr>
          <w:p w14:paraId="5EC567D7">
            <w:r>
              <w:rPr>
                <w:b/>
                <w:bCs/>
                <w:sz w:val="20"/>
                <w:szCs w:val="20"/>
              </w:rPr>
              <w:t>Performance</w:t>
            </w:r>
          </w:p>
        </w:tc>
        <w:tc>
          <w:tcPr>
            <w:tcW w:w="3600" w:type="dxa"/>
            <w:shd w:val="clear" w:color="auto" w:fill="F7F9FC"/>
            <w:vAlign w:val="center"/>
          </w:tcPr>
          <w:p w14:paraId="142682FE">
            <w:r>
              <w:rPr>
                <w:b w:val="0"/>
                <w:bCs w:val="0"/>
                <w:sz w:val="20"/>
                <w:szCs w:val="20"/>
              </w:rPr>
              <w:t>Users expect the search-and-book workflow to feel immediate rather than sluggish.</w:t>
            </w:r>
          </w:p>
        </w:tc>
        <w:tc>
          <w:tcPr>
            <w:tcW w:w="3840" w:type="dxa"/>
            <w:shd w:val="clear" w:color="auto" w:fill="F7F9FC"/>
            <w:vAlign w:val="center"/>
          </w:tcPr>
          <w:p w14:paraId="11DE9715">
            <w:r>
              <w:rPr>
                <w:b w:val="0"/>
                <w:bCs w:val="0"/>
                <w:sz w:val="20"/>
                <w:szCs w:val="20"/>
              </w:rPr>
              <w:t>Targeted MongoDB indexes and a deliberately lightweight REST layer are designed to keep typical request turnaround within one to two seconds under ordinary load.</w:t>
            </w:r>
          </w:p>
        </w:tc>
      </w:tr>
      <w:tr w14:paraId="37DC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vAlign w:val="center"/>
          </w:tcPr>
          <w:p w14:paraId="31D0B9FD">
            <w:r>
              <w:rPr>
                <w:b/>
                <w:bCs/>
                <w:sz w:val="20"/>
                <w:szCs w:val="20"/>
              </w:rPr>
              <w:t>Availability</w:t>
            </w:r>
          </w:p>
        </w:tc>
        <w:tc>
          <w:tcPr>
            <w:tcW w:w="3600" w:type="dxa"/>
            <w:shd w:val="clear" w:color="auto" w:fill="FFFFFF"/>
            <w:vAlign w:val="center"/>
          </w:tcPr>
          <w:p w14:paraId="7C4F4943">
            <w:r>
              <w:rPr>
                <w:b w:val="0"/>
                <w:bCs w:val="0"/>
                <w:sz w:val="20"/>
                <w:szCs w:val="20"/>
              </w:rPr>
              <w:t>A scheduling platform used for health appointments should tolerate routine maintenance and redeployment without losing data.</w:t>
            </w:r>
          </w:p>
        </w:tc>
        <w:tc>
          <w:tcPr>
            <w:tcW w:w="3840" w:type="dxa"/>
            <w:shd w:val="clear" w:color="auto" w:fill="FFFFFF"/>
            <w:vAlign w:val="center"/>
          </w:tcPr>
          <w:p w14:paraId="6A1833E0">
            <w:r>
              <w:rPr>
                <w:b w:val="0"/>
                <w:bCs w:val="0"/>
                <w:sz w:val="20"/>
                <w:szCs w:val="20"/>
              </w:rPr>
              <w:t>A stateless Node.js API paired with MongoDB Atlas replica sets keeps the system reachable through restarts and supports redeploying the service without data loss.</w:t>
            </w:r>
          </w:p>
        </w:tc>
      </w:tr>
      <w:tr w14:paraId="03E7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7F9FC"/>
            <w:vAlign w:val="center"/>
          </w:tcPr>
          <w:p w14:paraId="46C0F882">
            <w:r>
              <w:rPr>
                <w:b/>
                <w:bCs/>
                <w:sz w:val="20"/>
                <w:szCs w:val="20"/>
              </w:rPr>
              <w:t>Scalability</w:t>
            </w:r>
          </w:p>
        </w:tc>
        <w:tc>
          <w:tcPr>
            <w:tcW w:w="3600" w:type="dxa"/>
            <w:shd w:val="clear" w:color="auto" w:fill="F7F9FC"/>
            <w:vAlign w:val="center"/>
          </w:tcPr>
          <w:p w14:paraId="0536742F">
            <w:r>
              <w:rPr>
                <w:b w:val="0"/>
                <w:bCs w:val="0"/>
                <w:sz w:val="20"/>
                <w:szCs w:val="20"/>
              </w:rPr>
              <w:t>Usage is expected to grow as more patients and doctors join the platform.</w:t>
            </w:r>
          </w:p>
        </w:tc>
        <w:tc>
          <w:tcPr>
            <w:tcW w:w="3840" w:type="dxa"/>
            <w:shd w:val="clear" w:color="auto" w:fill="F7F9FC"/>
            <w:vAlign w:val="center"/>
          </w:tcPr>
          <w:p w14:paraId="389DEDDB">
            <w:r>
              <w:rPr>
                <w:b w:val="0"/>
                <w:bCs w:val="0"/>
                <w:sz w:val="20"/>
                <w:szCs w:val="20"/>
              </w:rPr>
              <w:t>A modular three-tier layout lets additional API instances be added independently of database scaling as demand increases.</w:t>
            </w:r>
          </w:p>
        </w:tc>
      </w:tr>
    </w:tbl>
    <w:p w14:paraId="7ED18B84">
      <w:pPr>
        <w:spacing w:after="200"/>
      </w:pPr>
    </w:p>
    <w:p w14:paraId="2E5B1839">
      <w:pPr>
        <w:pStyle w:val="2"/>
        <w:spacing w:before="320" w:after="160"/>
      </w:pPr>
      <w:r>
        <w:t>4. Closing Note</w:t>
      </w:r>
    </w:p>
    <w:p w14:paraId="1C5159CF">
      <w:pPr>
        <w:spacing w:after="160"/>
        <w:jc w:val="both"/>
      </w:pPr>
      <w:r>
        <w:t>These requirements are intended to remain traceable to the architecture and technology stack documented separately for this project; any change to a functional capability or quality target here should be reflected in that companion specification as well.</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A5C22D9"/>
    <w:rsid w:val="29AD11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745</Words>
  <Characters>4409</Characters>
  <TotalTime>2</TotalTime>
  <ScaleCrop>false</ScaleCrop>
  <LinksUpToDate>false</LinksUpToDate>
  <CharactersWithSpaces>5081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2026-07-19T09:40:00Z</dcterms:created>
  <dc:creator>Un-named</dc:creator>
  <cp:lastModifiedBy>Pujitha Chinamuthevi</cp:lastModifiedBy>
  <dcterms:modified xsi:type="dcterms:W3CDTF">2026-07-19T09:52:29Z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eyJoZGlkIjoiMTRmM2NjZWUyMDg2YTM5MmVmZTI0NzU3ODRjZDY5N2MiLCJ1c2VySWQiOiI1Njc1Mjk5OTY5MTAifQ==</vt:lpwstr>
  </property>
  <property fmtid="{D5CDD505-2E9C-101B-9397-08002B2CF9AE}" pid="3" name="KSOProductBuildVer">
    <vt:lpwstr>1033-12.1.0.26880</vt:lpwstr>
  </property>
  <property fmtid="{D5CDD505-2E9C-101B-9397-08002B2CF9AE}" pid="4" name="ICV">
    <vt:lpwstr>6B9E39C9D2B84B2898C3CFBB509B9946_13</vt:lpwstr>
  </property>
</Properties>
</file>