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3A5F"/>
          <w:sz w:val="40"/>
        </w:rPr>
        <w:t>API Documentation</w:t>
      </w:r>
    </w:p>
    <w:p>
      <w:pPr>
        <w:jc w:val="center"/>
      </w:pPr>
      <w:r>
        <w:rPr>
          <w:i/>
          <w:sz w:val="20"/>
        </w:rPr>
        <w:t>Claims Adjudication Backend API</w:t>
      </w:r>
    </w:p>
    <w:p/>
    <w:p>
      <w:r>
        <w:t>This document describes the main application programming interfaces for the backend service. The API is designed to support both deterministic and LLM-assisted processing.</w:t>
      </w:r>
    </w:p>
    <w:p>
      <w:pPr>
        <w:pStyle w:val="Heading1"/>
      </w:pPr>
      <w:r>
        <w:rPr>
          <w:rFonts w:ascii="Aptos" w:hAnsi="Aptos"/>
        </w:rPr>
        <w:t>1. Base URL</w:t>
      </w:r>
    </w:p>
    <w:p>
      <w:r>
        <w:t>Local development: http://localhost:8000/api/v1</w:t>
      </w:r>
    </w:p>
    <w:p>
      <w:pPr>
        <w:pStyle w:val="Heading1"/>
      </w:pPr>
      <w:r>
        <w:rPr>
          <w:rFonts w:ascii="Aptos" w:hAnsi="Aptos"/>
        </w:rPr>
        <w:t>2. Key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shd w:fill="DCE6F1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18"/>
            <w:shd w:fill="DCE6F1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819"/>
            <w:shd w:fill="DCE6F1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134"/>
            <w:vAlign w:val="center"/>
          </w:tcPr>
          <w:p>
            <w:r>
              <w:t>GET</w:t>
            </w:r>
          </w:p>
        </w:tc>
        <w:tc>
          <w:tcPr>
            <w:tcW w:type="dxa" w:w="3118"/>
            <w:vAlign w:val="center"/>
          </w:tcPr>
          <w:p>
            <w:r>
              <w:t>/health</w:t>
            </w:r>
          </w:p>
        </w:tc>
        <w:tc>
          <w:tcPr>
            <w:tcW w:type="dxa" w:w="4819"/>
            <w:vAlign w:val="center"/>
          </w:tcPr>
          <w:p>
            <w:r>
              <w:t>Service health check</w:t>
            </w:r>
          </w:p>
        </w:tc>
      </w:tr>
      <w:tr>
        <w:tc>
          <w:tcPr>
            <w:tcW w:type="dxa" w:w="1134"/>
            <w:vAlign w:val="center"/>
          </w:tcPr>
          <w:p>
            <w:r>
              <w:t>POST</w:t>
            </w:r>
          </w:p>
        </w:tc>
        <w:tc>
          <w:tcPr>
            <w:tcW w:type="dxa" w:w="3118"/>
            <w:vAlign w:val="center"/>
          </w:tcPr>
          <w:p>
            <w:r>
              <w:t>/claims</w:t>
            </w:r>
          </w:p>
        </w:tc>
        <w:tc>
          <w:tcPr>
            <w:tcW w:type="dxa" w:w="4819"/>
            <w:vAlign w:val="center"/>
          </w:tcPr>
          <w:p>
            <w:r>
              <w:t>Create a claim record and register runtime processing options</w:t>
            </w:r>
          </w:p>
        </w:tc>
      </w:tr>
      <w:tr>
        <w:tc>
          <w:tcPr>
            <w:tcW w:type="dxa" w:w="1134"/>
            <w:vAlign w:val="center"/>
          </w:tcPr>
          <w:p>
            <w:r>
              <w:t>POST</w:t>
            </w:r>
          </w:p>
        </w:tc>
        <w:tc>
          <w:tcPr>
            <w:tcW w:type="dxa" w:w="3118"/>
            <w:vAlign w:val="center"/>
          </w:tcPr>
          <w:p>
            <w:r>
              <w:t>/claims/{claim_id}/documents</w:t>
            </w:r>
          </w:p>
        </w:tc>
        <w:tc>
          <w:tcPr>
            <w:tcW w:type="dxa" w:w="4819"/>
            <w:vAlign w:val="center"/>
          </w:tcPr>
          <w:p>
            <w:r>
              <w:t>Upload a document for a claim</w:t>
            </w:r>
          </w:p>
        </w:tc>
      </w:tr>
      <w:tr>
        <w:tc>
          <w:tcPr>
            <w:tcW w:type="dxa" w:w="1134"/>
            <w:vAlign w:val="center"/>
          </w:tcPr>
          <w:p>
            <w:r>
              <w:t>POST</w:t>
            </w:r>
          </w:p>
        </w:tc>
        <w:tc>
          <w:tcPr>
            <w:tcW w:type="dxa" w:w="3118"/>
            <w:vAlign w:val="center"/>
          </w:tcPr>
          <w:p>
            <w:r>
              <w:t>/adjudicate</w:t>
            </w:r>
          </w:p>
        </w:tc>
        <w:tc>
          <w:tcPr>
            <w:tcW w:type="dxa" w:w="4819"/>
            <w:vAlign w:val="center"/>
          </w:tcPr>
          <w:p>
            <w:r>
              <w:t>Run adjudication using normalized claim context</w:t>
            </w:r>
          </w:p>
        </w:tc>
      </w:tr>
      <w:tr>
        <w:tc>
          <w:tcPr>
            <w:tcW w:type="dxa" w:w="1134"/>
            <w:vAlign w:val="center"/>
          </w:tcPr>
          <w:p>
            <w:r>
              <w:t>GET</w:t>
            </w:r>
          </w:p>
        </w:tc>
        <w:tc>
          <w:tcPr>
            <w:tcW w:type="dxa" w:w="3118"/>
            <w:vAlign w:val="center"/>
          </w:tcPr>
          <w:p>
            <w:r>
              <w:t>/policy</w:t>
            </w:r>
          </w:p>
        </w:tc>
        <w:tc>
          <w:tcPr>
            <w:tcW w:type="dxa" w:w="4819"/>
            <w:vAlign w:val="center"/>
          </w:tcPr>
          <w:p>
            <w:r>
              <w:t>Return loaded policy and derived-rule configuration</w:t>
            </w:r>
          </w:p>
        </w:tc>
      </w:tr>
    </w:tbl>
    <w:p/>
    <w:p>
      <w:pPr>
        <w:pStyle w:val="Heading1"/>
      </w:pPr>
      <w:r>
        <w:rPr>
          <w:rFonts w:ascii="Aptos" w:hAnsi="Aptos"/>
        </w:rPr>
        <w:t>3. Example Claim Creation Request</w:t>
      </w:r>
    </w:p>
    <w:p>
      <w:pPr>
        <w:pStyle w:val="IntenseQuote"/>
      </w:pPr>
      <w:r>
        <w:t>{</w:t>
      </w:r>
    </w:p>
    <w:p>
      <w:pPr>
        <w:pStyle w:val="IntenseQuote"/>
      </w:pPr>
      <w:r>
        <w:t xml:space="preserve">  "session_id": "7d1477c0-3c89-4bfc-9fbb-0db3f8df91b5",</w:t>
      </w:r>
    </w:p>
    <w:p>
      <w:pPr>
        <w:pStyle w:val="IntenseQuote"/>
      </w:pPr>
      <w:r>
        <w:t xml:space="preserve">  "member_id": "EMP001",</w:t>
      </w:r>
    </w:p>
    <w:p>
      <w:pPr>
        <w:pStyle w:val="IntenseQuote"/>
      </w:pPr>
      <w:r>
        <w:t xml:space="preserve">  "member_name": "Rajesh Kumar",</w:t>
      </w:r>
    </w:p>
    <w:p>
      <w:pPr>
        <w:pStyle w:val="IntenseQuote"/>
      </w:pPr>
      <w:r>
        <w:t xml:space="preserve">  "treatment_date": "2024-11-01",</w:t>
      </w:r>
    </w:p>
    <w:p>
      <w:pPr>
        <w:pStyle w:val="IntenseQuote"/>
      </w:pPr>
      <w:r>
        <w:t xml:space="preserve">  "submission_date": "2024-11-05",</w:t>
      </w:r>
    </w:p>
    <w:p>
      <w:pPr>
        <w:pStyle w:val="IntenseQuote"/>
      </w:pPr>
      <w:r>
        <w:t xml:space="preserve">  "claim_amount": 1500,</w:t>
      </w:r>
    </w:p>
    <w:p>
      <w:pPr>
        <w:pStyle w:val="IntenseQuote"/>
      </w:pPr>
      <w:r>
        <w:t xml:space="preserve">  "hospital_name": "Apollo Hospitals",</w:t>
      </w:r>
    </w:p>
    <w:p>
      <w:pPr>
        <w:pStyle w:val="IntenseQuote"/>
      </w:pPr>
      <w:r>
        <w:t xml:space="preserve">  "cashless_requested": false,</w:t>
      </w:r>
    </w:p>
    <w:p>
      <w:pPr>
        <w:pStyle w:val="IntenseQuote"/>
      </w:pPr>
      <w:r>
        <w:t xml:space="preserve">  "use_llm": true,</w:t>
      </w:r>
    </w:p>
    <w:p>
      <w:pPr>
        <w:pStyle w:val="IntenseQuote"/>
      </w:pPr>
      <w:r>
        <w:t xml:space="preserve">  "llm_config": { "provider": "openai", "model": "gpt-4.1-mini", "api_key": "&lt;session only&gt;" }</w:t>
      </w:r>
    </w:p>
    <w:p>
      <w:pPr>
        <w:pStyle w:val="IntenseQuote"/>
      </w:pPr>
      <w:r>
        <w:t>}</w:t>
      </w:r>
    </w:p>
    <w:p>
      <w:pPr>
        <w:pStyle w:val="Heading1"/>
      </w:pPr>
      <w:r>
        <w:rPr>
          <w:rFonts w:ascii="Aptos" w:hAnsi="Aptos"/>
        </w:rPr>
        <w:t>4. Example Adjudication Response</w:t>
      </w:r>
    </w:p>
    <w:p>
      <w:pPr>
        <w:pStyle w:val="IntenseQuote"/>
      </w:pPr>
      <w:r>
        <w:t>{</w:t>
      </w:r>
    </w:p>
    <w:p>
      <w:pPr>
        <w:pStyle w:val="IntenseQuote"/>
      </w:pPr>
      <w:r>
        <w:t xml:space="preserve">  "decision": "APPROVED",</w:t>
      </w:r>
    </w:p>
    <w:p>
      <w:pPr>
        <w:pStyle w:val="IntenseQuote"/>
      </w:pPr>
      <w:r>
        <w:t xml:space="preserve">  "approved_amount": 1350.0,</w:t>
      </w:r>
    </w:p>
    <w:p>
      <w:pPr>
        <w:pStyle w:val="IntenseQuote"/>
      </w:pPr>
      <w:r>
        <w:t xml:space="preserve">  "rejection_reasons": [],</w:t>
      </w:r>
    </w:p>
    <w:p>
      <w:pPr>
        <w:pStyle w:val="IntenseQuote"/>
      </w:pPr>
      <w:r>
        <w:t xml:space="preserve">  "confidence_score": 0.93,</w:t>
      </w:r>
    </w:p>
    <w:p>
      <w:pPr>
        <w:pStyle w:val="IntenseQuote"/>
      </w:pPr>
      <w:r>
        <w:t xml:space="preserve">  "deductions": { "copay": 150.0 },</w:t>
      </w:r>
    </w:p>
    <w:p>
      <w:pPr>
        <w:pStyle w:val="IntenseQuote"/>
      </w:pPr>
      <w:r>
        <w:t xml:space="preserve">  "confidence_action": "AUTO",</w:t>
      </w:r>
    </w:p>
    <w:p>
      <w:pPr>
        <w:pStyle w:val="IntenseQuote"/>
      </w:pPr>
      <w:r>
        <w:t xml:space="preserve">  "processing_metadata": {</w:t>
      </w:r>
    </w:p>
    <w:p>
      <w:pPr>
        <w:pStyle w:val="IntenseQuote"/>
      </w:pPr>
      <w:r>
        <w:t xml:space="preserve">    "use_llm": true,</w:t>
      </w:r>
    </w:p>
    <w:p>
      <w:pPr>
        <w:pStyle w:val="IntenseQuote"/>
      </w:pPr>
      <w:r>
        <w:t xml:space="preserve">    "classification_method": "llm",</w:t>
      </w:r>
    </w:p>
    <w:p>
      <w:pPr>
        <w:pStyle w:val="IntenseQuote"/>
      </w:pPr>
      <w:r>
        <w:t xml:space="preserve">    "extraction_method": "llm",</w:t>
      </w:r>
    </w:p>
    <w:p>
      <w:pPr>
        <w:pStyle w:val="IntenseQuote"/>
      </w:pPr>
      <w:r>
        <w:t xml:space="preserve">    "medical_method": "llm_assisted"</w:t>
      </w:r>
    </w:p>
    <w:p>
      <w:pPr>
        <w:pStyle w:val="IntenseQuote"/>
      </w:pPr>
      <w:r>
        <w:t xml:space="preserve">  }</w:t>
      </w:r>
    </w:p>
    <w:p>
      <w:pPr>
        <w:pStyle w:val="IntenseQuote"/>
      </w:pPr>
      <w:r>
        <w:t>}</w:t>
      </w:r>
    </w:p>
    <w:p>
      <w:pPr>
        <w:pStyle w:val="Heading1"/>
      </w:pPr>
      <w:r>
        <w:rPr>
          <w:rFonts w:ascii="Aptos" w:hAnsi="Aptos"/>
        </w:rPr>
        <w:t>5. Validation Rules</w:t>
      </w:r>
    </w:p>
    <w:p>
      <w:pPr>
        <w:pStyle w:val="ListBullet"/>
      </w:pPr>
      <w:r>
        <w:t>If use_llm is false, llm_config must be omitted or null.</w:t>
      </w:r>
    </w:p>
    <w:p>
      <w:pPr>
        <w:pStyle w:val="ListBullet"/>
      </w:pPr>
      <w:r>
        <w:t>If use_llm is true, provider, model, and api_key must be present.</w:t>
      </w:r>
    </w:p>
    <w:p>
      <w:pPr>
        <w:pStyle w:val="ListBullet"/>
      </w:pPr>
      <w:r>
        <w:t>The backend must never persist raw provider API keys.</w:t>
      </w:r>
    </w:p>
    <w:p>
      <w:pPr>
        <w:pStyle w:val="ListBullet"/>
      </w:pPr>
      <w:r>
        <w:t>If LLM calls fail, the system should fall back to rule-based extraction or medical-support logic wherever possible.</w:t>
      </w:r>
    </w:p>
    <w:p>
      <w:pPr>
        <w:pStyle w:val="Heading1"/>
      </w:pPr>
      <w:r>
        <w:rPr>
          <w:rFonts w:ascii="Aptos" w:hAnsi="Aptos"/>
        </w:rPr>
        <w:t>6.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fill="DCE6F1"/>
            <w:vAlign w:val="center"/>
          </w:tcPr>
          <w:p>
            <w:r>
              <w:rPr>
                <w:b/>
              </w:rPr>
              <w:t>HTTP Code</w:t>
            </w:r>
          </w:p>
        </w:tc>
        <w:tc>
          <w:tcPr>
            <w:tcW w:type="dxa" w:w="3118"/>
            <w:shd w:fill="DCE6F1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535"/>
            <w:shd w:fill="DCE6F1"/>
            <w:vAlign w:val="center"/>
          </w:tcPr>
          <w:p>
            <w:r>
              <w:rPr>
                <w:b/>
              </w:rPr>
              <w:t>Expected Response</w:t>
            </w:r>
          </w:p>
        </w:tc>
      </w:tr>
      <w:tr>
        <w:tc>
          <w:tcPr>
            <w:tcW w:type="dxa" w:w="1247"/>
            <w:vAlign w:val="center"/>
          </w:tcPr>
          <w:p>
            <w:r>
              <w:t>400</w:t>
            </w:r>
          </w:p>
        </w:tc>
        <w:tc>
          <w:tcPr>
            <w:tcW w:type="dxa" w:w="3118"/>
            <w:vAlign w:val="center"/>
          </w:tcPr>
          <w:p>
            <w:r>
              <w:t>Invalid request or missing runtime fields</w:t>
            </w:r>
          </w:p>
        </w:tc>
        <w:tc>
          <w:tcPr>
            <w:tcW w:type="dxa" w:w="4535"/>
            <w:vAlign w:val="center"/>
          </w:tcPr>
          <w:p>
            <w:r>
              <w:t>Validation error with message</w:t>
            </w:r>
          </w:p>
        </w:tc>
      </w:tr>
      <w:tr>
        <w:tc>
          <w:tcPr>
            <w:tcW w:type="dxa" w:w="1247"/>
            <w:vAlign w:val="center"/>
          </w:tcPr>
          <w:p>
            <w:r>
              <w:t>404</w:t>
            </w:r>
          </w:p>
        </w:tc>
        <w:tc>
          <w:tcPr>
            <w:tcW w:type="dxa" w:w="3118"/>
            <w:vAlign w:val="center"/>
          </w:tcPr>
          <w:p>
            <w:r>
              <w:t>Claim not found</w:t>
            </w:r>
          </w:p>
        </w:tc>
        <w:tc>
          <w:tcPr>
            <w:tcW w:type="dxa" w:w="4535"/>
            <w:vAlign w:val="center"/>
          </w:tcPr>
          <w:p>
            <w:r>
              <w:t>Not found message</w:t>
            </w:r>
          </w:p>
        </w:tc>
      </w:tr>
      <w:tr>
        <w:tc>
          <w:tcPr>
            <w:tcW w:type="dxa" w:w="1247"/>
            <w:vAlign w:val="center"/>
          </w:tcPr>
          <w:p>
            <w:r>
              <w:t>422</w:t>
            </w:r>
          </w:p>
        </w:tc>
        <w:tc>
          <w:tcPr>
            <w:tcW w:type="dxa" w:w="3118"/>
            <w:vAlign w:val="center"/>
          </w:tcPr>
          <w:p>
            <w:r>
              <w:t>Schema mismatch in payload</w:t>
            </w:r>
          </w:p>
        </w:tc>
        <w:tc>
          <w:tcPr>
            <w:tcW w:type="dxa" w:w="4535"/>
            <w:vAlign w:val="center"/>
          </w:tcPr>
          <w:p>
            <w:r>
              <w:t>Pydantic validation detail</w:t>
            </w:r>
          </w:p>
        </w:tc>
      </w:tr>
      <w:tr>
        <w:tc>
          <w:tcPr>
            <w:tcW w:type="dxa" w:w="1247"/>
            <w:vAlign w:val="center"/>
          </w:tcPr>
          <w:p>
            <w:r>
              <w:t>500</w:t>
            </w:r>
          </w:p>
        </w:tc>
        <w:tc>
          <w:tcPr>
            <w:tcW w:type="dxa" w:w="3118"/>
            <w:vAlign w:val="center"/>
          </w:tcPr>
          <w:p>
            <w:r>
              <w:t>Unexpected processing failure</w:t>
            </w:r>
          </w:p>
        </w:tc>
        <w:tc>
          <w:tcPr>
            <w:tcW w:type="dxa" w:w="4535"/>
            <w:vAlign w:val="center"/>
          </w:tcPr>
          <w:p>
            <w:r>
              <w:t>Internal error without leaking secrets</w:t>
            </w:r>
          </w:p>
        </w:tc>
      </w:tr>
    </w:tbl>
    <w:p/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