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3A5F"/>
          <w:sz w:val="40"/>
        </w:rPr>
        <w:t>Architecture Documentation</w:t>
      </w:r>
    </w:p>
    <w:p>
      <w:pPr>
        <w:jc w:val="center"/>
      </w:pPr>
      <w:r>
        <w:rPr>
          <w:i/>
          <w:sz w:val="20"/>
        </w:rPr>
        <w:t>AI-Assisted OPD Claims Adjudication System</w:t>
      </w:r>
    </w:p>
    <w:p/>
    <w:p>
      <w:r>
        <w:t>This document describes the target system architecture for the assignment solution. The design keeps document understanding flexible while making policy enforcement deterministic and auditable.</w:t>
      </w:r>
    </w:p>
    <w:p>
      <w:pPr>
        <w:pStyle w:val="Heading1"/>
      </w:pPr>
      <w:r>
        <w:rPr>
          <w:rFonts w:ascii="Aptos" w:hAnsi="Aptos"/>
        </w:rPr>
        <w:t>1. Architecture Overview</w:t>
      </w:r>
    </w:p>
    <w:p>
      <w:r>
        <w:t>The platform is designed as a two-layer decision system. The first layer handles messy, real-world medical documents using OCR and optional LLM assistance. The second layer applies deterministic policy rules for final adjudication.</w:t>
      </w:r>
    </w:p>
    <w:p>
      <w:r>
        <w:drawing>
          <wp:inline xmlns:a="http://schemas.openxmlformats.org/drawingml/2006/main" xmlns:pic="http://schemas.openxmlformats.org/drawingml/2006/picture">
            <wp:extent cx="6126480" cy="3743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High-level architecture and system boundaries.</w:t>
      </w:r>
    </w:p>
    <w:p>
      <w:pPr>
        <w:pStyle w:val="Heading1"/>
      </w:pPr>
      <w:r>
        <w:rPr>
          <w:rFonts w:ascii="Aptos" w:hAnsi="Aptos"/>
        </w:rPr>
        <w:t>2.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DCE6F1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969"/>
            <w:shd w:fill="DCE6F1"/>
            <w:vAlign w:val="center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35"/>
            <w:shd w:fill="DCE6F1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268"/>
            <w:vAlign w:val="center"/>
          </w:tcPr>
          <w:p>
            <w:r>
              <w:t>Frontend (Next.js)</w:t>
            </w:r>
          </w:p>
        </w:tc>
        <w:tc>
          <w:tcPr>
            <w:tcW w:type="dxa" w:w="3969"/>
            <w:vAlign w:val="center"/>
          </w:tcPr>
          <w:p>
            <w:r>
              <w:t>Claim intake, file upload, mode selection, result view</w:t>
            </w:r>
          </w:p>
        </w:tc>
        <w:tc>
          <w:tcPr>
            <w:tcW w:type="dxa" w:w="2835"/>
            <w:vAlign w:val="center"/>
          </w:tcPr>
          <w:p>
            <w:r>
              <w:t>Supports rule-based and LLM-assisted processing modes</w:t>
            </w:r>
          </w:p>
        </w:tc>
      </w:tr>
      <w:tr>
        <w:tc>
          <w:tcPr>
            <w:tcW w:type="dxa" w:w="2268"/>
            <w:vAlign w:val="center"/>
          </w:tcPr>
          <w:p>
            <w:r>
              <w:t>Backend API (FastAPI)</w:t>
            </w:r>
          </w:p>
        </w:tc>
        <w:tc>
          <w:tcPr>
            <w:tcW w:type="dxa" w:w="3969"/>
            <w:vAlign w:val="center"/>
          </w:tcPr>
          <w:p>
            <w:r>
              <w:t>Workflow orchestration, validation, response generation</w:t>
            </w:r>
          </w:p>
        </w:tc>
        <w:tc>
          <w:tcPr>
            <w:tcW w:type="dxa" w:w="2835"/>
            <w:vAlign w:val="center"/>
          </w:tcPr>
          <w:p>
            <w:r>
              <w:t>Single entry point for the processing pipeline</w:t>
            </w:r>
          </w:p>
        </w:tc>
      </w:tr>
      <w:tr>
        <w:tc>
          <w:tcPr>
            <w:tcW w:type="dxa" w:w="2268"/>
            <w:vAlign w:val="center"/>
          </w:tcPr>
          <w:p>
            <w:r>
              <w:t>OCR Service</w:t>
            </w:r>
          </w:p>
        </w:tc>
        <w:tc>
          <w:tcPr>
            <w:tcW w:type="dxa" w:w="3969"/>
            <w:vAlign w:val="center"/>
          </w:tcPr>
          <w:p>
            <w:r>
              <w:t>Extract text from uploaded PDFs/images</w:t>
            </w:r>
          </w:p>
        </w:tc>
        <w:tc>
          <w:tcPr>
            <w:tcW w:type="dxa" w:w="2835"/>
            <w:vAlign w:val="center"/>
          </w:tcPr>
          <w:p>
            <w:r>
              <w:t>Used in both modes</w:t>
            </w:r>
          </w:p>
        </w:tc>
      </w:tr>
      <w:tr>
        <w:tc>
          <w:tcPr>
            <w:tcW w:type="dxa" w:w="2268"/>
            <w:vAlign w:val="center"/>
          </w:tcPr>
          <w:p>
            <w:r>
              <w:t>Extraction Service</w:t>
            </w:r>
          </w:p>
        </w:tc>
        <w:tc>
          <w:tcPr>
            <w:tcW w:type="dxa" w:w="3969"/>
            <w:vAlign w:val="center"/>
          </w:tcPr>
          <w:p>
            <w:r>
              <w:t>Create structured fields from OCR text</w:t>
            </w:r>
          </w:p>
        </w:tc>
        <w:tc>
          <w:tcPr>
            <w:tcW w:type="dxa" w:w="2835"/>
            <w:vAlign w:val="center"/>
          </w:tcPr>
          <w:p>
            <w:r>
              <w:t>Rule-based heuristics or LLM structured extraction</w:t>
            </w:r>
          </w:p>
        </w:tc>
      </w:tr>
      <w:tr>
        <w:tc>
          <w:tcPr>
            <w:tcW w:type="dxa" w:w="2268"/>
            <w:vAlign w:val="center"/>
          </w:tcPr>
          <w:p>
            <w:r>
              <w:t>Normalization Service</w:t>
            </w:r>
          </w:p>
        </w:tc>
        <w:tc>
          <w:tcPr>
            <w:tcW w:type="dxa" w:w="3969"/>
            <w:vAlign w:val="center"/>
          </w:tcPr>
          <w:p>
            <w:r>
              <w:t>Map text to canonical categories</w:t>
            </w:r>
          </w:p>
        </w:tc>
        <w:tc>
          <w:tcPr>
            <w:tcW w:type="dxa" w:w="2835"/>
            <w:vAlign w:val="center"/>
          </w:tcPr>
          <w:p>
            <w:r>
              <w:t>Deterministic first, LLM fallback only when enabled</w:t>
            </w:r>
          </w:p>
        </w:tc>
      </w:tr>
      <w:tr>
        <w:tc>
          <w:tcPr>
            <w:tcW w:type="dxa" w:w="2268"/>
            <w:vAlign w:val="center"/>
          </w:tcPr>
          <w:p>
            <w:r>
              <w:t>Rule Engine</w:t>
            </w:r>
          </w:p>
        </w:tc>
        <w:tc>
          <w:tcPr>
            <w:tcW w:type="dxa" w:w="3969"/>
            <w:vAlign w:val="center"/>
          </w:tcPr>
          <w:p>
            <w:r>
              <w:t>Eligibility, coverage, limits, payout logic</w:t>
            </w:r>
          </w:p>
        </w:tc>
        <w:tc>
          <w:tcPr>
            <w:tcW w:type="dxa" w:w="2835"/>
            <w:vAlign w:val="center"/>
          </w:tcPr>
          <w:p>
            <w:r>
              <w:t>Source of truth for the final decision</w:t>
            </w:r>
          </w:p>
        </w:tc>
      </w:tr>
      <w:tr>
        <w:tc>
          <w:tcPr>
            <w:tcW w:type="dxa" w:w="2268"/>
            <w:vAlign w:val="center"/>
          </w:tcPr>
          <w:p>
            <w:r>
              <w:t>Confidence Service</w:t>
            </w:r>
          </w:p>
        </w:tc>
        <w:tc>
          <w:tcPr>
            <w:tcW w:type="dxa" w:w="3969"/>
            <w:vAlign w:val="center"/>
          </w:tcPr>
          <w:p>
            <w:r>
              <w:t>Quantify certainty and review routing</w:t>
            </w:r>
          </w:p>
        </w:tc>
        <w:tc>
          <w:tcPr>
            <w:tcW w:type="dxa" w:w="2835"/>
            <w:vAlign w:val="center"/>
          </w:tcPr>
          <w:p>
            <w:r>
              <w:t>Consumes OCR, extraction, consistency, rule, and medical signals</w:t>
            </w:r>
          </w:p>
        </w:tc>
      </w:tr>
      <w:tr>
        <w:tc>
          <w:tcPr>
            <w:tcW w:type="dxa" w:w="2268"/>
            <w:vAlign w:val="center"/>
          </w:tcPr>
          <w:p>
            <w:r>
              <w:t>Database (Supabase Postgres)</w:t>
            </w:r>
          </w:p>
        </w:tc>
        <w:tc>
          <w:tcPr>
            <w:tcW w:type="dxa" w:w="3969"/>
            <w:vAlign w:val="center"/>
          </w:tcPr>
          <w:p>
            <w:r>
              <w:t>Persist claims, documents, extractions, decisions, audit trail</w:t>
            </w:r>
          </w:p>
        </w:tc>
        <w:tc>
          <w:tcPr>
            <w:tcW w:type="dxa" w:w="2835"/>
            <w:vAlign w:val="center"/>
          </w:tcPr>
          <w:p>
            <w:r>
              <w:t>Cloud-ready and deployment-friendly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3. Processing Modes</w:t>
      </w:r>
    </w:p>
    <w:p>
      <w:pPr>
        <w:pStyle w:val="ListBullet"/>
      </w:pPr>
      <w:r>
        <w:t>Rule-based mode: classification, extraction, normalization, and medical-support logic rely on heuristics and lookup rules only.</w:t>
      </w:r>
    </w:p>
    <w:p>
      <w:pPr>
        <w:pStyle w:val="ListBullet"/>
      </w:pPr>
      <w:r>
        <w:t>LLM-assisted mode: the system may use OpenAI or Groq for classification fallback, structured extraction, semantic normalization fallback, and medical-alignment support.</w:t>
      </w:r>
    </w:p>
    <w:p>
      <w:pPr>
        <w:pStyle w:val="ListBullet"/>
      </w:pPr>
      <w:r>
        <w:t>In both modes, the final adjudication remains deterministic and is calculated by code.</w:t>
      </w:r>
    </w:p>
    <w:p>
      <w:pPr>
        <w:pStyle w:val="Heading1"/>
      </w:pPr>
      <w:r>
        <w:rPr>
          <w:rFonts w:ascii="Aptos" w:hAnsi="Aptos"/>
        </w:rPr>
        <w:t>4. Data Flow</w:t>
      </w:r>
    </w:p>
    <w:p>
      <w:pPr>
        <w:pStyle w:val="ListBullet"/>
      </w:pPr>
      <w:r>
        <w:t>Receive claim metadata, uploaded files, and runtime processing mode.</w:t>
      </w:r>
    </w:p>
    <w:p>
      <w:pPr>
        <w:pStyle w:val="ListBullet"/>
      </w:pPr>
      <w:r>
        <w:t>Perform OCR and detect document types.</w:t>
      </w:r>
    </w:p>
    <w:p>
      <w:pPr>
        <w:pStyle w:val="ListBullet"/>
      </w:pPr>
      <w:r>
        <w:t>Extract structured fields such as diagnosis, doctor registration number, dates, medicines, tests, and bill amounts.</w:t>
      </w:r>
    </w:p>
    <w:p>
      <w:pPr>
        <w:pStyle w:val="ListBullet"/>
      </w:pPr>
      <w:r>
        <w:t>Normalize extracted fields into canonical policy categories.</w:t>
      </w:r>
    </w:p>
    <w:p>
      <w:pPr>
        <w:pStyle w:val="ListBullet"/>
      </w:pPr>
      <w:r>
        <w:t>Evaluate consistency across documents and compute supporting confidence signals.</w:t>
      </w:r>
    </w:p>
    <w:p>
      <w:pPr>
        <w:pStyle w:val="ListBullet"/>
      </w:pPr>
      <w:r>
        <w:t>Apply deterministic policy logic for eligibility, coverage, limits, exclusions, fraud checks, and outcome generation.</w:t>
      </w:r>
    </w:p>
    <w:p>
      <w:pPr>
        <w:pStyle w:val="ListBullet"/>
      </w:pPr>
      <w:r>
        <w:t>Persist decisions, deductions, flags, and audit metadata.</w:t>
      </w:r>
    </w:p>
    <w:p>
      <w:pPr>
        <w:pStyle w:val="Heading1"/>
      </w:pPr>
      <w:r>
        <w:rPr>
          <w:rFonts w:ascii="Aptos" w:hAnsi="Aptos"/>
        </w:rPr>
        <w:t>5. Recommended Deployment Topology</w:t>
      </w:r>
    </w:p>
    <w:p>
      <w:r>
        <w:t>The recommended deployment is a separated web stack: the frontend on Vercel, the backend on Render or Railway, and Supabase as the managed Postgres layer. Session-only API keys are passed at runtime when LLM mode is enabled and are never stored in the database.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