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F3A5F"/>
          <w:sz w:val="40"/>
        </w:rPr>
        <w:t>Assumptions Made</w:t>
      </w:r>
    </w:p>
    <w:p>
      <w:pPr>
        <w:jc w:val="center"/>
      </w:pPr>
      <w:r>
        <w:rPr>
          <w:i/>
          <w:sz w:val="20"/>
        </w:rPr>
        <w:t>Assignment Interpretation and Implementation Choices</w:t>
      </w:r>
    </w:p>
    <w:p/>
    <w:p>
      <w:r>
        <w:t>This document records the assumptions used to convert the assignment materials into a working implementation plan.</w:t>
      </w:r>
    </w:p>
    <w:p>
      <w:pPr>
        <w:pStyle w:val="Heading1"/>
      </w:pPr>
      <w:r>
        <w:rPr>
          <w:rFonts w:ascii="Aptos" w:hAnsi="Aptos"/>
        </w:rPr>
        <w:t>1. Policy Interpretation Assumptions</w:t>
      </w:r>
    </w:p>
    <w:p>
      <w:pPr>
        <w:pStyle w:val="ListBullet"/>
      </w:pPr>
      <w:r>
        <w:t>Specific ailment waiting periods override the general pre-existing disease waiting period when both are present.</w:t>
      </w:r>
    </w:p>
    <w:p>
      <w:pPr>
        <w:pStyle w:val="ListBullet"/>
      </w:pPr>
      <w:r>
        <w:t>Per-claim limit is treated as a hard rejection because the provided test-case behavior expects rejection instead of capped payment.</w:t>
      </w:r>
    </w:p>
    <w:p>
      <w:pPr>
        <w:pStyle w:val="ListBullet"/>
      </w:pPr>
      <w:r>
        <w:t>MRI and CT scan pre-authorization requirements are modeled through derived rules when explicitly implied by test-case behavior.</w:t>
      </w:r>
    </w:p>
    <w:p>
      <w:pPr>
        <w:pStyle w:val="ListBullet"/>
      </w:pPr>
      <w:r>
        <w:t>Network hospital discount is applied before the final payable amount is returned.</w:t>
      </w:r>
    </w:p>
    <w:p>
      <w:pPr>
        <w:pStyle w:val="Heading1"/>
      </w:pPr>
      <w:r>
        <w:rPr>
          <w:rFonts w:ascii="Aptos" w:hAnsi="Aptos"/>
        </w:rPr>
        <w:t>2. Document and Extraction Assumptions</w:t>
      </w:r>
    </w:p>
    <w:p>
      <w:pPr>
        <w:pStyle w:val="ListBullet"/>
      </w:pPr>
      <w:r>
        <w:t>Uploaded files may be PDFs, images, or office documents and may vary significantly in OCR quality.</w:t>
      </w:r>
    </w:p>
    <w:p>
      <w:pPr>
        <w:pStyle w:val="ListBullet"/>
      </w:pPr>
      <w:r>
        <w:t>If LLM mode is disabled, deterministic extraction heuristics must still produce a workable claim context for common document patterns.</w:t>
      </w:r>
    </w:p>
    <w:p>
      <w:pPr>
        <w:pStyle w:val="ListBullet"/>
      </w:pPr>
      <w:r>
        <w:t>Document classification is rule-based first and uses LLM only as fallback when enabled and when deterministic classification is weak.</w:t>
      </w:r>
    </w:p>
    <w:p>
      <w:pPr>
        <w:pStyle w:val="ListBullet"/>
      </w:pPr>
      <w:r>
        <w:t>Small OCR or spelling variations in patient name and provider name are tolerated through similarity thresholds.</w:t>
      </w:r>
    </w:p>
    <w:p>
      <w:pPr>
        <w:pStyle w:val="Heading1"/>
      </w:pPr>
      <w:r>
        <w:rPr>
          <w:rFonts w:ascii="Aptos" w:hAnsi="Aptos"/>
        </w:rPr>
        <w:t>3. System Behavior Assumptions</w:t>
      </w:r>
    </w:p>
    <w:p>
      <w:pPr>
        <w:pStyle w:val="ListBullet"/>
      </w:pPr>
      <w:r>
        <w:t>API keys for LLM providers are session-only and are never persisted.</w:t>
      </w:r>
    </w:p>
    <w:p>
      <w:pPr>
        <w:pStyle w:val="ListBullet"/>
      </w:pPr>
      <w:r>
        <w:t>LLM provider failure should not crash the full adjudication flow when rule-based fallback remains possible.</w:t>
      </w:r>
    </w:p>
    <w:p>
      <w:pPr>
        <w:pStyle w:val="ListBullet"/>
      </w:pPr>
      <w:r>
        <w:t>Confidence score is used to decide whether automated processing is safe, but not to replace policy logic.</w:t>
      </w:r>
    </w:p>
    <w:p>
      <w:pPr>
        <w:pStyle w:val="ListBullet"/>
      </w:pPr>
      <w:r>
        <w:t>Manual review is the preferred outcome when evidence is incomplete, contradictory, or fraud-like.</w:t>
      </w:r>
    </w:p>
    <w:p>
      <w:pPr>
        <w:pStyle w:val="Heading1"/>
      </w:pPr>
      <w:r>
        <w:rPr>
          <w:rFonts w:ascii="Aptos" w:hAnsi="Aptos"/>
        </w:rPr>
        <w:t>4. Deployment Assumptions</w:t>
      </w:r>
    </w:p>
    <w:p>
      <w:pPr>
        <w:pStyle w:val="ListBullet"/>
      </w:pPr>
      <w:r>
        <w:t>Supabase Postgres is used as the cloud database layer for deployment readiness.</w:t>
      </w:r>
    </w:p>
    <w:p>
      <w:pPr>
        <w:pStyle w:val="ListBullet"/>
      </w:pPr>
      <w:r>
        <w:t>Frontend and backend are deployed as separate services and communicate via API.</w:t>
      </w:r>
    </w:p>
    <w:p>
      <w:pPr>
        <w:pStyle w:val="ListBullet"/>
      </w:pPr>
      <w:r>
        <w:t>The Assignment folder in the repository remains untouched and acts as the reference source, while implementation folders live at repo root.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