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3A5F"/>
          <w:sz w:val="40"/>
        </w:rPr>
        <w:t>Decision Logic Flow</w:t>
      </w:r>
    </w:p>
    <w:p>
      <w:pPr>
        <w:jc w:val="center"/>
      </w:pPr>
      <w:r>
        <w:rPr>
          <w:i/>
          <w:sz w:val="20"/>
        </w:rPr>
        <w:t>Deterministic Adjudication Sequence</w:t>
      </w:r>
    </w:p>
    <w:p/>
    <w:p>
      <w:r>
        <w:t>This document explains the decision path used by the claims adjudication engine. The final outcome is always produced by deterministic policy rules, even when LLM assistance is enabled.</w:t>
      </w:r>
    </w:p>
    <w:p>
      <w:r>
        <w:drawing>
          <wp:inline xmlns:a="http://schemas.openxmlformats.org/drawingml/2006/main" xmlns:pic="http://schemas.openxmlformats.org/drawingml/2006/picture">
            <wp:extent cx="5303520" cy="7197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logic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9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Decision logic flowchart.</w:t>
      </w:r>
    </w:p>
    <w:p>
      <w:pPr>
        <w:pStyle w:val="Heading1"/>
      </w:pPr>
      <w:r>
        <w:rPr>
          <w:rFonts w:ascii="Aptos" w:hAnsi="Aptos"/>
        </w:rPr>
        <w:t>1. Ordered Decision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80"/>
            <w:shd w:fill="DCE6F1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5329"/>
            <w:shd w:fill="DCE6F1"/>
            <w:vAlign w:val="center"/>
          </w:tcPr>
          <w:p>
            <w:r>
              <w:rPr>
                <w:b/>
              </w:rPr>
              <w:t>Decision Question</w:t>
            </w:r>
          </w:p>
        </w:tc>
        <w:tc>
          <w:tcPr>
            <w:tcW w:type="dxa" w:w="2835"/>
            <w:shd w:fill="DCE6F1"/>
            <w:vAlign w:val="center"/>
          </w:tcPr>
          <w:p>
            <w:r>
              <w:rPr>
                <w:b/>
              </w:rPr>
              <w:t>Possible Outcome</w:t>
            </w:r>
          </w:p>
        </w:tc>
      </w:tr>
      <w:tr>
        <w:tc>
          <w:tcPr>
            <w:tcW w:type="dxa" w:w="680"/>
            <w:vAlign w:val="center"/>
          </w:tcPr>
          <w:p>
            <w:r>
              <w:t>1</w:t>
            </w:r>
          </w:p>
        </w:tc>
        <w:tc>
          <w:tcPr>
            <w:tcW w:type="dxa" w:w="5329"/>
            <w:vAlign w:val="center"/>
          </w:tcPr>
          <w:p>
            <w:r>
              <w:t>Is the claim payload complete enough to begin processing?</w:t>
            </w:r>
          </w:p>
        </w:tc>
        <w:tc>
          <w:tcPr>
            <w:tcW w:type="dxa" w:w="2835"/>
            <w:vAlign w:val="center"/>
          </w:tcPr>
          <w:p>
            <w:r>
              <w:t>Continue or reject for invalid input</w:t>
            </w:r>
          </w:p>
        </w:tc>
      </w:tr>
      <w:tr>
        <w:tc>
          <w:tcPr>
            <w:tcW w:type="dxa" w:w="680"/>
            <w:vAlign w:val="center"/>
          </w:tcPr>
          <w:p>
            <w:r>
              <w:t>2</w:t>
            </w:r>
          </w:p>
        </w:tc>
        <w:tc>
          <w:tcPr>
            <w:tcW w:type="dxa" w:w="5329"/>
            <w:vAlign w:val="center"/>
          </w:tcPr>
          <w:p>
            <w:r>
              <w:t>Are OCR, classification, and extraction sufficient to build claim context?</w:t>
            </w:r>
          </w:p>
        </w:tc>
        <w:tc>
          <w:tcPr>
            <w:tcW w:type="dxa" w:w="2835"/>
            <w:vAlign w:val="center"/>
          </w:tcPr>
          <w:p>
            <w:r>
              <w:t>Continue or manual review</w:t>
            </w:r>
          </w:p>
        </w:tc>
      </w:tr>
      <w:tr>
        <w:tc>
          <w:tcPr>
            <w:tcW w:type="dxa" w:w="680"/>
            <w:vAlign w:val="center"/>
          </w:tcPr>
          <w:p>
            <w:r>
              <w:t>3</w:t>
            </w:r>
          </w:p>
        </w:tc>
        <w:tc>
          <w:tcPr>
            <w:tcW w:type="dxa" w:w="5329"/>
            <w:vAlign w:val="center"/>
          </w:tcPr>
          <w:p>
            <w:r>
              <w:t>Is the policy active and the member covered?</w:t>
            </w:r>
          </w:p>
        </w:tc>
        <w:tc>
          <w:tcPr>
            <w:tcW w:type="dxa" w:w="2835"/>
            <w:vAlign w:val="center"/>
          </w:tcPr>
          <w:p>
            <w:r>
              <w:t>Continue or reject</w:t>
            </w:r>
          </w:p>
        </w:tc>
      </w:tr>
      <w:tr>
        <w:tc>
          <w:tcPr>
            <w:tcW w:type="dxa" w:w="680"/>
            <w:vAlign w:val="center"/>
          </w:tcPr>
          <w:p>
            <w:r>
              <w:t>4</w:t>
            </w:r>
          </w:p>
        </w:tc>
        <w:tc>
          <w:tcPr>
            <w:tcW w:type="dxa" w:w="5329"/>
            <w:vAlign w:val="center"/>
          </w:tcPr>
          <w:p>
            <w:r>
              <w:t>Has the waiting period been satisfied?</w:t>
            </w:r>
          </w:p>
        </w:tc>
        <w:tc>
          <w:tcPr>
            <w:tcW w:type="dxa" w:w="2835"/>
            <w:vAlign w:val="center"/>
          </w:tcPr>
          <w:p>
            <w:r>
              <w:t>Continue or reject</w:t>
            </w:r>
          </w:p>
        </w:tc>
      </w:tr>
      <w:tr>
        <w:tc>
          <w:tcPr>
            <w:tcW w:type="dxa" w:w="680"/>
            <w:vAlign w:val="center"/>
          </w:tcPr>
          <w:p>
            <w:r>
              <w:t>5</w:t>
            </w:r>
          </w:p>
        </w:tc>
        <w:tc>
          <w:tcPr>
            <w:tcW w:type="dxa" w:w="5329"/>
            <w:vAlign w:val="center"/>
          </w:tcPr>
          <w:p>
            <w:r>
              <w:t>Are required documents present and internally consistent?</w:t>
            </w:r>
          </w:p>
        </w:tc>
        <w:tc>
          <w:tcPr>
            <w:tcW w:type="dxa" w:w="2835"/>
            <w:vAlign w:val="center"/>
          </w:tcPr>
          <w:p>
            <w:r>
              <w:t>Continue, reject, or manual review</w:t>
            </w:r>
          </w:p>
        </w:tc>
      </w:tr>
      <w:tr>
        <w:tc>
          <w:tcPr>
            <w:tcW w:type="dxa" w:w="680"/>
            <w:vAlign w:val="center"/>
          </w:tcPr>
          <w:p>
            <w:r>
              <w:t>6</w:t>
            </w:r>
          </w:p>
        </w:tc>
        <w:tc>
          <w:tcPr>
            <w:tcW w:type="dxa" w:w="5329"/>
            <w:vAlign w:val="center"/>
          </w:tcPr>
          <w:p>
            <w:r>
              <w:t>Is the service covered and not excluded?</w:t>
            </w:r>
          </w:p>
        </w:tc>
        <w:tc>
          <w:tcPr>
            <w:tcW w:type="dxa" w:w="2835"/>
            <w:vAlign w:val="center"/>
          </w:tcPr>
          <w:p>
            <w:r>
              <w:t>Continue or reject</w:t>
            </w:r>
          </w:p>
        </w:tc>
      </w:tr>
      <w:tr>
        <w:tc>
          <w:tcPr>
            <w:tcW w:type="dxa" w:w="680"/>
            <w:vAlign w:val="center"/>
          </w:tcPr>
          <w:p>
            <w:r>
              <w:t>7</w:t>
            </w:r>
          </w:p>
        </w:tc>
        <w:tc>
          <w:tcPr>
            <w:tcW w:type="dxa" w:w="5329"/>
            <w:vAlign w:val="center"/>
          </w:tcPr>
          <w:p>
            <w:r>
              <w:t>Are pre-auth and process conditions met?</w:t>
            </w:r>
          </w:p>
        </w:tc>
        <w:tc>
          <w:tcPr>
            <w:tcW w:type="dxa" w:w="2835"/>
            <w:vAlign w:val="center"/>
          </w:tcPr>
          <w:p>
            <w:r>
              <w:t>Continue or reject</w:t>
            </w:r>
          </w:p>
        </w:tc>
      </w:tr>
      <w:tr>
        <w:tc>
          <w:tcPr>
            <w:tcW w:type="dxa" w:w="680"/>
            <w:vAlign w:val="center"/>
          </w:tcPr>
          <w:p>
            <w:r>
              <w:t>8</w:t>
            </w:r>
          </w:p>
        </w:tc>
        <w:tc>
          <w:tcPr>
            <w:tcW w:type="dxa" w:w="5329"/>
            <w:vAlign w:val="center"/>
          </w:tcPr>
          <w:p>
            <w:r>
              <w:t>Do minimum amount, per-claim limit, sub-limits, co-pay, and discounts apply?</w:t>
            </w:r>
          </w:p>
        </w:tc>
        <w:tc>
          <w:tcPr>
            <w:tcW w:type="dxa" w:w="2835"/>
            <w:vAlign w:val="center"/>
          </w:tcPr>
          <w:p>
            <w:r>
              <w:t>Continue, reject, or partial</w:t>
            </w:r>
          </w:p>
        </w:tc>
      </w:tr>
      <w:tr>
        <w:tc>
          <w:tcPr>
            <w:tcW w:type="dxa" w:w="680"/>
            <w:vAlign w:val="center"/>
          </w:tcPr>
          <w:p>
            <w:r>
              <w:t>9</w:t>
            </w:r>
          </w:p>
        </w:tc>
        <w:tc>
          <w:tcPr>
            <w:tcW w:type="dxa" w:w="5329"/>
            <w:vAlign w:val="center"/>
          </w:tcPr>
          <w:p>
            <w:r>
              <w:t>Does diagnosis support the treatment, tests, or medicines?</w:t>
            </w:r>
          </w:p>
        </w:tc>
        <w:tc>
          <w:tcPr>
            <w:tcW w:type="dxa" w:w="2835"/>
            <w:vAlign w:val="center"/>
          </w:tcPr>
          <w:p>
            <w:r>
              <w:t>Continue, reject, or manual review</w:t>
            </w:r>
          </w:p>
        </w:tc>
      </w:tr>
      <w:tr>
        <w:tc>
          <w:tcPr>
            <w:tcW w:type="dxa" w:w="680"/>
            <w:vAlign w:val="center"/>
          </w:tcPr>
          <w:p>
            <w:r>
              <w:t>10</w:t>
            </w:r>
          </w:p>
        </w:tc>
        <w:tc>
          <w:tcPr>
            <w:tcW w:type="dxa" w:w="5329"/>
            <w:vAlign w:val="center"/>
          </w:tcPr>
          <w:p>
            <w:r>
              <w:t>Do fraud or anomaly checks require escalation?</w:t>
            </w:r>
          </w:p>
        </w:tc>
        <w:tc>
          <w:tcPr>
            <w:tcW w:type="dxa" w:w="2835"/>
            <w:vAlign w:val="center"/>
          </w:tcPr>
          <w:p>
            <w:r>
              <w:t>Continue or manual review</w:t>
            </w:r>
          </w:p>
        </w:tc>
      </w:tr>
      <w:tr>
        <w:tc>
          <w:tcPr>
            <w:tcW w:type="dxa" w:w="680"/>
            <w:vAlign w:val="center"/>
          </w:tcPr>
          <w:p>
            <w:r>
              <w:t>11</w:t>
            </w:r>
          </w:p>
        </w:tc>
        <w:tc>
          <w:tcPr>
            <w:tcW w:type="dxa" w:w="5329"/>
            <w:vAlign w:val="center"/>
          </w:tcPr>
          <w:p>
            <w:r>
              <w:t>What is the final decision state?</w:t>
            </w:r>
          </w:p>
        </w:tc>
        <w:tc>
          <w:tcPr>
            <w:tcW w:type="dxa" w:w="2835"/>
            <w:vAlign w:val="center"/>
          </w:tcPr>
          <w:p>
            <w:r>
              <w:t>APPROVED, PARTIAL, REJECTED, or MANUAL_REVIEW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2. Decision Principles</w:t>
      </w:r>
    </w:p>
    <w:p>
      <w:pPr>
        <w:pStyle w:val="ListBullet"/>
      </w:pPr>
      <w:r>
        <w:t>Hard policy rules override soft semantic interpretation.</w:t>
      </w:r>
    </w:p>
    <w:p>
      <w:pPr>
        <w:pStyle w:val="ListBullet"/>
      </w:pPr>
      <w:r>
        <w:t>LLM outputs may inform extraction, normalization, and medical-alignment support, but they cannot override coverage or payout logic.</w:t>
      </w:r>
    </w:p>
    <w:p>
      <w:pPr>
        <w:pStyle w:val="ListBullet"/>
      </w:pPr>
      <w:r>
        <w:t>Manual review is preferred when the system is uncertain, contradictory, or suspicious rather than forcing an unsafe automated decision.</w:t>
      </w:r>
    </w:p>
    <w:p>
      <w:pPr>
        <w:pStyle w:val="ListBullet"/>
      </w:pPr>
      <w:r>
        <w:t>Confidence score affects automation routing, not the underlying policy truth.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