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2" w:right="0" w:firstLine="0"/>
        <w:rPr>
          <w:sz w:val="20"/>
        </w:rPr>
      </w:pPr>
      <w:r>
        <w:rPr>
          <w:sz w:val="20"/>
        </w:rPr>
        <w:drawing>
          <wp:inline distT="0" distB="0" distL="0" distR="0">
            <wp:extent cx="5385265" cy="73199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85265" cy="731996"/>
                    </a:xfrm>
                    <a:prstGeom prst="rect">
                      <a:avLst/>
                    </a:prstGeom>
                  </pic:spPr>
                </pic:pic>
              </a:graphicData>
            </a:graphic>
          </wp:inline>
        </w:drawing>
      </w:r>
      <w:r>
        <w:rPr>
          <w:sz w:val="20"/>
        </w:rPr>
      </w:r>
    </w:p>
    <w:p>
      <w:pPr>
        <w:pStyle w:val="Title"/>
      </w:pPr>
      <w:r>
        <w:rPr/>
        <w:t>SUMMER</w:t>
      </w:r>
      <w:r>
        <w:rPr>
          <w:spacing w:val="-18"/>
        </w:rPr>
        <w:t> </w:t>
      </w:r>
      <w:r>
        <w:rPr/>
        <w:t>INTERNSHIP</w:t>
      </w:r>
      <w:r>
        <w:rPr>
          <w:spacing w:val="-14"/>
        </w:rPr>
        <w:t> </w:t>
      </w:r>
      <w:r>
        <w:rPr/>
        <w:t>PROJECT</w:t>
      </w:r>
      <w:r>
        <w:rPr>
          <w:spacing w:val="-16"/>
        </w:rPr>
        <w:t> </w:t>
      </w:r>
      <w:r>
        <w:rPr>
          <w:spacing w:val="-4"/>
        </w:rPr>
        <w:t>PAPER</w:t>
      </w:r>
    </w:p>
    <w:p>
      <w:pPr>
        <w:spacing w:line="254" w:lineRule="auto" w:before="225"/>
        <w:ind w:left="22" w:right="1469" w:firstLine="0"/>
        <w:jc w:val="center"/>
        <w:rPr>
          <w:b/>
          <w:sz w:val="26"/>
        </w:rPr>
      </w:pPr>
      <w:r>
        <w:rPr>
          <w:b/>
          <w:sz w:val="26"/>
        </w:rPr>
        <w:t>A</w:t>
      </w:r>
      <w:r>
        <w:rPr>
          <w:b/>
          <w:spacing w:val="-4"/>
          <w:sz w:val="26"/>
        </w:rPr>
        <w:t> </w:t>
      </w:r>
      <w:r>
        <w:rPr>
          <w:b/>
          <w:sz w:val="26"/>
        </w:rPr>
        <w:t>Study on</w:t>
      </w:r>
      <w:r>
        <w:rPr>
          <w:b/>
          <w:spacing w:val="-9"/>
          <w:sz w:val="26"/>
        </w:rPr>
        <w:t> </w:t>
      </w:r>
      <w:r>
        <w:rPr>
          <w:b/>
          <w:sz w:val="26"/>
        </w:rPr>
        <w:t>the</w:t>
      </w:r>
      <w:r>
        <w:rPr>
          <w:b/>
          <w:spacing w:val="-4"/>
          <w:sz w:val="26"/>
        </w:rPr>
        <w:t> </w:t>
      </w:r>
      <w:r>
        <w:rPr>
          <w:b/>
          <w:sz w:val="26"/>
        </w:rPr>
        <w:t>Performance</w:t>
      </w:r>
      <w:r>
        <w:rPr>
          <w:b/>
          <w:spacing w:val="-4"/>
          <w:sz w:val="26"/>
        </w:rPr>
        <w:t> </w:t>
      </w:r>
      <w:r>
        <w:rPr>
          <w:b/>
          <w:sz w:val="26"/>
        </w:rPr>
        <w:t>of</w:t>
      </w:r>
      <w:r>
        <w:rPr>
          <w:b/>
          <w:spacing w:val="-8"/>
          <w:sz w:val="26"/>
        </w:rPr>
        <w:t> </w:t>
      </w:r>
      <w:r>
        <w:rPr>
          <w:b/>
          <w:sz w:val="26"/>
        </w:rPr>
        <w:t>NIFTY</w:t>
      </w:r>
      <w:r>
        <w:rPr>
          <w:b/>
          <w:spacing w:val="-5"/>
          <w:sz w:val="26"/>
        </w:rPr>
        <w:t> </w:t>
      </w:r>
      <w:r>
        <w:rPr>
          <w:b/>
          <w:sz w:val="26"/>
        </w:rPr>
        <w:t>50</w:t>
      </w:r>
      <w:r>
        <w:rPr>
          <w:b/>
          <w:spacing w:val="-5"/>
          <w:sz w:val="26"/>
        </w:rPr>
        <w:t> </w:t>
      </w:r>
      <w:r>
        <w:rPr>
          <w:b/>
          <w:sz w:val="26"/>
        </w:rPr>
        <w:t>During</w:t>
      </w:r>
      <w:r>
        <w:rPr>
          <w:b/>
          <w:spacing w:val="-5"/>
          <w:sz w:val="26"/>
        </w:rPr>
        <w:t> </w:t>
      </w:r>
      <w:r>
        <w:rPr>
          <w:b/>
          <w:sz w:val="26"/>
        </w:rPr>
        <w:t>Major</w:t>
      </w:r>
      <w:r>
        <w:rPr>
          <w:b/>
          <w:spacing w:val="-4"/>
          <w:sz w:val="26"/>
        </w:rPr>
        <w:t> </w:t>
      </w:r>
      <w:r>
        <w:rPr>
          <w:b/>
          <w:sz w:val="26"/>
        </w:rPr>
        <w:t>Economic</w:t>
      </w:r>
      <w:r>
        <w:rPr>
          <w:b/>
          <w:spacing w:val="-5"/>
          <w:sz w:val="26"/>
        </w:rPr>
        <w:t> </w:t>
      </w:r>
      <w:r>
        <w:rPr>
          <w:b/>
          <w:sz w:val="26"/>
        </w:rPr>
        <w:t>Events: Evaluating Impact and</w:t>
      </w:r>
      <w:r>
        <w:rPr>
          <w:b/>
          <w:spacing w:val="-1"/>
          <w:sz w:val="26"/>
        </w:rPr>
        <w:t> </w:t>
      </w:r>
      <w:r>
        <w:rPr>
          <w:b/>
          <w:sz w:val="26"/>
        </w:rPr>
        <w:t>Recovery Patterns, with</w:t>
      </w:r>
      <w:r>
        <w:rPr>
          <w:b/>
          <w:spacing w:val="-1"/>
          <w:sz w:val="26"/>
        </w:rPr>
        <w:t> </w:t>
      </w:r>
      <w:r>
        <w:rPr>
          <w:b/>
          <w:sz w:val="26"/>
        </w:rPr>
        <w:t>Reference to</w:t>
      </w:r>
      <w:r>
        <w:rPr>
          <w:b/>
          <w:spacing w:val="-1"/>
          <w:sz w:val="26"/>
        </w:rPr>
        <w:t> </w:t>
      </w:r>
      <w:r>
        <w:rPr>
          <w:b/>
          <w:sz w:val="26"/>
        </w:rPr>
        <w:t>Demat Share Solutions, Mumbai</w:t>
      </w:r>
    </w:p>
    <w:p>
      <w:pPr>
        <w:pStyle w:val="Heading2"/>
        <w:spacing w:line="292" w:lineRule="auto" w:before="201"/>
        <w:ind w:left="3025" w:right="4457" w:firstLine="696"/>
        <w:jc w:val="left"/>
      </w:pPr>
      <w:r>
        <w:rPr/>
        <w:t>SUBMITTED BY: HARSHAL VIKAS</w:t>
      </w:r>
      <w:r>
        <w:rPr>
          <w:spacing w:val="4"/>
        </w:rPr>
        <w:t> </w:t>
      </w:r>
      <w:r>
        <w:rPr>
          <w:spacing w:val="-2"/>
        </w:rPr>
        <w:t>CHAUHAN</w:t>
      </w:r>
    </w:p>
    <w:p>
      <w:pPr>
        <w:spacing w:line="271" w:lineRule="auto" w:before="143"/>
        <w:ind w:left="3011" w:right="4104" w:firstLine="38"/>
        <w:jc w:val="left"/>
        <w:rPr>
          <w:b/>
          <w:sz w:val="24"/>
        </w:rPr>
      </w:pPr>
      <w:r>
        <w:rPr>
          <w:b/>
          <w:sz w:val="24"/>
        </w:rPr>
        <w:t>UNDER THE GUIDANCE OF: DR.</w:t>
      </w:r>
      <w:r>
        <w:rPr>
          <w:b/>
          <w:spacing w:val="1"/>
          <w:sz w:val="24"/>
        </w:rPr>
        <w:t> </w:t>
      </w:r>
      <w:r>
        <w:rPr>
          <w:b/>
          <w:sz w:val="24"/>
        </w:rPr>
        <w:t>SONALI</w:t>
      </w:r>
      <w:r>
        <w:rPr>
          <w:b/>
          <w:spacing w:val="-1"/>
          <w:sz w:val="24"/>
        </w:rPr>
        <w:t> </w:t>
      </w:r>
      <w:r>
        <w:rPr>
          <w:b/>
          <w:spacing w:val="-2"/>
          <w:sz w:val="24"/>
        </w:rPr>
        <w:t>RAMCHANDANI</w:t>
      </w:r>
    </w:p>
    <w:p>
      <w:pPr>
        <w:spacing w:before="164"/>
        <w:ind w:left="29" w:right="1469" w:firstLine="0"/>
        <w:jc w:val="center"/>
        <w:rPr>
          <w:b/>
          <w:sz w:val="26"/>
        </w:rPr>
      </w:pPr>
      <w:r>
        <w:rPr>
          <w:b/>
          <w:sz w:val="26"/>
        </w:rPr>
        <w:t>MASTERS</w:t>
      </w:r>
      <w:r>
        <w:rPr>
          <w:b/>
          <w:spacing w:val="-9"/>
          <w:sz w:val="26"/>
        </w:rPr>
        <w:t> </w:t>
      </w:r>
      <w:r>
        <w:rPr>
          <w:b/>
          <w:sz w:val="26"/>
        </w:rPr>
        <w:t>OF</w:t>
      </w:r>
      <w:r>
        <w:rPr>
          <w:b/>
          <w:spacing w:val="-9"/>
          <w:sz w:val="26"/>
        </w:rPr>
        <w:t> </w:t>
      </w:r>
      <w:r>
        <w:rPr>
          <w:b/>
          <w:sz w:val="26"/>
        </w:rPr>
        <w:t>BUSINESS</w:t>
      </w:r>
      <w:r>
        <w:rPr>
          <w:b/>
          <w:spacing w:val="-8"/>
          <w:sz w:val="26"/>
        </w:rPr>
        <w:t> </w:t>
      </w:r>
      <w:r>
        <w:rPr>
          <w:b/>
          <w:spacing w:val="-2"/>
          <w:sz w:val="26"/>
        </w:rPr>
        <w:t>ADMINISTRATION</w:t>
      </w:r>
    </w:p>
    <w:p>
      <w:pPr>
        <w:pStyle w:val="BodyText"/>
        <w:spacing w:before="50"/>
        <w:jc w:val="left"/>
        <w:rPr>
          <w:b/>
          <w:sz w:val="20"/>
        </w:rPr>
      </w:pPr>
      <w:r>
        <w:rPr>
          <w:b/>
          <w:sz w:val="20"/>
        </w:rPr>
        <w:drawing>
          <wp:anchor distT="0" distB="0" distL="0" distR="0" allowOverlap="1" layoutInCell="1" locked="0" behindDoc="1" simplePos="0" relativeHeight="487587840">
            <wp:simplePos x="0" y="0"/>
            <wp:positionH relativeFrom="page">
              <wp:posOffset>3474720</wp:posOffset>
            </wp:positionH>
            <wp:positionV relativeFrom="paragraph">
              <wp:posOffset>193056</wp:posOffset>
            </wp:positionV>
            <wp:extent cx="822960" cy="82296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22960" cy="822960"/>
                    </a:xfrm>
                    <a:prstGeom prst="rect">
                      <a:avLst/>
                    </a:prstGeom>
                  </pic:spPr>
                </pic:pic>
              </a:graphicData>
            </a:graphic>
          </wp:anchor>
        </w:drawing>
      </w:r>
    </w:p>
    <w:p>
      <w:pPr>
        <w:pStyle w:val="BodyText"/>
        <w:spacing w:before="6"/>
        <w:jc w:val="left"/>
        <w:rPr>
          <w:b/>
          <w:sz w:val="26"/>
        </w:rPr>
      </w:pPr>
    </w:p>
    <w:p>
      <w:pPr>
        <w:pStyle w:val="Heading2"/>
        <w:ind w:left="1465" w:firstLine="0"/>
        <w:jc w:val="left"/>
      </w:pPr>
      <w:r>
        <w:rPr/>
        <w:t>DEPARTMENT</w:t>
      </w:r>
      <w:r>
        <w:rPr>
          <w:spacing w:val="-5"/>
        </w:rPr>
        <w:t> </w:t>
      </w:r>
      <w:r>
        <w:rPr/>
        <w:t>OF</w:t>
      </w:r>
      <w:r>
        <w:rPr>
          <w:spacing w:val="-3"/>
        </w:rPr>
        <w:t> </w:t>
      </w:r>
      <w:r>
        <w:rPr/>
        <w:t>PUBLIC</w:t>
      </w:r>
      <w:r>
        <w:rPr>
          <w:spacing w:val="-2"/>
        </w:rPr>
        <w:t> </w:t>
      </w:r>
      <w:r>
        <w:rPr/>
        <w:t>POLICY</w:t>
      </w:r>
      <w:r>
        <w:rPr>
          <w:spacing w:val="-2"/>
        </w:rPr>
        <w:t> </w:t>
      </w:r>
      <w:r>
        <w:rPr/>
        <w:t>AND</w:t>
      </w:r>
      <w:r>
        <w:rPr>
          <w:spacing w:val="-1"/>
        </w:rPr>
        <w:t> </w:t>
      </w:r>
      <w:r>
        <w:rPr>
          <w:spacing w:val="-2"/>
        </w:rPr>
        <w:t>GOVERNANCE</w:t>
      </w:r>
    </w:p>
    <w:p>
      <w:pPr>
        <w:spacing w:line="412" w:lineRule="auto" w:before="36" w:after="3"/>
        <w:ind w:left="4067" w:right="2152" w:hanging="3093"/>
        <w:jc w:val="left"/>
        <w:rPr>
          <w:b/>
          <w:sz w:val="24"/>
        </w:rPr>
      </w:pPr>
      <w:r>
        <w:rPr>
          <w:b/>
          <w:sz w:val="24"/>
        </w:rPr>
        <w:t>B.K.</w:t>
      </w:r>
      <w:r>
        <w:rPr>
          <w:b/>
          <w:spacing w:val="-6"/>
          <w:sz w:val="24"/>
        </w:rPr>
        <w:t> </w:t>
      </w:r>
      <w:r>
        <w:rPr>
          <w:b/>
          <w:sz w:val="24"/>
        </w:rPr>
        <w:t>SCHOOL</w:t>
      </w:r>
      <w:r>
        <w:rPr>
          <w:b/>
          <w:spacing w:val="-9"/>
          <w:sz w:val="24"/>
        </w:rPr>
        <w:t> </w:t>
      </w:r>
      <w:r>
        <w:rPr>
          <w:b/>
          <w:sz w:val="24"/>
        </w:rPr>
        <w:t>OF</w:t>
      </w:r>
      <w:r>
        <w:rPr>
          <w:b/>
          <w:spacing w:val="-9"/>
          <w:sz w:val="24"/>
        </w:rPr>
        <w:t> </w:t>
      </w:r>
      <w:r>
        <w:rPr>
          <w:b/>
          <w:sz w:val="24"/>
        </w:rPr>
        <w:t>PROFESSIONAL</w:t>
      </w:r>
      <w:r>
        <w:rPr>
          <w:b/>
          <w:spacing w:val="-9"/>
          <w:sz w:val="24"/>
        </w:rPr>
        <w:t> </w:t>
      </w:r>
      <w:r>
        <w:rPr>
          <w:b/>
          <w:sz w:val="24"/>
        </w:rPr>
        <w:t>AND</w:t>
      </w:r>
      <w:r>
        <w:rPr>
          <w:b/>
          <w:spacing w:val="-8"/>
          <w:sz w:val="24"/>
        </w:rPr>
        <w:t> </w:t>
      </w:r>
      <w:r>
        <w:rPr>
          <w:b/>
          <w:sz w:val="24"/>
        </w:rPr>
        <w:t>MANAGEMENT</w:t>
      </w:r>
      <w:r>
        <w:rPr>
          <w:b/>
          <w:spacing w:val="-9"/>
          <w:sz w:val="24"/>
        </w:rPr>
        <w:t> </w:t>
      </w:r>
      <w:r>
        <w:rPr>
          <w:b/>
          <w:sz w:val="24"/>
        </w:rPr>
        <w:t>STUDIES JULY, 2026</w:t>
      </w:r>
    </w:p>
    <w:p>
      <w:pPr>
        <w:spacing w:line="240" w:lineRule="auto"/>
        <w:ind w:left="4042" w:right="0" w:firstLine="0"/>
        <w:rPr>
          <w:sz w:val="20"/>
        </w:rPr>
      </w:pPr>
      <w:r>
        <w:rPr>
          <w:sz w:val="20"/>
        </w:rPr>
        <w:drawing>
          <wp:inline distT="0" distB="0" distL="0" distR="0">
            <wp:extent cx="804672" cy="8046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04672" cy="804672"/>
                    </a:xfrm>
                    <a:prstGeom prst="rect">
                      <a:avLst/>
                    </a:prstGeom>
                  </pic:spPr>
                </pic:pic>
              </a:graphicData>
            </a:graphic>
          </wp:inline>
        </w:drawing>
      </w:r>
      <w:r>
        <w:rPr>
          <w:sz w:val="20"/>
        </w:rPr>
      </w:r>
    </w:p>
    <w:p>
      <w:pPr>
        <w:pStyle w:val="Heading2"/>
        <w:spacing w:before="146"/>
        <w:ind w:left="36" w:right="1469" w:firstLine="0"/>
        <w:jc w:val="center"/>
      </w:pPr>
      <w:r>
        <w:rPr/>
        <w:t>Academic</w:t>
      </w:r>
      <w:r>
        <w:rPr>
          <w:spacing w:val="-2"/>
        </w:rPr>
        <w:t> </w:t>
      </w:r>
      <w:r>
        <w:rPr/>
        <w:t>Year</w:t>
      </w:r>
      <w:r>
        <w:rPr>
          <w:spacing w:val="-4"/>
        </w:rPr>
        <w:t> </w:t>
      </w:r>
      <w:r>
        <w:rPr/>
        <w:t>2024-</w:t>
      </w:r>
      <w:r>
        <w:rPr>
          <w:spacing w:val="-5"/>
        </w:rPr>
        <w:t>26</w:t>
      </w:r>
    </w:p>
    <w:p>
      <w:pPr>
        <w:pStyle w:val="Heading2"/>
        <w:spacing w:after="0"/>
        <w:jc w:val="center"/>
        <w:sectPr>
          <w:type w:val="continuous"/>
          <w:pgSz w:w="12240" w:h="15840"/>
          <w:pgMar w:top="560" w:bottom="280" w:left="1440" w:right="0"/>
        </w:sectPr>
      </w:pPr>
    </w:p>
    <w:p>
      <w:pPr>
        <w:pStyle w:val="BodyText"/>
        <w:spacing w:before="38"/>
        <w:jc w:val="left"/>
        <w:rPr>
          <w:b/>
          <w:sz w:val="26"/>
        </w:rPr>
      </w:pPr>
    </w:p>
    <w:p>
      <w:pPr>
        <w:spacing w:before="0"/>
        <w:ind w:left="629" w:right="2070" w:firstLine="0"/>
        <w:jc w:val="center"/>
        <w:rPr>
          <w:b/>
          <w:sz w:val="26"/>
        </w:rPr>
      </w:pPr>
      <w:r>
        <w:rPr>
          <w:b/>
          <w:sz w:val="26"/>
        </w:rPr>
        <w:t>A</w:t>
      </w:r>
      <w:r>
        <w:rPr>
          <w:b/>
          <w:spacing w:val="-5"/>
          <w:sz w:val="26"/>
        </w:rPr>
        <w:t> </w:t>
      </w:r>
      <w:r>
        <w:rPr>
          <w:b/>
          <w:sz w:val="26"/>
        </w:rPr>
        <w:t>Study</w:t>
      </w:r>
      <w:r>
        <w:rPr>
          <w:b/>
          <w:spacing w:val="-1"/>
          <w:sz w:val="26"/>
        </w:rPr>
        <w:t> </w:t>
      </w:r>
      <w:r>
        <w:rPr>
          <w:b/>
          <w:sz w:val="26"/>
        </w:rPr>
        <w:t>on</w:t>
      </w:r>
      <w:r>
        <w:rPr>
          <w:b/>
          <w:spacing w:val="-10"/>
          <w:sz w:val="26"/>
        </w:rPr>
        <w:t> </w:t>
      </w:r>
      <w:r>
        <w:rPr>
          <w:b/>
          <w:sz w:val="26"/>
        </w:rPr>
        <w:t>the</w:t>
      </w:r>
      <w:r>
        <w:rPr>
          <w:b/>
          <w:spacing w:val="-5"/>
          <w:sz w:val="26"/>
        </w:rPr>
        <w:t> </w:t>
      </w:r>
      <w:r>
        <w:rPr>
          <w:b/>
          <w:sz w:val="26"/>
        </w:rPr>
        <w:t>Performance</w:t>
      </w:r>
      <w:r>
        <w:rPr>
          <w:b/>
          <w:spacing w:val="-5"/>
          <w:sz w:val="26"/>
        </w:rPr>
        <w:t> </w:t>
      </w:r>
      <w:r>
        <w:rPr>
          <w:b/>
          <w:sz w:val="26"/>
        </w:rPr>
        <w:t>of</w:t>
      </w:r>
      <w:r>
        <w:rPr>
          <w:b/>
          <w:spacing w:val="-9"/>
          <w:sz w:val="26"/>
        </w:rPr>
        <w:t> </w:t>
      </w:r>
      <w:r>
        <w:rPr>
          <w:b/>
          <w:sz w:val="26"/>
        </w:rPr>
        <w:t>NIFTY</w:t>
      </w:r>
      <w:r>
        <w:rPr>
          <w:b/>
          <w:spacing w:val="-5"/>
          <w:sz w:val="26"/>
        </w:rPr>
        <w:t> </w:t>
      </w:r>
      <w:r>
        <w:rPr>
          <w:b/>
          <w:sz w:val="26"/>
        </w:rPr>
        <w:t>50</w:t>
      </w:r>
      <w:r>
        <w:rPr>
          <w:b/>
          <w:spacing w:val="-5"/>
          <w:sz w:val="26"/>
        </w:rPr>
        <w:t> </w:t>
      </w:r>
      <w:r>
        <w:rPr>
          <w:b/>
          <w:sz w:val="26"/>
        </w:rPr>
        <w:t>During</w:t>
      </w:r>
      <w:r>
        <w:rPr>
          <w:b/>
          <w:spacing w:val="-5"/>
          <w:sz w:val="26"/>
        </w:rPr>
        <w:t> </w:t>
      </w:r>
      <w:r>
        <w:rPr>
          <w:b/>
          <w:sz w:val="26"/>
        </w:rPr>
        <w:t>Major</w:t>
      </w:r>
      <w:r>
        <w:rPr>
          <w:b/>
          <w:spacing w:val="-5"/>
          <w:sz w:val="26"/>
        </w:rPr>
        <w:t> </w:t>
      </w:r>
      <w:r>
        <w:rPr>
          <w:b/>
          <w:sz w:val="26"/>
        </w:rPr>
        <w:t>Economic </w:t>
      </w:r>
      <w:r>
        <w:rPr>
          <w:b/>
          <w:spacing w:val="-2"/>
          <w:sz w:val="26"/>
        </w:rPr>
        <w:t>Events:</w:t>
      </w:r>
    </w:p>
    <w:p>
      <w:pPr>
        <w:spacing w:before="61"/>
        <w:ind w:left="624" w:right="2070" w:firstLine="0"/>
        <w:jc w:val="center"/>
        <w:rPr>
          <w:b/>
          <w:sz w:val="26"/>
        </w:rPr>
      </w:pPr>
      <w:r>
        <w:rPr>
          <w:b/>
          <w:sz w:val="26"/>
        </w:rPr>
        <w:t>Evaluating</w:t>
      </w:r>
      <w:r>
        <w:rPr>
          <w:b/>
          <w:spacing w:val="-6"/>
          <w:sz w:val="26"/>
        </w:rPr>
        <w:t> </w:t>
      </w:r>
      <w:r>
        <w:rPr>
          <w:b/>
          <w:sz w:val="26"/>
        </w:rPr>
        <w:t>Impact</w:t>
      </w:r>
      <w:r>
        <w:rPr>
          <w:b/>
          <w:spacing w:val="-5"/>
          <w:sz w:val="26"/>
        </w:rPr>
        <w:t> </w:t>
      </w:r>
      <w:r>
        <w:rPr>
          <w:b/>
          <w:sz w:val="26"/>
        </w:rPr>
        <w:t>and</w:t>
      </w:r>
      <w:r>
        <w:rPr>
          <w:b/>
          <w:spacing w:val="-9"/>
          <w:sz w:val="26"/>
        </w:rPr>
        <w:t> </w:t>
      </w:r>
      <w:r>
        <w:rPr>
          <w:b/>
          <w:sz w:val="26"/>
        </w:rPr>
        <w:t>Recovery</w:t>
      </w:r>
      <w:r>
        <w:rPr>
          <w:b/>
          <w:spacing w:val="-5"/>
          <w:sz w:val="26"/>
        </w:rPr>
        <w:t> </w:t>
      </w:r>
      <w:r>
        <w:rPr>
          <w:b/>
          <w:sz w:val="26"/>
        </w:rPr>
        <w:t>Patterns,</w:t>
      </w:r>
      <w:r>
        <w:rPr>
          <w:b/>
          <w:spacing w:val="-3"/>
          <w:sz w:val="26"/>
        </w:rPr>
        <w:t> </w:t>
      </w:r>
      <w:r>
        <w:rPr>
          <w:b/>
          <w:sz w:val="26"/>
        </w:rPr>
        <w:t>with</w:t>
      </w:r>
      <w:r>
        <w:rPr>
          <w:b/>
          <w:spacing w:val="-9"/>
          <w:sz w:val="26"/>
        </w:rPr>
        <w:t> </w:t>
      </w:r>
      <w:r>
        <w:rPr>
          <w:b/>
          <w:sz w:val="26"/>
        </w:rPr>
        <w:t>Reference</w:t>
      </w:r>
      <w:r>
        <w:rPr>
          <w:b/>
          <w:spacing w:val="-5"/>
          <w:sz w:val="26"/>
        </w:rPr>
        <w:t> </w:t>
      </w:r>
      <w:r>
        <w:rPr>
          <w:b/>
          <w:sz w:val="26"/>
        </w:rPr>
        <w:t>to</w:t>
      </w:r>
      <w:r>
        <w:rPr>
          <w:b/>
          <w:spacing w:val="-9"/>
          <w:sz w:val="26"/>
        </w:rPr>
        <w:t> </w:t>
      </w:r>
      <w:r>
        <w:rPr>
          <w:b/>
          <w:sz w:val="26"/>
        </w:rPr>
        <w:t>Demat Share Solutions, Mumbai</w:t>
      </w:r>
    </w:p>
    <w:p>
      <w:pPr>
        <w:pStyle w:val="BodyText"/>
        <w:spacing w:before="101"/>
        <w:jc w:val="left"/>
        <w:rPr>
          <w:b/>
          <w:sz w:val="26"/>
        </w:rPr>
      </w:pPr>
    </w:p>
    <w:p>
      <w:pPr>
        <w:pStyle w:val="Heading1"/>
        <w:numPr>
          <w:ilvl w:val="0"/>
          <w:numId w:val="1"/>
        </w:numPr>
        <w:tabs>
          <w:tab w:pos="1003" w:val="left" w:leader="none"/>
        </w:tabs>
        <w:spacing w:line="240" w:lineRule="auto" w:before="1" w:after="0"/>
        <w:ind w:left="1003" w:right="0" w:hanging="282"/>
        <w:jc w:val="left"/>
      </w:pPr>
      <w:r>
        <w:rPr>
          <w:spacing w:val="-2"/>
        </w:rPr>
        <w:t>ABSTRACT</w:t>
      </w:r>
    </w:p>
    <w:p>
      <w:pPr>
        <w:pStyle w:val="BodyText"/>
        <w:spacing w:line="360" w:lineRule="auto" w:before="215"/>
        <w:ind w:left="721" w:right="2149"/>
      </w:pPr>
      <w:r>
        <w:rPr/>
        <w:t>This</w:t>
      </w:r>
      <w:r>
        <w:rPr>
          <w:spacing w:val="-6"/>
        </w:rPr>
        <w:t> </w:t>
      </w:r>
      <w:r>
        <w:rPr/>
        <w:t>study</w:t>
      </w:r>
      <w:r>
        <w:rPr>
          <w:spacing w:val="-13"/>
        </w:rPr>
        <w:t> </w:t>
      </w:r>
      <w:r>
        <w:rPr/>
        <w:t>examines</w:t>
      </w:r>
      <w:r>
        <w:rPr>
          <w:spacing w:val="-6"/>
        </w:rPr>
        <w:t> </w:t>
      </w:r>
      <w:r>
        <w:rPr/>
        <w:t>the</w:t>
      </w:r>
      <w:r>
        <w:rPr>
          <w:spacing w:val="-5"/>
        </w:rPr>
        <w:t> </w:t>
      </w:r>
      <w:r>
        <w:rPr/>
        <w:t>performance</w:t>
      </w:r>
      <w:r>
        <w:rPr>
          <w:spacing w:val="-5"/>
        </w:rPr>
        <w:t> </w:t>
      </w:r>
      <w:r>
        <w:rPr/>
        <w:t>of</w:t>
      </w:r>
      <w:r>
        <w:rPr>
          <w:spacing w:val="-12"/>
        </w:rPr>
        <w:t> </w:t>
      </w:r>
      <w:r>
        <w:rPr/>
        <w:t>the</w:t>
      </w:r>
      <w:r>
        <w:rPr>
          <w:spacing w:val="-5"/>
        </w:rPr>
        <w:t> </w:t>
      </w:r>
      <w:r>
        <w:rPr/>
        <w:t>NIFTY</w:t>
      </w:r>
      <w:r>
        <w:rPr>
          <w:spacing w:val="-4"/>
        </w:rPr>
        <w:t> </w:t>
      </w:r>
      <w:r>
        <w:rPr/>
        <w:t>50</w:t>
      </w:r>
      <w:r>
        <w:rPr>
          <w:spacing w:val="-4"/>
        </w:rPr>
        <w:t> </w:t>
      </w:r>
      <w:r>
        <w:rPr/>
        <w:t>index</w:t>
      </w:r>
      <w:r>
        <w:rPr>
          <w:spacing w:val="-9"/>
        </w:rPr>
        <w:t> </w:t>
      </w:r>
      <w:r>
        <w:rPr/>
        <w:t>of</w:t>
      </w:r>
      <w:r>
        <w:rPr>
          <w:spacing w:val="-12"/>
        </w:rPr>
        <w:t> </w:t>
      </w:r>
      <w:r>
        <w:rPr/>
        <w:t>the</w:t>
      </w:r>
      <w:r>
        <w:rPr>
          <w:spacing w:val="-5"/>
        </w:rPr>
        <w:t> </w:t>
      </w:r>
      <w:r>
        <w:rPr/>
        <w:t>National</w:t>
      </w:r>
      <w:r>
        <w:rPr>
          <w:spacing w:val="-13"/>
        </w:rPr>
        <w:t> </w:t>
      </w:r>
      <w:r>
        <w:rPr/>
        <w:t>Stock Exchange (NSE) of India during three major economic events belonging to three distinct categories — the COVID-19 Pandemic (23 March 2020, a health-crisis event), the Russia-Ukraine War (24 February 2022, a geopolitical event), and the India</w:t>
      </w:r>
      <w:r>
        <w:rPr>
          <w:spacing w:val="-8"/>
        </w:rPr>
        <w:t> </w:t>
      </w:r>
      <w:r>
        <w:rPr/>
        <w:t>General</w:t>
      </w:r>
      <w:r>
        <w:rPr>
          <w:spacing w:val="-15"/>
        </w:rPr>
        <w:t> </w:t>
      </w:r>
      <w:r>
        <w:rPr/>
        <w:t>Elections</w:t>
      </w:r>
      <w:r>
        <w:rPr>
          <w:spacing w:val="-9"/>
        </w:rPr>
        <w:t> </w:t>
      </w:r>
      <w:r>
        <w:rPr/>
        <w:t>2024</w:t>
      </w:r>
      <w:r>
        <w:rPr>
          <w:spacing w:val="-7"/>
        </w:rPr>
        <w:t> </w:t>
      </w:r>
      <w:r>
        <w:rPr/>
        <w:t>(4</w:t>
      </w:r>
      <w:r>
        <w:rPr>
          <w:spacing w:val="-11"/>
        </w:rPr>
        <w:t> </w:t>
      </w:r>
      <w:r>
        <w:rPr/>
        <w:t>June</w:t>
      </w:r>
      <w:r>
        <w:rPr>
          <w:spacing w:val="-8"/>
        </w:rPr>
        <w:t> </w:t>
      </w:r>
      <w:r>
        <w:rPr/>
        <w:t>2024,</w:t>
      </w:r>
      <w:r>
        <w:rPr>
          <w:spacing w:val="-5"/>
        </w:rPr>
        <w:t> </w:t>
      </w:r>
      <w:r>
        <w:rPr/>
        <w:t>a</w:t>
      </w:r>
      <w:r>
        <w:rPr>
          <w:spacing w:val="-12"/>
        </w:rPr>
        <w:t> </w:t>
      </w:r>
      <w:r>
        <w:rPr/>
        <w:t>political-electoral</w:t>
      </w:r>
      <w:r>
        <w:rPr>
          <w:spacing w:val="-15"/>
        </w:rPr>
        <w:t> </w:t>
      </w:r>
      <w:r>
        <w:rPr/>
        <w:t>event).</w:t>
      </w:r>
      <w:r>
        <w:rPr>
          <w:spacing w:val="-9"/>
        </w:rPr>
        <w:t> </w:t>
      </w:r>
      <w:r>
        <w:rPr/>
        <w:t>Undertaken as</w:t>
      </w:r>
      <w:r>
        <w:rPr>
          <w:spacing w:val="-6"/>
        </w:rPr>
        <w:t> </w:t>
      </w:r>
      <w:r>
        <w:rPr/>
        <w:t>part</w:t>
      </w:r>
      <w:r>
        <w:rPr>
          <w:spacing w:val="-8"/>
        </w:rPr>
        <w:t> </w:t>
      </w:r>
      <w:r>
        <w:rPr/>
        <w:t>of</w:t>
      </w:r>
      <w:r>
        <w:rPr>
          <w:spacing w:val="-11"/>
        </w:rPr>
        <w:t> </w:t>
      </w:r>
      <w:r>
        <w:rPr/>
        <w:t>a</w:t>
      </w:r>
      <w:r>
        <w:rPr>
          <w:spacing w:val="-5"/>
        </w:rPr>
        <w:t> </w:t>
      </w:r>
      <w:r>
        <w:rPr/>
        <w:t>Summer</w:t>
      </w:r>
      <w:r>
        <w:rPr>
          <w:spacing w:val="-3"/>
        </w:rPr>
        <w:t> </w:t>
      </w:r>
      <w:r>
        <w:rPr/>
        <w:t>Internship</w:t>
      </w:r>
      <w:r>
        <w:rPr>
          <w:spacing w:val="-4"/>
        </w:rPr>
        <w:t> </w:t>
      </w:r>
      <w:r>
        <w:rPr/>
        <w:t>Project at</w:t>
      </w:r>
      <w:r>
        <w:rPr>
          <w:spacing w:val="-4"/>
        </w:rPr>
        <w:t> </w:t>
      </w:r>
      <w:r>
        <w:rPr/>
        <w:t>Demat Share</w:t>
      </w:r>
      <w:r>
        <w:rPr>
          <w:spacing w:val="-5"/>
        </w:rPr>
        <w:t> </w:t>
      </w:r>
      <w:r>
        <w:rPr/>
        <w:t>Solutions,</w:t>
      </w:r>
      <w:r>
        <w:rPr>
          <w:spacing w:val="-2"/>
        </w:rPr>
        <w:t> </w:t>
      </w:r>
      <w:r>
        <w:rPr/>
        <w:t>a</w:t>
      </w:r>
      <w:r>
        <w:rPr>
          <w:spacing w:val="-5"/>
        </w:rPr>
        <w:t> </w:t>
      </w:r>
      <w:r>
        <w:rPr/>
        <w:t>Mumbai-based stock broking and financial advisory firm, the study draws on secondary daily closing-price data from</w:t>
      </w:r>
      <w:r>
        <w:rPr>
          <w:spacing w:val="-2"/>
        </w:rPr>
        <w:t> </w:t>
      </w:r>
      <w:r>
        <w:rPr/>
        <w:t>NSE India (cross-verified with BSE India) covering a 30-trading-day pre-event window and a 60–90-trading-day post-event window for each</w:t>
      </w:r>
      <w:r>
        <w:rPr>
          <w:spacing w:val="-3"/>
        </w:rPr>
        <w:t> </w:t>
      </w:r>
      <w:r>
        <w:rPr/>
        <w:t>event,</w:t>
      </w:r>
      <w:r>
        <w:rPr>
          <w:spacing w:val="-1"/>
        </w:rPr>
        <w:t> </w:t>
      </w:r>
      <w:r>
        <w:rPr/>
        <w:t>totalling 301 trading-day</w:t>
      </w:r>
      <w:r>
        <w:rPr>
          <w:spacing w:val="-3"/>
        </w:rPr>
        <w:t> </w:t>
      </w:r>
      <w:r>
        <w:rPr/>
        <w:t>observations. Descriptive statistics, a paired-samples t-test, and Pearson correlation analysis were applied using IBM SPSS Statistics</w:t>
      </w:r>
      <w:r>
        <w:rPr>
          <w:spacing w:val="-3"/>
        </w:rPr>
        <w:t> </w:t>
      </w:r>
      <w:r>
        <w:rPr/>
        <w:t>(Version</w:t>
      </w:r>
      <w:r>
        <w:rPr>
          <w:spacing w:val="-6"/>
        </w:rPr>
        <w:t> </w:t>
      </w:r>
      <w:r>
        <w:rPr/>
        <w:t>27) to</w:t>
      </w:r>
      <w:r>
        <w:rPr>
          <w:spacing w:val="-6"/>
        </w:rPr>
        <w:t> </w:t>
      </w:r>
      <w:r>
        <w:rPr/>
        <w:t>test</w:t>
      </w:r>
      <w:r>
        <w:rPr>
          <w:spacing w:val="-1"/>
        </w:rPr>
        <w:t> </w:t>
      </w:r>
      <w:r>
        <w:rPr/>
        <w:t>two</w:t>
      </w:r>
      <w:r>
        <w:rPr>
          <w:spacing w:val="-1"/>
        </w:rPr>
        <w:t> </w:t>
      </w:r>
      <w:r>
        <w:rPr/>
        <w:t>hypotheses —</w:t>
      </w:r>
      <w:r>
        <w:rPr>
          <w:spacing w:val="-1"/>
        </w:rPr>
        <w:t> </w:t>
      </w:r>
      <w:r>
        <w:rPr/>
        <w:t>whether the</w:t>
      </w:r>
      <w:r>
        <w:rPr>
          <w:spacing w:val="-2"/>
        </w:rPr>
        <w:t> </w:t>
      </w:r>
      <w:r>
        <w:rPr/>
        <w:t>selected</w:t>
      </w:r>
      <w:r>
        <w:rPr>
          <w:spacing w:val="-1"/>
        </w:rPr>
        <w:t> </w:t>
      </w:r>
      <w:r>
        <w:rPr/>
        <w:t>events</w:t>
      </w:r>
      <w:r>
        <w:rPr>
          <w:spacing w:val="-3"/>
        </w:rPr>
        <w:t> </w:t>
      </w:r>
      <w:r>
        <w:rPr/>
        <w:t>had a significant negative impact on NIFTY 50 performance, and whether the recovery pattern</w:t>
      </w:r>
      <w:r>
        <w:rPr>
          <w:spacing w:val="-15"/>
        </w:rPr>
        <w:t> </w:t>
      </w:r>
      <w:r>
        <w:rPr/>
        <w:t>of</w:t>
      </w:r>
      <w:r>
        <w:rPr>
          <w:spacing w:val="-14"/>
        </w:rPr>
        <w:t> </w:t>
      </w:r>
      <w:r>
        <w:rPr/>
        <w:t>the</w:t>
      </w:r>
      <w:r>
        <w:rPr>
          <w:spacing w:val="-2"/>
        </w:rPr>
        <w:t> </w:t>
      </w:r>
      <w:r>
        <w:rPr/>
        <w:t>index</w:t>
      </w:r>
      <w:r>
        <w:rPr>
          <w:spacing w:val="-11"/>
        </w:rPr>
        <w:t> </w:t>
      </w:r>
      <w:r>
        <w:rPr/>
        <w:t>differed</w:t>
      </w:r>
      <w:r>
        <w:rPr>
          <w:spacing w:val="-6"/>
        </w:rPr>
        <w:t> </w:t>
      </w:r>
      <w:r>
        <w:rPr/>
        <w:t>significantly</w:t>
      </w:r>
      <w:r>
        <w:rPr>
          <w:spacing w:val="-11"/>
        </w:rPr>
        <w:t> </w:t>
      </w:r>
      <w:r>
        <w:rPr/>
        <w:t>across</w:t>
      </w:r>
      <w:r>
        <w:rPr>
          <w:spacing w:val="-8"/>
        </w:rPr>
        <w:t> </w:t>
      </w:r>
      <w:r>
        <w:rPr/>
        <w:t>event</w:t>
      </w:r>
      <w:r>
        <w:rPr>
          <w:spacing w:val="-1"/>
        </w:rPr>
        <w:t> </w:t>
      </w:r>
      <w:r>
        <w:rPr/>
        <w:t>categories.</w:t>
      </w:r>
      <w:r>
        <w:rPr>
          <w:spacing w:val="-4"/>
        </w:rPr>
        <w:t> </w:t>
      </w:r>
      <w:r>
        <w:rPr/>
        <w:t>The</w:t>
      </w:r>
      <w:r>
        <w:rPr>
          <w:spacing w:val="-7"/>
        </w:rPr>
        <w:t> </w:t>
      </w:r>
      <w:r>
        <w:rPr/>
        <w:t>results</w:t>
      </w:r>
      <w:r>
        <w:rPr>
          <w:spacing w:val="-8"/>
        </w:rPr>
        <w:t> </w:t>
      </w:r>
      <w:r>
        <w:rPr/>
        <w:t>show that all three events produced a sharp, statistically significant negative movement in the index</w:t>
      </w:r>
      <w:r>
        <w:rPr>
          <w:spacing w:val="-1"/>
        </w:rPr>
        <w:t> </w:t>
      </w:r>
      <w:r>
        <w:rPr/>
        <w:t>on</w:t>
      </w:r>
      <w:r>
        <w:rPr>
          <w:spacing w:val="-1"/>
        </w:rPr>
        <w:t> </w:t>
      </w:r>
      <w:r>
        <w:rPr/>
        <w:t>the event day</w:t>
      </w:r>
      <w:r>
        <w:rPr>
          <w:spacing w:val="-6"/>
        </w:rPr>
        <w:t> </w:t>
      </w:r>
      <w:r>
        <w:rPr/>
        <w:t>(ranging from –4.78% to –12.98%) accompanied by a</w:t>
      </w:r>
      <w:r>
        <w:rPr>
          <w:spacing w:val="-15"/>
        </w:rPr>
        <w:t> </w:t>
      </w:r>
      <w:r>
        <w:rPr/>
        <w:t>significant</w:t>
      </w:r>
      <w:r>
        <w:rPr>
          <w:spacing w:val="-9"/>
        </w:rPr>
        <w:t> </w:t>
      </w:r>
      <w:r>
        <w:rPr/>
        <w:t>rise</w:t>
      </w:r>
      <w:r>
        <w:rPr>
          <w:spacing w:val="-8"/>
        </w:rPr>
        <w:t> </w:t>
      </w:r>
      <w:r>
        <w:rPr/>
        <w:t>in</w:t>
      </w:r>
      <w:r>
        <w:rPr>
          <w:spacing w:val="-15"/>
        </w:rPr>
        <w:t> </w:t>
      </w:r>
      <w:r>
        <w:rPr/>
        <w:t>post-event</w:t>
      </w:r>
      <w:r>
        <w:rPr>
          <w:spacing w:val="-7"/>
        </w:rPr>
        <w:t> </w:t>
      </w:r>
      <w:r>
        <w:rPr/>
        <w:t>volatility</w:t>
      </w:r>
      <w:r>
        <w:rPr>
          <w:spacing w:val="-15"/>
        </w:rPr>
        <w:t> </w:t>
      </w:r>
      <w:r>
        <w:rPr/>
        <w:t>(p</w:t>
      </w:r>
      <w:r>
        <w:rPr>
          <w:spacing w:val="-12"/>
        </w:rPr>
        <w:t> </w:t>
      </w:r>
      <w:r>
        <w:rPr/>
        <w:t>&lt;</w:t>
      </w:r>
      <w:r>
        <w:rPr>
          <w:spacing w:val="-13"/>
        </w:rPr>
        <w:t> </w:t>
      </w:r>
      <w:r>
        <w:rPr/>
        <w:t>.05</w:t>
      </w:r>
      <w:r>
        <w:rPr>
          <w:spacing w:val="-12"/>
        </w:rPr>
        <w:t> </w:t>
      </w:r>
      <w:r>
        <w:rPr/>
        <w:t>in</w:t>
      </w:r>
      <w:r>
        <w:rPr>
          <w:spacing w:val="-12"/>
        </w:rPr>
        <w:t> </w:t>
      </w:r>
      <w:r>
        <w:rPr/>
        <w:t>every</w:t>
      </w:r>
      <w:r>
        <w:rPr>
          <w:spacing w:val="-15"/>
        </w:rPr>
        <w:t> </w:t>
      </w:r>
      <w:r>
        <w:rPr/>
        <w:t>case),</w:t>
      </w:r>
      <w:r>
        <w:rPr>
          <w:spacing w:val="-10"/>
        </w:rPr>
        <w:t> </w:t>
      </w:r>
      <w:r>
        <w:rPr/>
        <w:t>and</w:t>
      </w:r>
      <w:r>
        <w:rPr>
          <w:spacing w:val="-12"/>
        </w:rPr>
        <w:t> </w:t>
      </w:r>
      <w:r>
        <w:rPr/>
        <w:t>that</w:t>
      </w:r>
      <w:r>
        <w:rPr>
          <w:spacing w:val="-11"/>
        </w:rPr>
        <w:t> </w:t>
      </w:r>
      <w:r>
        <w:rPr/>
        <w:t>the</w:t>
      </w:r>
      <w:r>
        <w:rPr>
          <w:spacing w:val="-13"/>
        </w:rPr>
        <w:t> </w:t>
      </w:r>
      <w:r>
        <w:rPr/>
        <w:t>number of</w:t>
      </w:r>
      <w:r>
        <w:rPr>
          <w:spacing w:val="-9"/>
        </w:rPr>
        <w:t> </w:t>
      </w:r>
      <w:r>
        <w:rPr/>
        <w:t>trading</w:t>
      </w:r>
      <w:r>
        <w:rPr>
          <w:spacing w:val="-1"/>
        </w:rPr>
        <w:t> </w:t>
      </w:r>
      <w:r>
        <w:rPr/>
        <w:t>days</w:t>
      </w:r>
      <w:r>
        <w:rPr>
          <w:spacing w:val="-3"/>
        </w:rPr>
        <w:t> </w:t>
      </w:r>
      <w:r>
        <w:rPr/>
        <w:t>taken</w:t>
      </w:r>
      <w:r>
        <w:rPr>
          <w:spacing w:val="-6"/>
        </w:rPr>
        <w:t> </w:t>
      </w:r>
      <w:r>
        <w:rPr/>
        <w:t>to</w:t>
      </w:r>
      <w:r>
        <w:rPr>
          <w:spacing w:val="-1"/>
        </w:rPr>
        <w:t> </w:t>
      </w:r>
      <w:r>
        <w:rPr/>
        <w:t>recover to</w:t>
      </w:r>
      <w:r>
        <w:rPr>
          <w:spacing w:val="-5"/>
        </w:rPr>
        <w:t> </w:t>
      </w:r>
      <w:r>
        <w:rPr/>
        <w:t>the</w:t>
      </w:r>
      <w:r>
        <w:rPr>
          <w:spacing w:val="-2"/>
        </w:rPr>
        <w:t> </w:t>
      </w:r>
      <w:r>
        <w:rPr/>
        <w:t>pre-event level</w:t>
      </w:r>
      <w:r>
        <w:rPr>
          <w:spacing w:val="-1"/>
        </w:rPr>
        <w:t> </w:t>
      </w:r>
      <w:r>
        <w:rPr/>
        <w:t>varied</w:t>
      </w:r>
      <w:r>
        <w:rPr>
          <w:spacing w:val="-1"/>
        </w:rPr>
        <w:t> </w:t>
      </w:r>
      <w:r>
        <w:rPr/>
        <w:t>considerably</w:t>
      </w:r>
      <w:r>
        <w:rPr>
          <w:spacing w:val="-6"/>
        </w:rPr>
        <w:t> </w:t>
      </w:r>
      <w:r>
        <w:rPr/>
        <w:t>— from 3 trading days for the Elections to 14</w:t>
      </w:r>
      <w:r>
        <w:rPr>
          <w:spacing w:val="-2"/>
        </w:rPr>
        <w:t> </w:t>
      </w:r>
      <w:r>
        <w:rPr/>
        <w:t>trading days for the Russia-Ukraine War — with the severity of the initial fall not corresponding directly to the length of the recovery</w:t>
      </w:r>
      <w:r>
        <w:rPr>
          <w:spacing w:val="-15"/>
        </w:rPr>
        <w:t> </w:t>
      </w:r>
      <w:r>
        <w:rPr/>
        <w:t>period.</w:t>
      </w:r>
      <w:r>
        <w:rPr>
          <w:spacing w:val="-15"/>
        </w:rPr>
        <w:t> </w:t>
      </w:r>
      <w:r>
        <w:rPr/>
        <w:t>Both</w:t>
      </w:r>
      <w:r>
        <w:rPr>
          <w:spacing w:val="-15"/>
        </w:rPr>
        <w:t> </w:t>
      </w:r>
      <w:r>
        <w:rPr/>
        <w:t>null</w:t>
      </w:r>
      <w:r>
        <w:rPr>
          <w:spacing w:val="-15"/>
        </w:rPr>
        <w:t> </w:t>
      </w:r>
      <w:r>
        <w:rPr/>
        <w:t>hypotheses</w:t>
      </w:r>
      <w:r>
        <w:rPr>
          <w:spacing w:val="-13"/>
        </w:rPr>
        <w:t> </w:t>
      </w:r>
      <w:r>
        <w:rPr/>
        <w:t>were</w:t>
      </w:r>
      <w:r>
        <w:rPr>
          <w:spacing w:val="-15"/>
        </w:rPr>
        <w:t> </w:t>
      </w:r>
      <w:r>
        <w:rPr/>
        <w:t>therefore</w:t>
      </w:r>
      <w:r>
        <w:rPr>
          <w:spacing w:val="-12"/>
        </w:rPr>
        <w:t> </w:t>
      </w:r>
      <w:r>
        <w:rPr/>
        <w:t>rejected.</w:t>
      </w:r>
      <w:r>
        <w:rPr>
          <w:spacing w:val="-9"/>
        </w:rPr>
        <w:t> </w:t>
      </w:r>
      <w:r>
        <w:rPr/>
        <w:t>The</w:t>
      </w:r>
      <w:r>
        <w:rPr>
          <w:spacing w:val="-12"/>
        </w:rPr>
        <w:t> </w:t>
      </w:r>
      <w:r>
        <w:rPr/>
        <w:t>study</w:t>
      </w:r>
      <w:r>
        <w:rPr>
          <w:spacing w:val="-15"/>
        </w:rPr>
        <w:t> </w:t>
      </w:r>
      <w:r>
        <w:rPr/>
        <w:t>concludes that</w:t>
      </w:r>
      <w:r>
        <w:rPr>
          <w:spacing w:val="35"/>
        </w:rPr>
        <w:t> </w:t>
      </w:r>
      <w:r>
        <w:rPr/>
        <w:t>health-crisis</w:t>
      </w:r>
      <w:r>
        <w:rPr>
          <w:spacing w:val="28"/>
        </w:rPr>
        <w:t> </w:t>
      </w:r>
      <w:r>
        <w:rPr/>
        <w:t>events</w:t>
      </w:r>
      <w:r>
        <w:rPr>
          <w:spacing w:val="28"/>
        </w:rPr>
        <w:t> </w:t>
      </w:r>
      <w:r>
        <w:rPr/>
        <w:t>produce</w:t>
      </w:r>
      <w:r>
        <w:rPr>
          <w:spacing w:val="26"/>
        </w:rPr>
        <w:t> </w:t>
      </w:r>
      <w:r>
        <w:rPr/>
        <w:t>the</w:t>
      </w:r>
      <w:r>
        <w:rPr>
          <w:spacing w:val="34"/>
        </w:rPr>
        <w:t> </w:t>
      </w:r>
      <w:r>
        <w:rPr/>
        <w:t>most</w:t>
      </w:r>
      <w:r>
        <w:rPr>
          <w:spacing w:val="35"/>
        </w:rPr>
        <w:t> </w:t>
      </w:r>
      <w:r>
        <w:rPr/>
        <w:t>severe</w:t>
      </w:r>
      <w:r>
        <w:rPr>
          <w:spacing w:val="39"/>
        </w:rPr>
        <w:t> </w:t>
      </w:r>
      <w:r>
        <w:rPr/>
        <w:t>immediate</w:t>
      </w:r>
      <w:r>
        <w:rPr>
          <w:spacing w:val="29"/>
        </w:rPr>
        <w:t> </w:t>
      </w:r>
      <w:r>
        <w:rPr/>
        <w:t>shock,</w:t>
      </w:r>
      <w:r>
        <w:rPr>
          <w:spacing w:val="32"/>
        </w:rPr>
        <w:t> </w:t>
      </w:r>
      <w:r>
        <w:rPr/>
        <w:t>geopolitical</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7"/>
      </w:pPr>
      <w:r>
        <w:rPr/>
        <w:t>events cause the most prolonged disruption, and political-electoral events are absorbed fastest by the market, offering practical, evidence-based guidance for retail investors, financial advisory firms, and policymakers.</w:t>
      </w:r>
    </w:p>
    <w:p>
      <w:pPr>
        <w:pStyle w:val="BodyText"/>
        <w:spacing w:line="367" w:lineRule="auto" w:before="199"/>
        <w:ind w:left="721" w:right="2166"/>
      </w:pPr>
      <w:r>
        <w:rPr>
          <w:b/>
        </w:rPr>
        <w:t>Keywords: </w:t>
      </w:r>
      <w:r>
        <w:rPr/>
        <w:t>NIFTY 50, major economic events, event study, market volatility, recovery period, stock broking industry</w:t>
      </w:r>
    </w:p>
    <w:p>
      <w:pPr>
        <w:pStyle w:val="BodyText"/>
        <w:spacing w:before="114"/>
        <w:jc w:val="left"/>
      </w:pPr>
    </w:p>
    <w:p>
      <w:pPr>
        <w:pStyle w:val="Heading1"/>
        <w:numPr>
          <w:ilvl w:val="0"/>
          <w:numId w:val="1"/>
        </w:numPr>
        <w:tabs>
          <w:tab w:pos="1003" w:val="left" w:leader="none"/>
        </w:tabs>
        <w:spacing w:line="240" w:lineRule="auto" w:before="0" w:after="0"/>
        <w:ind w:left="1003" w:right="0" w:hanging="282"/>
        <w:jc w:val="both"/>
      </w:pPr>
      <w:r>
        <w:rPr>
          <w:spacing w:val="-2"/>
        </w:rPr>
        <w:t>INTRODUCTION</w:t>
      </w:r>
    </w:p>
    <w:p>
      <w:pPr>
        <w:pStyle w:val="Heading2"/>
        <w:numPr>
          <w:ilvl w:val="1"/>
          <w:numId w:val="1"/>
        </w:numPr>
        <w:tabs>
          <w:tab w:pos="1080" w:val="left" w:leader="none"/>
        </w:tabs>
        <w:spacing w:line="240" w:lineRule="auto" w:before="321" w:after="0"/>
        <w:ind w:left="1080" w:right="0" w:hanging="359"/>
        <w:jc w:val="both"/>
      </w:pPr>
      <w:r>
        <w:rPr/>
        <w:t>Background of</w:t>
      </w:r>
      <w:r>
        <w:rPr>
          <w:spacing w:val="-2"/>
        </w:rPr>
        <w:t> </w:t>
      </w:r>
      <w:r>
        <w:rPr/>
        <w:t>the</w:t>
      </w:r>
      <w:r>
        <w:rPr>
          <w:spacing w:val="-5"/>
        </w:rPr>
        <w:t> </w:t>
      </w:r>
      <w:r>
        <w:rPr>
          <w:spacing w:val="-4"/>
        </w:rPr>
        <w:t>Study</w:t>
      </w:r>
    </w:p>
    <w:p>
      <w:pPr>
        <w:pStyle w:val="BodyText"/>
        <w:spacing w:line="360" w:lineRule="auto" w:before="175"/>
        <w:ind w:left="721" w:right="2150"/>
      </w:pPr>
      <w:r>
        <w:rPr/>
        <w:t>The</w:t>
      </w:r>
      <w:r>
        <w:rPr>
          <w:spacing w:val="-15"/>
        </w:rPr>
        <w:t> </w:t>
      </w:r>
      <w:r>
        <w:rPr/>
        <w:t>Indian</w:t>
      </w:r>
      <w:r>
        <w:rPr>
          <w:spacing w:val="-15"/>
        </w:rPr>
        <w:t> </w:t>
      </w:r>
      <w:r>
        <w:rPr/>
        <w:t>financial</w:t>
      </w:r>
      <w:r>
        <w:rPr>
          <w:spacing w:val="-15"/>
        </w:rPr>
        <w:t> </w:t>
      </w:r>
      <w:r>
        <w:rPr/>
        <w:t>market</w:t>
      </w:r>
      <w:r>
        <w:rPr>
          <w:spacing w:val="-15"/>
        </w:rPr>
        <w:t> </w:t>
      </w:r>
      <w:r>
        <w:rPr/>
        <w:t>is</w:t>
      </w:r>
      <w:r>
        <w:rPr>
          <w:spacing w:val="-15"/>
        </w:rPr>
        <w:t> </w:t>
      </w:r>
      <w:r>
        <w:rPr/>
        <w:t>among</w:t>
      </w:r>
      <w:r>
        <w:rPr>
          <w:spacing w:val="-15"/>
        </w:rPr>
        <w:t> </w:t>
      </w:r>
      <w:r>
        <w:rPr/>
        <w:t>the</w:t>
      </w:r>
      <w:r>
        <w:rPr>
          <w:spacing w:val="-15"/>
        </w:rPr>
        <w:t> </w:t>
      </w:r>
      <w:r>
        <w:rPr/>
        <w:t>fastest-growing</w:t>
      </w:r>
      <w:r>
        <w:rPr>
          <w:spacing w:val="-15"/>
        </w:rPr>
        <w:t> </w:t>
      </w:r>
      <w:r>
        <w:rPr/>
        <w:t>and</w:t>
      </w:r>
      <w:r>
        <w:rPr>
          <w:spacing w:val="-11"/>
        </w:rPr>
        <w:t> </w:t>
      </w:r>
      <w:r>
        <w:rPr/>
        <w:t>most</w:t>
      </w:r>
      <w:r>
        <w:rPr>
          <w:spacing w:val="-10"/>
        </w:rPr>
        <w:t> </w:t>
      </w:r>
      <w:r>
        <w:rPr/>
        <w:t>closely</w:t>
      </w:r>
      <w:r>
        <w:rPr>
          <w:spacing w:val="-15"/>
        </w:rPr>
        <w:t> </w:t>
      </w:r>
      <w:r>
        <w:rPr/>
        <w:t>watched capital</w:t>
      </w:r>
      <w:r>
        <w:rPr>
          <w:spacing w:val="-4"/>
        </w:rPr>
        <w:t> </w:t>
      </w:r>
      <w:r>
        <w:rPr/>
        <w:t>markets in</w:t>
      </w:r>
      <w:r>
        <w:rPr>
          <w:spacing w:val="-4"/>
        </w:rPr>
        <w:t> </w:t>
      </w:r>
      <w:r>
        <w:rPr/>
        <w:t>the</w:t>
      </w:r>
      <w:r>
        <w:rPr>
          <w:spacing w:val="-1"/>
        </w:rPr>
        <w:t> </w:t>
      </w:r>
      <w:r>
        <w:rPr/>
        <w:t>world. At the</w:t>
      </w:r>
      <w:r>
        <w:rPr>
          <w:spacing w:val="-1"/>
        </w:rPr>
        <w:t> </w:t>
      </w:r>
      <w:r>
        <w:rPr/>
        <w:t>centre</w:t>
      </w:r>
      <w:r>
        <w:rPr>
          <w:spacing w:val="-5"/>
        </w:rPr>
        <w:t> </w:t>
      </w:r>
      <w:r>
        <w:rPr/>
        <w:t>of</w:t>
      </w:r>
      <w:r>
        <w:rPr>
          <w:spacing w:val="-7"/>
        </w:rPr>
        <w:t> </w:t>
      </w:r>
      <w:r>
        <w:rPr/>
        <w:t>this market sits</w:t>
      </w:r>
      <w:r>
        <w:rPr>
          <w:spacing w:val="-2"/>
        </w:rPr>
        <w:t> </w:t>
      </w:r>
      <w:r>
        <w:rPr/>
        <w:t>the</w:t>
      </w:r>
      <w:r>
        <w:rPr>
          <w:spacing w:val="-1"/>
        </w:rPr>
        <w:t> </w:t>
      </w:r>
      <w:r>
        <w:rPr/>
        <w:t>NIFTY</w:t>
      </w:r>
      <w:r>
        <w:rPr>
          <w:spacing w:val="-1"/>
        </w:rPr>
        <w:t> </w:t>
      </w:r>
      <w:r>
        <w:rPr/>
        <w:t>50 — the flagship index of the National Stock Exchange (NSE) — comprising the fifty largest</w:t>
      </w:r>
      <w:r>
        <w:rPr>
          <w:spacing w:val="-4"/>
        </w:rPr>
        <w:t> </w:t>
      </w:r>
      <w:r>
        <w:rPr/>
        <w:t>and</w:t>
      </w:r>
      <w:r>
        <w:rPr>
          <w:spacing w:val="-4"/>
        </w:rPr>
        <w:t> </w:t>
      </w:r>
      <w:r>
        <w:rPr/>
        <w:t>most liquid</w:t>
      </w:r>
      <w:r>
        <w:rPr>
          <w:spacing w:val="-8"/>
        </w:rPr>
        <w:t> </w:t>
      </w:r>
      <w:r>
        <w:rPr/>
        <w:t>companies</w:t>
      </w:r>
      <w:r>
        <w:rPr>
          <w:spacing w:val="-6"/>
        </w:rPr>
        <w:t> </w:t>
      </w:r>
      <w:r>
        <w:rPr/>
        <w:t>listed</w:t>
      </w:r>
      <w:r>
        <w:rPr>
          <w:spacing w:val="-8"/>
        </w:rPr>
        <w:t> </w:t>
      </w:r>
      <w:r>
        <w:rPr/>
        <w:t>on</w:t>
      </w:r>
      <w:r>
        <w:rPr>
          <w:spacing w:val="-13"/>
        </w:rPr>
        <w:t> </w:t>
      </w:r>
      <w:r>
        <w:rPr/>
        <w:t>the</w:t>
      </w:r>
      <w:r>
        <w:rPr>
          <w:spacing w:val="-9"/>
        </w:rPr>
        <w:t> </w:t>
      </w:r>
      <w:r>
        <w:rPr/>
        <w:t>exchange.</w:t>
      </w:r>
      <w:r>
        <w:rPr>
          <w:spacing w:val="-7"/>
        </w:rPr>
        <w:t> </w:t>
      </w:r>
      <w:r>
        <w:rPr/>
        <w:t>The</w:t>
      </w:r>
      <w:r>
        <w:rPr>
          <w:spacing w:val="-9"/>
        </w:rPr>
        <w:t> </w:t>
      </w:r>
      <w:r>
        <w:rPr/>
        <w:t>NIFTY</w:t>
      </w:r>
      <w:r>
        <w:rPr>
          <w:spacing w:val="-8"/>
        </w:rPr>
        <w:t> </w:t>
      </w:r>
      <w:r>
        <w:rPr/>
        <w:t>50</w:t>
      </w:r>
      <w:r>
        <w:rPr>
          <w:spacing w:val="-4"/>
        </w:rPr>
        <w:t> </w:t>
      </w:r>
      <w:r>
        <w:rPr/>
        <w:t>is</w:t>
      </w:r>
      <w:r>
        <w:rPr>
          <w:spacing w:val="-10"/>
        </w:rPr>
        <w:t> </w:t>
      </w:r>
      <w:r>
        <w:rPr/>
        <w:t>widely used as a barometer of the health of the Indian economy, a benchmark for mutual funds</w:t>
      </w:r>
      <w:r>
        <w:rPr>
          <w:spacing w:val="-15"/>
        </w:rPr>
        <w:t> </w:t>
      </w:r>
      <w:r>
        <w:rPr/>
        <w:t>and</w:t>
      </w:r>
      <w:r>
        <w:rPr>
          <w:spacing w:val="-15"/>
        </w:rPr>
        <w:t> </w:t>
      </w:r>
      <w:r>
        <w:rPr/>
        <w:t>portfolio</w:t>
      </w:r>
      <w:r>
        <w:rPr>
          <w:spacing w:val="-15"/>
        </w:rPr>
        <w:t> </w:t>
      </w:r>
      <w:r>
        <w:rPr/>
        <w:t>managers,</w:t>
      </w:r>
      <w:r>
        <w:rPr>
          <w:spacing w:val="-14"/>
        </w:rPr>
        <w:t> </w:t>
      </w:r>
      <w:r>
        <w:rPr/>
        <w:t>and</w:t>
      </w:r>
      <w:r>
        <w:rPr>
          <w:spacing w:val="-15"/>
        </w:rPr>
        <w:t> </w:t>
      </w:r>
      <w:r>
        <w:rPr/>
        <w:t>the</w:t>
      </w:r>
      <w:r>
        <w:rPr>
          <w:spacing w:val="-15"/>
        </w:rPr>
        <w:t> </w:t>
      </w:r>
      <w:r>
        <w:rPr/>
        <w:t>underlying</w:t>
      </w:r>
      <w:r>
        <w:rPr>
          <w:spacing w:val="-15"/>
        </w:rPr>
        <w:t> </w:t>
      </w:r>
      <w:r>
        <w:rPr/>
        <w:t>asset</w:t>
      </w:r>
      <w:r>
        <w:rPr>
          <w:spacing w:val="-11"/>
        </w:rPr>
        <w:t> </w:t>
      </w:r>
      <w:r>
        <w:rPr/>
        <w:t>for</w:t>
      </w:r>
      <w:r>
        <w:rPr>
          <w:spacing w:val="-15"/>
        </w:rPr>
        <w:t> </w:t>
      </w:r>
      <w:r>
        <w:rPr/>
        <w:t>a</w:t>
      </w:r>
      <w:r>
        <w:rPr>
          <w:spacing w:val="-15"/>
        </w:rPr>
        <w:t> </w:t>
      </w:r>
      <w:r>
        <w:rPr/>
        <w:t>vast</w:t>
      </w:r>
      <w:r>
        <w:rPr>
          <w:spacing w:val="-14"/>
        </w:rPr>
        <w:t> </w:t>
      </w:r>
      <w:r>
        <w:rPr/>
        <w:t>derivatives</w:t>
      </w:r>
      <w:r>
        <w:rPr>
          <w:spacing w:val="-13"/>
        </w:rPr>
        <w:t> </w:t>
      </w:r>
      <w:r>
        <w:rPr/>
        <w:t>market in futures and options. Movements in the NIFTY 50 are</w:t>
      </w:r>
      <w:r>
        <w:rPr>
          <w:spacing w:val="-2"/>
        </w:rPr>
        <w:t> </w:t>
      </w:r>
      <w:r>
        <w:rPr/>
        <w:t>tracked daily by millions of retail investors, institutional fund managers, policymakers, and the financial </w:t>
      </w:r>
      <w:r>
        <w:rPr>
          <w:spacing w:val="-2"/>
        </w:rPr>
        <w:t>media.</w:t>
      </w:r>
    </w:p>
    <w:p>
      <w:pPr>
        <w:pStyle w:val="BodyText"/>
        <w:spacing w:line="360" w:lineRule="auto" w:before="221"/>
        <w:ind w:left="721" w:right="2151"/>
      </w:pPr>
      <w:r>
        <w:rPr/>
        <w:t>Over the past two decades, the NIFTY 50 has passed through several major economic events that have tested and shaped its behaviour — the 2008 Global Financial Crisis, demonetisation in 2016, the introduction of the Goods and Services</w:t>
      </w:r>
      <w:r>
        <w:rPr>
          <w:spacing w:val="-8"/>
        </w:rPr>
        <w:t> </w:t>
      </w:r>
      <w:r>
        <w:rPr/>
        <w:t>Tax</w:t>
      </w:r>
      <w:r>
        <w:rPr>
          <w:spacing w:val="-11"/>
        </w:rPr>
        <w:t> </w:t>
      </w:r>
      <w:r>
        <w:rPr/>
        <w:t>(GST),</w:t>
      </w:r>
      <w:r>
        <w:rPr>
          <w:spacing w:val="-9"/>
        </w:rPr>
        <w:t> </w:t>
      </w:r>
      <w:r>
        <w:rPr/>
        <w:t>the</w:t>
      </w:r>
      <w:r>
        <w:rPr>
          <w:spacing w:val="-7"/>
        </w:rPr>
        <w:t> </w:t>
      </w:r>
      <w:r>
        <w:rPr/>
        <w:t>COVID-19</w:t>
      </w:r>
      <w:r>
        <w:rPr>
          <w:spacing w:val="-6"/>
        </w:rPr>
        <w:t> </w:t>
      </w:r>
      <w:r>
        <w:rPr/>
        <w:t>pandemic</w:t>
      </w:r>
      <w:r>
        <w:rPr>
          <w:spacing w:val="-7"/>
        </w:rPr>
        <w:t> </w:t>
      </w:r>
      <w:r>
        <w:rPr/>
        <w:t>of</w:t>
      </w:r>
      <w:r>
        <w:rPr>
          <w:spacing w:val="-14"/>
        </w:rPr>
        <w:t> </w:t>
      </w:r>
      <w:r>
        <w:rPr/>
        <w:t>2020,</w:t>
      </w:r>
      <w:r>
        <w:rPr>
          <w:spacing w:val="-4"/>
        </w:rPr>
        <w:t> </w:t>
      </w:r>
      <w:r>
        <w:rPr/>
        <w:t>successive</w:t>
      </w:r>
      <w:r>
        <w:rPr>
          <w:spacing w:val="-7"/>
        </w:rPr>
        <w:t> </w:t>
      </w:r>
      <w:r>
        <w:rPr/>
        <w:t>Union</w:t>
      </w:r>
      <w:r>
        <w:rPr>
          <w:spacing w:val="-11"/>
        </w:rPr>
        <w:t> </w:t>
      </w:r>
      <w:r>
        <w:rPr/>
        <w:t>Budgets, RBI monetary policy announcements, general elections, and geopolitical shocks such as the Russia-Ukraine conflict. Each of these events has produced a distinct pattern</w:t>
      </w:r>
      <w:r>
        <w:rPr>
          <w:spacing w:val="-7"/>
        </w:rPr>
        <w:t> </w:t>
      </w:r>
      <w:r>
        <w:rPr/>
        <w:t>of</w:t>
      </w:r>
      <w:r>
        <w:rPr>
          <w:spacing w:val="-10"/>
        </w:rPr>
        <w:t> </w:t>
      </w:r>
      <w:r>
        <w:rPr/>
        <w:t>abnormal</w:t>
      </w:r>
      <w:r>
        <w:rPr>
          <w:spacing w:val="-7"/>
        </w:rPr>
        <w:t> </w:t>
      </w:r>
      <w:r>
        <w:rPr/>
        <w:t>returns, heightened volatility, and shifts in investor</w:t>
      </w:r>
      <w:r>
        <w:rPr>
          <w:spacing w:val="-1"/>
        </w:rPr>
        <w:t> </w:t>
      </w:r>
      <w:r>
        <w:rPr/>
        <w:t>sentiment. India's</w:t>
      </w:r>
      <w:r>
        <w:rPr>
          <w:spacing w:val="-7"/>
        </w:rPr>
        <w:t> </w:t>
      </w:r>
      <w:r>
        <w:rPr/>
        <w:t>demat-account</w:t>
      </w:r>
      <w:r>
        <w:rPr>
          <w:spacing w:val="-4"/>
        </w:rPr>
        <w:t> </w:t>
      </w:r>
      <w:r>
        <w:rPr/>
        <w:t>base</w:t>
      </w:r>
      <w:r>
        <w:rPr>
          <w:spacing w:val="-5"/>
        </w:rPr>
        <w:t> </w:t>
      </w:r>
      <w:r>
        <w:rPr/>
        <w:t>has</w:t>
      </w:r>
      <w:r>
        <w:rPr>
          <w:spacing w:val="-7"/>
        </w:rPr>
        <w:t> </w:t>
      </w:r>
      <w:r>
        <w:rPr/>
        <w:t>grown</w:t>
      </w:r>
      <w:r>
        <w:rPr>
          <w:spacing w:val="-9"/>
        </w:rPr>
        <w:t> </w:t>
      </w:r>
      <w:r>
        <w:rPr/>
        <w:t>from</w:t>
      </w:r>
      <w:r>
        <w:rPr>
          <w:spacing w:val="-13"/>
        </w:rPr>
        <w:t> </w:t>
      </w:r>
      <w:r>
        <w:rPr/>
        <w:t>around</w:t>
      </w:r>
      <w:r>
        <w:rPr>
          <w:spacing w:val="-5"/>
        </w:rPr>
        <w:t> </w:t>
      </w:r>
      <w:r>
        <w:rPr/>
        <w:t>4.09</w:t>
      </w:r>
      <w:r>
        <w:rPr>
          <w:spacing w:val="-9"/>
        </w:rPr>
        <w:t> </w:t>
      </w:r>
      <w:r>
        <w:rPr/>
        <w:t>crore</w:t>
      </w:r>
      <w:r>
        <w:rPr>
          <w:spacing w:val="-11"/>
        </w:rPr>
        <w:t> </w:t>
      </w:r>
      <w:r>
        <w:rPr/>
        <w:t>in</w:t>
      </w:r>
      <w:r>
        <w:rPr>
          <w:spacing w:val="-9"/>
        </w:rPr>
        <w:t> </w:t>
      </w:r>
      <w:r>
        <w:rPr/>
        <w:t>2020</w:t>
      </w:r>
      <w:r>
        <w:rPr>
          <w:spacing w:val="-5"/>
        </w:rPr>
        <w:t> </w:t>
      </w:r>
      <w:r>
        <w:rPr/>
        <w:t>to</w:t>
      </w:r>
      <w:r>
        <w:rPr>
          <w:spacing w:val="-3"/>
        </w:rPr>
        <w:t> </w:t>
      </w:r>
      <w:r>
        <w:rPr/>
        <w:t>more</w:t>
      </w:r>
      <w:r>
        <w:rPr>
          <w:spacing w:val="-10"/>
        </w:rPr>
        <w:t> </w:t>
      </w:r>
      <w:r>
        <w:rPr>
          <w:spacing w:val="-4"/>
        </w:rPr>
        <w:t>than</w:t>
      </w:r>
    </w:p>
    <w:p>
      <w:pPr>
        <w:pStyle w:val="BodyText"/>
        <w:spacing w:before="1"/>
        <w:ind w:left="721"/>
      </w:pPr>
      <w:r>
        <w:rPr/>
        <w:t>17</w:t>
      </w:r>
      <w:r>
        <w:rPr>
          <w:spacing w:val="61"/>
        </w:rPr>
        <w:t> </w:t>
      </w:r>
      <w:r>
        <w:rPr/>
        <w:t>crore</w:t>
      </w:r>
      <w:r>
        <w:rPr>
          <w:spacing w:val="63"/>
        </w:rPr>
        <w:t> </w:t>
      </w:r>
      <w:r>
        <w:rPr/>
        <w:t>by</w:t>
      </w:r>
      <w:r>
        <w:rPr>
          <w:spacing w:val="54"/>
        </w:rPr>
        <w:t> </w:t>
      </w:r>
      <w:r>
        <w:rPr/>
        <w:t>2025,</w:t>
      </w:r>
      <w:r>
        <w:rPr>
          <w:spacing w:val="71"/>
        </w:rPr>
        <w:t> </w:t>
      </w:r>
      <w:r>
        <w:rPr/>
        <w:t>making</w:t>
      </w:r>
      <w:r>
        <w:rPr>
          <w:spacing w:val="63"/>
        </w:rPr>
        <w:t> </w:t>
      </w:r>
      <w:r>
        <w:rPr/>
        <w:t>the</w:t>
      </w:r>
      <w:r>
        <w:rPr>
          <w:spacing w:val="68"/>
        </w:rPr>
        <w:t> </w:t>
      </w:r>
      <w:r>
        <w:rPr/>
        <w:t>study</w:t>
      </w:r>
      <w:r>
        <w:rPr>
          <w:spacing w:val="54"/>
        </w:rPr>
        <w:t> </w:t>
      </w:r>
      <w:r>
        <w:rPr/>
        <w:t>of</w:t>
      </w:r>
      <w:r>
        <w:rPr>
          <w:spacing w:val="61"/>
        </w:rPr>
        <w:t> </w:t>
      </w:r>
      <w:r>
        <w:rPr/>
        <w:t>index-level</w:t>
      </w:r>
      <w:r>
        <w:rPr>
          <w:spacing w:val="59"/>
        </w:rPr>
        <w:t> </w:t>
      </w:r>
      <w:r>
        <w:rPr/>
        <w:t>reactions</w:t>
      </w:r>
      <w:r>
        <w:rPr>
          <w:spacing w:val="62"/>
        </w:rPr>
        <w:t> </w:t>
      </w:r>
      <w:r>
        <w:rPr/>
        <w:t>to</w:t>
      </w:r>
      <w:r>
        <w:rPr>
          <w:spacing w:val="69"/>
        </w:rPr>
        <w:t> </w:t>
      </w:r>
      <w:r>
        <w:rPr/>
        <w:t>such</w:t>
      </w:r>
      <w:r>
        <w:rPr>
          <w:spacing w:val="59"/>
        </w:rPr>
        <w:t> </w:t>
      </w:r>
      <w:r>
        <w:rPr>
          <w:spacing w:val="-2"/>
        </w:rPr>
        <w:t>events</w:t>
      </w:r>
    </w:p>
    <w:p>
      <w:pPr>
        <w:pStyle w:val="BodyText"/>
        <w:spacing w:after="0"/>
        <w:sectPr>
          <w:pgSz w:w="12240" w:h="15840"/>
          <w:pgMar w:top="1820" w:bottom="280" w:left="1440" w:right="0"/>
        </w:sectPr>
      </w:pPr>
    </w:p>
    <w:p>
      <w:pPr>
        <w:pStyle w:val="BodyText"/>
        <w:spacing w:before="56"/>
        <w:jc w:val="left"/>
      </w:pPr>
    </w:p>
    <w:p>
      <w:pPr>
        <w:pStyle w:val="BodyText"/>
        <w:spacing w:line="360" w:lineRule="auto"/>
        <w:ind w:left="721" w:right="2155"/>
      </w:pPr>
      <w:r>
        <w:rPr/>
        <w:t>considerably more relevant to a much larger and more diverse base of market participants. For market participants — particularly retail investors and the stock broking and advisory firms that serve them — understanding how the index has historically behaved around such events is of direct practical value in framing trading strategies, managing risk, and advising clients.</w:t>
      </w:r>
    </w:p>
    <w:p>
      <w:pPr>
        <w:pStyle w:val="BodyText"/>
        <w:spacing w:line="360" w:lineRule="auto" w:before="221"/>
        <w:ind w:left="721" w:right="2164"/>
      </w:pPr>
      <w:r>
        <w:rPr/>
        <w:t>This</w:t>
      </w:r>
      <w:r>
        <w:rPr>
          <w:spacing w:val="-1"/>
        </w:rPr>
        <w:t> </w:t>
      </w:r>
      <w:r>
        <w:rPr/>
        <w:t>study</w:t>
      </w:r>
      <w:r>
        <w:rPr>
          <w:spacing w:val="-8"/>
        </w:rPr>
        <w:t> </w:t>
      </w:r>
      <w:r>
        <w:rPr/>
        <w:t>was</w:t>
      </w:r>
      <w:r>
        <w:rPr>
          <w:spacing w:val="-1"/>
        </w:rPr>
        <w:t> </w:t>
      </w:r>
      <w:r>
        <w:rPr/>
        <w:t>undertaken</w:t>
      </w:r>
      <w:r>
        <w:rPr>
          <w:spacing w:val="-3"/>
        </w:rPr>
        <w:t> </w:t>
      </w:r>
      <w:r>
        <w:rPr/>
        <w:t>as</w:t>
      </w:r>
      <w:r>
        <w:rPr>
          <w:spacing w:val="-1"/>
        </w:rPr>
        <w:t> </w:t>
      </w:r>
      <w:r>
        <w:rPr/>
        <w:t>part</w:t>
      </w:r>
      <w:r>
        <w:rPr>
          <w:spacing w:val="-3"/>
        </w:rPr>
        <w:t> </w:t>
      </w:r>
      <w:r>
        <w:rPr/>
        <w:t>of</w:t>
      </w:r>
      <w:r>
        <w:rPr>
          <w:spacing w:val="-6"/>
        </w:rPr>
        <w:t> </w:t>
      </w:r>
      <w:r>
        <w:rPr/>
        <w:t>a Summer Internship Project at Demat Share Solutions, a Mumbai-based stock broking and financial</w:t>
      </w:r>
      <w:r>
        <w:rPr>
          <w:spacing w:val="-3"/>
        </w:rPr>
        <w:t> </w:t>
      </w:r>
      <w:r>
        <w:rPr/>
        <w:t>advisory</w:t>
      </w:r>
      <w:r>
        <w:rPr>
          <w:spacing w:val="-3"/>
        </w:rPr>
        <w:t> </w:t>
      </w:r>
      <w:r>
        <w:rPr/>
        <w:t>firm, placing the researcher directly within a research and advisory environment where equity and derivatives</w:t>
      </w:r>
      <w:r>
        <w:rPr>
          <w:spacing w:val="-15"/>
        </w:rPr>
        <w:t> </w:t>
      </w:r>
      <w:r>
        <w:rPr/>
        <w:t>research,</w:t>
      </w:r>
      <w:r>
        <w:rPr>
          <w:spacing w:val="-15"/>
        </w:rPr>
        <w:t> </w:t>
      </w:r>
      <w:r>
        <w:rPr/>
        <w:t>technical</w:t>
      </w:r>
      <w:r>
        <w:rPr>
          <w:spacing w:val="-15"/>
        </w:rPr>
        <w:t> </w:t>
      </w:r>
      <w:r>
        <w:rPr/>
        <w:t>analysis,</w:t>
      </w:r>
      <w:r>
        <w:rPr>
          <w:spacing w:val="-11"/>
        </w:rPr>
        <w:t> </w:t>
      </w:r>
      <w:r>
        <w:rPr/>
        <w:t>and</w:t>
      </w:r>
      <w:r>
        <w:rPr>
          <w:spacing w:val="-13"/>
        </w:rPr>
        <w:t> </w:t>
      </w:r>
      <w:r>
        <w:rPr/>
        <w:t>client</w:t>
      </w:r>
      <w:r>
        <w:rPr>
          <w:spacing w:val="-8"/>
        </w:rPr>
        <w:t> </w:t>
      </w:r>
      <w:r>
        <w:rPr/>
        <w:t>advisory</w:t>
      </w:r>
      <w:r>
        <w:rPr>
          <w:spacing w:val="-15"/>
        </w:rPr>
        <w:t> </w:t>
      </w:r>
      <w:r>
        <w:rPr/>
        <w:t>formed</w:t>
      </w:r>
      <w:r>
        <w:rPr>
          <w:spacing w:val="-13"/>
        </w:rPr>
        <w:t> </w:t>
      </w:r>
      <w:r>
        <w:rPr/>
        <w:t>part</w:t>
      </w:r>
      <w:r>
        <w:rPr>
          <w:spacing w:val="-12"/>
        </w:rPr>
        <w:t> </w:t>
      </w:r>
      <w:r>
        <w:rPr/>
        <w:t>of</w:t>
      </w:r>
      <w:r>
        <w:rPr>
          <w:spacing w:val="-15"/>
        </w:rPr>
        <w:t> </w:t>
      </w:r>
      <w:r>
        <w:rPr/>
        <w:t>the</w:t>
      </w:r>
      <w:r>
        <w:rPr>
          <w:spacing w:val="-14"/>
        </w:rPr>
        <w:t> </w:t>
      </w:r>
      <w:r>
        <w:rPr/>
        <w:t>daily work routine.</w:t>
      </w:r>
    </w:p>
    <w:p>
      <w:pPr>
        <w:pStyle w:val="BodyText"/>
        <w:spacing w:before="50"/>
        <w:jc w:val="left"/>
      </w:pPr>
    </w:p>
    <w:p>
      <w:pPr>
        <w:pStyle w:val="Heading2"/>
        <w:numPr>
          <w:ilvl w:val="1"/>
          <w:numId w:val="1"/>
        </w:numPr>
        <w:tabs>
          <w:tab w:pos="1085" w:val="left" w:leader="none"/>
        </w:tabs>
        <w:spacing w:line="240" w:lineRule="auto" w:before="0" w:after="0"/>
        <w:ind w:left="1085" w:right="0" w:hanging="364"/>
        <w:jc w:val="both"/>
      </w:pPr>
      <w:r>
        <w:rPr/>
        <w:t>Statement</w:t>
      </w:r>
      <w:r>
        <w:rPr>
          <w:spacing w:val="-4"/>
        </w:rPr>
        <w:t> </w:t>
      </w:r>
      <w:r>
        <w:rPr/>
        <w:t>of</w:t>
      </w:r>
      <w:r>
        <w:rPr>
          <w:spacing w:val="-5"/>
        </w:rPr>
        <w:t> </w:t>
      </w:r>
      <w:r>
        <w:rPr/>
        <w:t>the</w:t>
      </w:r>
      <w:r>
        <w:rPr>
          <w:spacing w:val="-8"/>
        </w:rPr>
        <w:t> </w:t>
      </w:r>
      <w:r>
        <w:rPr/>
        <w:t>Problem</w:t>
      </w:r>
      <w:r>
        <w:rPr>
          <w:spacing w:val="-6"/>
        </w:rPr>
        <w:t> </w:t>
      </w:r>
      <w:r>
        <w:rPr/>
        <w:t>and</w:t>
      </w:r>
      <w:r>
        <w:rPr>
          <w:spacing w:val="-2"/>
        </w:rPr>
        <w:t> </w:t>
      </w:r>
      <w:r>
        <w:rPr/>
        <w:t>Research</w:t>
      </w:r>
      <w:r>
        <w:rPr>
          <w:spacing w:val="-2"/>
        </w:rPr>
        <w:t> </w:t>
      </w:r>
      <w:r>
        <w:rPr>
          <w:spacing w:val="-5"/>
        </w:rPr>
        <w:t>Gap</w:t>
      </w:r>
    </w:p>
    <w:p>
      <w:pPr>
        <w:pStyle w:val="BodyText"/>
        <w:spacing w:line="360" w:lineRule="auto" w:before="175"/>
        <w:ind w:left="721" w:right="2154"/>
      </w:pPr>
      <w:r>
        <w:rPr/>
        <w:t>While</w:t>
      </w:r>
      <w:r>
        <w:rPr>
          <w:spacing w:val="-5"/>
        </w:rPr>
        <w:t> </w:t>
      </w:r>
      <w:r>
        <w:rPr/>
        <w:t>individual</w:t>
      </w:r>
      <w:r>
        <w:rPr>
          <w:spacing w:val="-12"/>
        </w:rPr>
        <w:t> </w:t>
      </w:r>
      <w:r>
        <w:rPr/>
        <w:t>studies</w:t>
      </w:r>
      <w:r>
        <w:rPr>
          <w:spacing w:val="-10"/>
        </w:rPr>
        <w:t> </w:t>
      </w:r>
      <w:r>
        <w:rPr/>
        <w:t>have</w:t>
      </w:r>
      <w:r>
        <w:rPr>
          <w:spacing w:val="-10"/>
        </w:rPr>
        <w:t> </w:t>
      </w:r>
      <w:r>
        <w:rPr/>
        <w:t>separately</w:t>
      </w:r>
      <w:r>
        <w:rPr>
          <w:spacing w:val="-13"/>
        </w:rPr>
        <w:t> </w:t>
      </w:r>
      <w:r>
        <w:rPr/>
        <w:t>examined</w:t>
      </w:r>
      <w:r>
        <w:rPr>
          <w:spacing w:val="-9"/>
        </w:rPr>
        <w:t> </w:t>
      </w:r>
      <w:r>
        <w:rPr/>
        <w:t>the</w:t>
      </w:r>
      <w:r>
        <w:rPr>
          <w:spacing w:val="-10"/>
        </w:rPr>
        <w:t> </w:t>
      </w:r>
      <w:r>
        <w:rPr/>
        <w:t>impact</w:t>
      </w:r>
      <w:r>
        <w:rPr>
          <w:spacing w:val="-9"/>
        </w:rPr>
        <w:t> </w:t>
      </w:r>
      <w:r>
        <w:rPr/>
        <w:t>of</w:t>
      </w:r>
      <w:r>
        <w:rPr>
          <w:spacing w:val="-15"/>
        </w:rPr>
        <w:t> </w:t>
      </w:r>
      <w:r>
        <w:rPr/>
        <w:t>specific</w:t>
      </w:r>
      <w:r>
        <w:rPr>
          <w:spacing w:val="-10"/>
        </w:rPr>
        <w:t> </w:t>
      </w:r>
      <w:r>
        <w:rPr/>
        <w:t>events</w:t>
      </w:r>
      <w:r>
        <w:rPr>
          <w:spacing w:val="-9"/>
        </w:rPr>
        <w:t> </w:t>
      </w:r>
      <w:r>
        <w:rPr/>
        <w:t>— such</w:t>
      </w:r>
      <w:r>
        <w:rPr>
          <w:spacing w:val="-6"/>
        </w:rPr>
        <w:t> </w:t>
      </w:r>
      <w:r>
        <w:rPr/>
        <w:t>as</w:t>
      </w:r>
      <w:r>
        <w:rPr>
          <w:spacing w:val="-3"/>
        </w:rPr>
        <w:t> </w:t>
      </w:r>
      <w:r>
        <w:rPr/>
        <w:t>COVID-19, the</w:t>
      </w:r>
      <w:r>
        <w:rPr>
          <w:spacing w:val="-2"/>
        </w:rPr>
        <w:t> </w:t>
      </w:r>
      <w:r>
        <w:rPr/>
        <w:t>Union</w:t>
      </w:r>
      <w:r>
        <w:rPr>
          <w:spacing w:val="-6"/>
        </w:rPr>
        <w:t> </w:t>
      </w:r>
      <w:r>
        <w:rPr/>
        <w:t>Budget, RBI policy</w:t>
      </w:r>
      <w:r>
        <w:rPr>
          <w:spacing w:val="-6"/>
        </w:rPr>
        <w:t> </w:t>
      </w:r>
      <w:r>
        <w:rPr/>
        <w:t>announcements,</w:t>
      </w:r>
      <w:r>
        <w:rPr>
          <w:spacing w:val="-4"/>
        </w:rPr>
        <w:t> </w:t>
      </w:r>
      <w:r>
        <w:rPr/>
        <w:t>or</w:t>
      </w:r>
      <w:r>
        <w:rPr>
          <w:spacing w:val="-4"/>
        </w:rPr>
        <w:t> </w:t>
      </w:r>
      <w:r>
        <w:rPr/>
        <w:t>geopolitical shocks — on the NIFTY 50, there remains limited consolidated understanding, particularly</w:t>
      </w:r>
      <w:r>
        <w:rPr>
          <w:spacing w:val="-15"/>
        </w:rPr>
        <w:t> </w:t>
      </w:r>
      <w:r>
        <w:rPr/>
        <w:t>at</w:t>
      </w:r>
      <w:r>
        <w:rPr>
          <w:spacing w:val="-15"/>
        </w:rPr>
        <w:t> </w:t>
      </w:r>
      <w:r>
        <w:rPr/>
        <w:t>the</w:t>
      </w:r>
      <w:r>
        <w:rPr>
          <w:spacing w:val="-15"/>
        </w:rPr>
        <w:t> </w:t>
      </w:r>
      <w:r>
        <w:rPr/>
        <w:t>practitioner</w:t>
      </w:r>
      <w:r>
        <w:rPr>
          <w:spacing w:val="-15"/>
        </w:rPr>
        <w:t> </w:t>
      </w:r>
      <w:r>
        <w:rPr/>
        <w:t>level</w:t>
      </w:r>
      <w:r>
        <w:rPr>
          <w:spacing w:val="-15"/>
        </w:rPr>
        <w:t> </w:t>
      </w:r>
      <w:r>
        <w:rPr/>
        <w:t>within</w:t>
      </w:r>
      <w:r>
        <w:rPr>
          <w:spacing w:val="-15"/>
        </w:rPr>
        <w:t> </w:t>
      </w:r>
      <w:r>
        <w:rPr/>
        <w:t>stock</w:t>
      </w:r>
      <w:r>
        <w:rPr>
          <w:spacing w:val="-15"/>
        </w:rPr>
        <w:t> </w:t>
      </w:r>
      <w:r>
        <w:rPr/>
        <w:t>broking</w:t>
      </w:r>
      <w:r>
        <w:rPr>
          <w:spacing w:val="-15"/>
        </w:rPr>
        <w:t> </w:t>
      </w:r>
      <w:r>
        <w:rPr/>
        <w:t>and</w:t>
      </w:r>
      <w:r>
        <w:rPr>
          <w:spacing w:val="-15"/>
        </w:rPr>
        <w:t> </w:t>
      </w:r>
      <w:r>
        <w:rPr/>
        <w:t>advisory</w:t>
      </w:r>
      <w:r>
        <w:rPr>
          <w:spacing w:val="-15"/>
        </w:rPr>
        <w:t> </w:t>
      </w:r>
      <w:r>
        <w:rPr/>
        <w:t>firms,</w:t>
      </w:r>
      <w:r>
        <w:rPr>
          <w:spacing w:val="-15"/>
        </w:rPr>
        <w:t> </w:t>
      </w:r>
      <w:r>
        <w:rPr/>
        <w:t>of</w:t>
      </w:r>
      <w:r>
        <w:rPr>
          <w:spacing w:val="-15"/>
        </w:rPr>
        <w:t> </w:t>
      </w:r>
      <w:r>
        <w:rPr/>
        <w:t>how different categories of major economic events compare with one another in terms of</w:t>
      </w:r>
      <w:r>
        <w:rPr>
          <w:spacing w:val="-15"/>
        </w:rPr>
        <w:t> </w:t>
      </w:r>
      <w:r>
        <w:rPr/>
        <w:t>the</w:t>
      </w:r>
      <w:r>
        <w:rPr>
          <w:spacing w:val="-15"/>
        </w:rPr>
        <w:t> </w:t>
      </w:r>
      <w:r>
        <w:rPr/>
        <w:t>magnitude,</w:t>
      </w:r>
      <w:r>
        <w:rPr>
          <w:spacing w:val="-15"/>
        </w:rPr>
        <w:t> </w:t>
      </w:r>
      <w:r>
        <w:rPr/>
        <w:t>direction,</w:t>
      </w:r>
      <w:r>
        <w:rPr>
          <w:spacing w:val="-15"/>
        </w:rPr>
        <w:t> </w:t>
      </w:r>
      <w:r>
        <w:rPr/>
        <w:t>and</w:t>
      </w:r>
      <w:r>
        <w:rPr>
          <w:spacing w:val="-15"/>
        </w:rPr>
        <w:t> </w:t>
      </w:r>
      <w:r>
        <w:rPr/>
        <w:t>duration</w:t>
      </w:r>
      <w:r>
        <w:rPr>
          <w:spacing w:val="-15"/>
        </w:rPr>
        <w:t> </w:t>
      </w:r>
      <w:r>
        <w:rPr/>
        <w:t>of</w:t>
      </w:r>
      <w:r>
        <w:rPr>
          <w:spacing w:val="-15"/>
        </w:rPr>
        <w:t> </w:t>
      </w:r>
      <w:r>
        <w:rPr/>
        <w:t>their</w:t>
      </w:r>
      <w:r>
        <w:rPr>
          <w:spacing w:val="-15"/>
        </w:rPr>
        <w:t> </w:t>
      </w:r>
      <w:r>
        <w:rPr/>
        <w:t>impact</w:t>
      </w:r>
      <w:r>
        <w:rPr>
          <w:spacing w:val="-15"/>
        </w:rPr>
        <w:t> </w:t>
      </w:r>
      <w:r>
        <w:rPr/>
        <w:t>on</w:t>
      </w:r>
      <w:r>
        <w:rPr>
          <w:spacing w:val="-15"/>
        </w:rPr>
        <w:t> </w:t>
      </w:r>
      <w:r>
        <w:rPr/>
        <w:t>the</w:t>
      </w:r>
      <w:r>
        <w:rPr>
          <w:spacing w:val="-15"/>
        </w:rPr>
        <w:t> </w:t>
      </w:r>
      <w:r>
        <w:rPr/>
        <w:t>index.</w:t>
      </w:r>
      <w:r>
        <w:rPr>
          <w:spacing w:val="-15"/>
        </w:rPr>
        <w:t> </w:t>
      </w:r>
      <w:r>
        <w:rPr/>
        <w:t>Most</w:t>
      </w:r>
      <w:r>
        <w:rPr>
          <w:spacing w:val="-14"/>
        </w:rPr>
        <w:t> </w:t>
      </w:r>
      <w:r>
        <w:rPr/>
        <w:t>existing studies focus on only one type of economic event at a time, and the majority of published</w:t>
      </w:r>
      <w:r>
        <w:rPr>
          <w:spacing w:val="-2"/>
        </w:rPr>
        <w:t> </w:t>
      </w:r>
      <w:r>
        <w:rPr/>
        <w:t>data</w:t>
      </w:r>
      <w:r>
        <w:rPr>
          <w:spacing w:val="-3"/>
        </w:rPr>
        <w:t> </w:t>
      </w:r>
      <w:r>
        <w:rPr/>
        <w:t>ends</w:t>
      </w:r>
      <w:r>
        <w:rPr>
          <w:spacing w:val="-3"/>
        </w:rPr>
        <w:t> </w:t>
      </w:r>
      <w:r>
        <w:rPr/>
        <w:t>at 2021</w:t>
      </w:r>
      <w:r>
        <w:rPr>
          <w:spacing w:val="-11"/>
        </w:rPr>
        <w:t> </w:t>
      </w:r>
      <w:r>
        <w:rPr/>
        <w:t>or</w:t>
      </w:r>
      <w:r>
        <w:rPr>
          <w:spacing w:val="-1"/>
        </w:rPr>
        <w:t> </w:t>
      </w:r>
      <w:r>
        <w:rPr/>
        <w:t>2022</w:t>
      </w:r>
      <w:r>
        <w:rPr>
          <w:spacing w:val="-6"/>
        </w:rPr>
        <w:t> </w:t>
      </w:r>
      <w:r>
        <w:rPr/>
        <w:t>at</w:t>
      </w:r>
      <w:r>
        <w:rPr>
          <w:spacing w:val="-2"/>
        </w:rPr>
        <w:t> </w:t>
      </w:r>
      <w:r>
        <w:rPr/>
        <w:t>the latest,</w:t>
      </w:r>
      <w:r>
        <w:rPr>
          <w:spacing w:val="-4"/>
        </w:rPr>
        <w:t> </w:t>
      </w:r>
      <w:r>
        <w:rPr/>
        <w:t>leaving</w:t>
      </w:r>
      <w:r>
        <w:rPr>
          <w:spacing w:val="-2"/>
        </w:rPr>
        <w:t> </w:t>
      </w:r>
      <w:r>
        <w:rPr/>
        <w:t>the</w:t>
      </w:r>
      <w:r>
        <w:rPr>
          <w:spacing w:val="-3"/>
        </w:rPr>
        <w:t> </w:t>
      </w:r>
      <w:r>
        <w:rPr/>
        <w:t>period</w:t>
      </w:r>
      <w:r>
        <w:rPr>
          <w:spacing w:val="-2"/>
        </w:rPr>
        <w:t> </w:t>
      </w:r>
      <w:r>
        <w:rPr/>
        <w:t>2022–2025</w:t>
      </w:r>
      <w:r>
        <w:rPr>
          <w:spacing w:val="-2"/>
        </w:rPr>
        <w:t> </w:t>
      </w:r>
      <w:r>
        <w:rPr/>
        <w:t>— which</w:t>
      </w:r>
      <w:r>
        <w:rPr>
          <w:spacing w:val="-15"/>
        </w:rPr>
        <w:t> </w:t>
      </w:r>
      <w:r>
        <w:rPr/>
        <w:t>includes</w:t>
      </w:r>
      <w:r>
        <w:rPr>
          <w:spacing w:val="-15"/>
        </w:rPr>
        <w:t> </w:t>
      </w:r>
      <w:r>
        <w:rPr/>
        <w:t>the</w:t>
      </w:r>
      <w:r>
        <w:rPr>
          <w:spacing w:val="-15"/>
        </w:rPr>
        <w:t> </w:t>
      </w:r>
      <w:r>
        <w:rPr/>
        <w:t>Russia-Ukraine</w:t>
      </w:r>
      <w:r>
        <w:rPr>
          <w:spacing w:val="-15"/>
        </w:rPr>
        <w:t> </w:t>
      </w:r>
      <w:r>
        <w:rPr/>
        <w:t>war's</w:t>
      </w:r>
      <w:r>
        <w:rPr>
          <w:spacing w:val="-15"/>
        </w:rPr>
        <w:t> </w:t>
      </w:r>
      <w:r>
        <w:rPr/>
        <w:t>sustained</w:t>
      </w:r>
      <w:r>
        <w:rPr>
          <w:spacing w:val="-15"/>
        </w:rPr>
        <w:t> </w:t>
      </w:r>
      <w:r>
        <w:rPr/>
        <w:t>impact,</w:t>
      </w:r>
      <w:r>
        <w:rPr>
          <w:spacing w:val="-14"/>
        </w:rPr>
        <w:t> </w:t>
      </w:r>
      <w:r>
        <w:rPr/>
        <w:t>SEBI's</w:t>
      </w:r>
      <w:r>
        <w:rPr>
          <w:spacing w:val="-15"/>
        </w:rPr>
        <w:t> </w:t>
      </w:r>
      <w:r>
        <w:rPr/>
        <w:t>F&amp;O</w:t>
      </w:r>
      <w:r>
        <w:rPr>
          <w:spacing w:val="-15"/>
        </w:rPr>
        <w:t> </w:t>
      </w:r>
      <w:r>
        <w:rPr/>
        <w:t>framework reforms of 2024, and India's General Elections of 2024 — comparatively under-studied within a single unified framework. Furthermore, no existing study specifically</w:t>
      </w:r>
      <w:r>
        <w:rPr>
          <w:spacing w:val="-15"/>
        </w:rPr>
        <w:t> </w:t>
      </w:r>
      <w:r>
        <w:rPr/>
        <w:t>compares</w:t>
      </w:r>
      <w:r>
        <w:rPr>
          <w:spacing w:val="-15"/>
        </w:rPr>
        <w:t> </w:t>
      </w:r>
      <w:r>
        <w:rPr/>
        <w:t>the</w:t>
      </w:r>
      <w:r>
        <w:rPr>
          <w:spacing w:val="-15"/>
        </w:rPr>
        <w:t> </w:t>
      </w:r>
      <w:r>
        <w:rPr/>
        <w:t>recovery</w:t>
      </w:r>
      <w:r>
        <w:rPr>
          <w:spacing w:val="-15"/>
        </w:rPr>
        <w:t> </w:t>
      </w:r>
      <w:r>
        <w:rPr/>
        <w:t>speed</w:t>
      </w:r>
      <w:r>
        <w:rPr>
          <w:spacing w:val="-15"/>
        </w:rPr>
        <w:t> </w:t>
      </w:r>
      <w:r>
        <w:rPr/>
        <w:t>of</w:t>
      </w:r>
      <w:r>
        <w:rPr>
          <w:spacing w:val="-15"/>
        </w:rPr>
        <w:t> </w:t>
      </w:r>
      <w:r>
        <w:rPr/>
        <w:t>the</w:t>
      </w:r>
      <w:r>
        <w:rPr>
          <w:spacing w:val="-15"/>
        </w:rPr>
        <w:t> </w:t>
      </w:r>
      <w:r>
        <w:rPr/>
        <w:t>NIFTY</w:t>
      </w:r>
      <w:r>
        <w:rPr>
          <w:spacing w:val="-15"/>
        </w:rPr>
        <w:t> </w:t>
      </w:r>
      <w:r>
        <w:rPr/>
        <w:t>50</w:t>
      </w:r>
      <w:r>
        <w:rPr>
          <w:spacing w:val="-15"/>
        </w:rPr>
        <w:t> </w:t>
      </w:r>
      <w:r>
        <w:rPr/>
        <w:t>following</w:t>
      </w:r>
      <w:r>
        <w:rPr>
          <w:spacing w:val="-15"/>
        </w:rPr>
        <w:t> </w:t>
      </w:r>
      <w:r>
        <w:rPr/>
        <w:t>different</w:t>
      </w:r>
      <w:r>
        <w:rPr>
          <w:spacing w:val="-15"/>
        </w:rPr>
        <w:t> </w:t>
      </w:r>
      <w:r>
        <w:rPr/>
        <w:t>types of economic events. This study, “Performance of NIFTY 50 During Major Economic</w:t>
      </w:r>
      <w:r>
        <w:rPr>
          <w:spacing w:val="-8"/>
        </w:rPr>
        <w:t> </w:t>
      </w:r>
      <w:r>
        <w:rPr/>
        <w:t>Events,”</w:t>
      </w:r>
      <w:r>
        <w:rPr>
          <w:spacing w:val="-8"/>
        </w:rPr>
        <w:t> </w:t>
      </w:r>
      <w:r>
        <w:rPr/>
        <w:t>aims</w:t>
      </w:r>
      <w:r>
        <w:rPr>
          <w:spacing w:val="-9"/>
        </w:rPr>
        <w:t> </w:t>
      </w:r>
      <w:r>
        <w:rPr/>
        <w:t>to</w:t>
      </w:r>
      <w:r>
        <w:rPr>
          <w:spacing w:val="-7"/>
        </w:rPr>
        <w:t> </w:t>
      </w:r>
      <w:r>
        <w:rPr/>
        <w:t>fill</w:t>
      </w:r>
      <w:r>
        <w:rPr>
          <w:spacing w:val="-15"/>
        </w:rPr>
        <w:t> </w:t>
      </w:r>
      <w:r>
        <w:rPr/>
        <w:t>this</w:t>
      </w:r>
      <w:r>
        <w:rPr>
          <w:spacing w:val="-9"/>
        </w:rPr>
        <w:t> </w:t>
      </w:r>
      <w:r>
        <w:rPr/>
        <w:t>gap</w:t>
      </w:r>
      <w:r>
        <w:rPr>
          <w:spacing w:val="-7"/>
        </w:rPr>
        <w:t> </w:t>
      </w:r>
      <w:r>
        <w:rPr/>
        <w:t>through</w:t>
      </w:r>
      <w:r>
        <w:rPr>
          <w:spacing w:val="-12"/>
        </w:rPr>
        <w:t> </w:t>
      </w:r>
      <w:r>
        <w:rPr/>
        <w:t>a</w:t>
      </w:r>
      <w:r>
        <w:rPr>
          <w:spacing w:val="-8"/>
        </w:rPr>
        <w:t> </w:t>
      </w:r>
      <w:r>
        <w:rPr/>
        <w:t>comparative,</w:t>
      </w:r>
      <w:r>
        <w:rPr>
          <w:spacing w:val="-5"/>
        </w:rPr>
        <w:t> </w:t>
      </w:r>
      <w:r>
        <w:rPr/>
        <w:t>event-wise</w:t>
      </w:r>
      <w:r>
        <w:rPr>
          <w:spacing w:val="-8"/>
        </w:rPr>
        <w:t> </w:t>
      </w:r>
      <w:r>
        <w:rPr/>
        <w:t>analysis of NIFTY 50 performance across three major events for the period 2020 to 2024.</w:t>
      </w:r>
    </w:p>
    <w:p>
      <w:pPr>
        <w:pStyle w:val="BodyText"/>
        <w:spacing w:after="0" w:line="360" w:lineRule="auto"/>
        <w:sectPr>
          <w:pgSz w:w="12240" w:h="15840"/>
          <w:pgMar w:top="1820" w:bottom="280" w:left="1440" w:right="0"/>
        </w:sectPr>
      </w:pPr>
    </w:p>
    <w:p>
      <w:pPr>
        <w:pStyle w:val="BodyText"/>
        <w:spacing w:before="61"/>
        <w:jc w:val="left"/>
      </w:pPr>
    </w:p>
    <w:p>
      <w:pPr>
        <w:pStyle w:val="Heading2"/>
        <w:numPr>
          <w:ilvl w:val="1"/>
          <w:numId w:val="1"/>
        </w:numPr>
        <w:tabs>
          <w:tab w:pos="1085" w:val="left" w:leader="none"/>
        </w:tabs>
        <w:spacing w:line="240" w:lineRule="auto" w:before="0" w:after="0"/>
        <w:ind w:left="1085" w:right="0" w:hanging="364"/>
        <w:jc w:val="both"/>
      </w:pPr>
      <w:r>
        <w:rPr/>
        <w:t>Objectives</w:t>
      </w:r>
      <w:r>
        <w:rPr>
          <w:spacing w:val="-3"/>
        </w:rPr>
        <w:t> </w:t>
      </w:r>
      <w:r>
        <w:rPr/>
        <w:t>of</w:t>
      </w:r>
      <w:r>
        <w:rPr>
          <w:spacing w:val="-2"/>
        </w:rPr>
        <w:t> </w:t>
      </w:r>
      <w:r>
        <w:rPr/>
        <w:t>the</w:t>
      </w:r>
      <w:r>
        <w:rPr>
          <w:spacing w:val="-4"/>
        </w:rPr>
        <w:t> Study</w:t>
      </w:r>
    </w:p>
    <w:p>
      <w:pPr>
        <w:pStyle w:val="ListParagraph"/>
        <w:numPr>
          <w:ilvl w:val="2"/>
          <w:numId w:val="1"/>
        </w:numPr>
        <w:tabs>
          <w:tab w:pos="1441" w:val="left" w:leader="none"/>
        </w:tabs>
        <w:spacing w:line="362" w:lineRule="auto" w:before="176" w:after="0"/>
        <w:ind w:left="1441" w:right="2166" w:hanging="360"/>
        <w:jc w:val="both"/>
        <w:rPr>
          <w:sz w:val="24"/>
        </w:rPr>
      </w:pPr>
      <w:r>
        <w:rPr>
          <w:sz w:val="24"/>
        </w:rPr>
        <w:t>To study the overall performance of the NIFTY 50 index during major economic events for the period 2020 to 2024.</w:t>
      </w:r>
    </w:p>
    <w:p>
      <w:pPr>
        <w:pStyle w:val="ListParagraph"/>
        <w:numPr>
          <w:ilvl w:val="2"/>
          <w:numId w:val="1"/>
        </w:numPr>
        <w:tabs>
          <w:tab w:pos="1441" w:val="left" w:leader="none"/>
        </w:tabs>
        <w:spacing w:line="362" w:lineRule="auto" w:before="155" w:after="0"/>
        <w:ind w:left="1441" w:right="2155" w:hanging="360"/>
        <w:jc w:val="both"/>
        <w:rPr>
          <w:sz w:val="24"/>
        </w:rPr>
      </w:pPr>
      <w:r>
        <w:rPr>
          <w:sz w:val="24"/>
        </w:rPr>
        <w:t>To examine the impact of a health-crisis event (COVID-19 Pandemic), a geopolitical event (Russia-Ukraine War), and a political-electoral event (India</w:t>
      </w:r>
      <w:r>
        <w:rPr>
          <w:spacing w:val="-2"/>
          <w:sz w:val="24"/>
        </w:rPr>
        <w:t> </w:t>
      </w:r>
      <w:r>
        <w:rPr>
          <w:sz w:val="24"/>
        </w:rPr>
        <w:t>General</w:t>
      </w:r>
      <w:r>
        <w:rPr>
          <w:spacing w:val="-10"/>
          <w:sz w:val="24"/>
        </w:rPr>
        <w:t> </w:t>
      </w:r>
      <w:r>
        <w:rPr>
          <w:sz w:val="24"/>
        </w:rPr>
        <w:t>Elections</w:t>
      </w:r>
      <w:r>
        <w:rPr>
          <w:spacing w:val="-3"/>
          <w:sz w:val="24"/>
        </w:rPr>
        <w:t> </w:t>
      </w:r>
      <w:r>
        <w:rPr>
          <w:sz w:val="24"/>
        </w:rPr>
        <w:t>2024)</w:t>
      </w:r>
      <w:r>
        <w:rPr>
          <w:spacing w:val="-9"/>
          <w:sz w:val="24"/>
        </w:rPr>
        <w:t> </w:t>
      </w:r>
      <w:r>
        <w:rPr>
          <w:sz w:val="24"/>
        </w:rPr>
        <w:t>on</w:t>
      </w:r>
      <w:r>
        <w:rPr>
          <w:spacing w:val="-11"/>
          <w:sz w:val="24"/>
        </w:rPr>
        <w:t> </w:t>
      </w:r>
      <w:r>
        <w:rPr>
          <w:sz w:val="24"/>
        </w:rPr>
        <w:t>the</w:t>
      </w:r>
      <w:r>
        <w:rPr>
          <w:spacing w:val="-2"/>
          <w:sz w:val="24"/>
        </w:rPr>
        <w:t> </w:t>
      </w:r>
      <w:r>
        <w:rPr>
          <w:sz w:val="24"/>
        </w:rPr>
        <w:t>performance</w:t>
      </w:r>
      <w:r>
        <w:rPr>
          <w:spacing w:val="-2"/>
          <w:sz w:val="24"/>
        </w:rPr>
        <w:t> </w:t>
      </w:r>
      <w:r>
        <w:rPr>
          <w:sz w:val="24"/>
        </w:rPr>
        <w:t>of</w:t>
      </w:r>
      <w:r>
        <w:rPr>
          <w:spacing w:val="-9"/>
          <w:sz w:val="24"/>
        </w:rPr>
        <w:t> </w:t>
      </w:r>
      <w:r>
        <w:rPr>
          <w:sz w:val="24"/>
        </w:rPr>
        <w:t>the</w:t>
      </w:r>
      <w:r>
        <w:rPr>
          <w:spacing w:val="-2"/>
          <w:sz w:val="24"/>
        </w:rPr>
        <w:t> </w:t>
      </w:r>
      <w:r>
        <w:rPr>
          <w:sz w:val="24"/>
        </w:rPr>
        <w:t>NIFTY</w:t>
      </w:r>
      <w:r>
        <w:rPr>
          <w:spacing w:val="-7"/>
          <w:sz w:val="24"/>
        </w:rPr>
        <w:t> </w:t>
      </w:r>
      <w:r>
        <w:rPr>
          <w:sz w:val="24"/>
        </w:rPr>
        <w:t>50</w:t>
      </w:r>
      <w:r>
        <w:rPr>
          <w:spacing w:val="-6"/>
          <w:sz w:val="24"/>
        </w:rPr>
        <w:t> </w:t>
      </w:r>
      <w:r>
        <w:rPr>
          <w:sz w:val="24"/>
        </w:rPr>
        <w:t>index.</w:t>
      </w:r>
    </w:p>
    <w:p>
      <w:pPr>
        <w:pStyle w:val="ListParagraph"/>
        <w:numPr>
          <w:ilvl w:val="2"/>
          <w:numId w:val="1"/>
        </w:numPr>
        <w:tabs>
          <w:tab w:pos="1441" w:val="left" w:leader="none"/>
        </w:tabs>
        <w:spacing w:line="362" w:lineRule="auto" w:before="152" w:after="0"/>
        <w:ind w:left="1441" w:right="2162" w:hanging="360"/>
        <w:jc w:val="both"/>
        <w:rPr>
          <w:sz w:val="24"/>
        </w:rPr>
      </w:pPr>
      <w:r>
        <w:rPr>
          <w:sz w:val="24"/>
        </w:rPr>
        <w:t>To analyse the recovery</w:t>
      </w:r>
      <w:r>
        <w:rPr>
          <w:spacing w:val="-5"/>
          <w:sz w:val="24"/>
        </w:rPr>
        <w:t> </w:t>
      </w:r>
      <w:r>
        <w:rPr>
          <w:sz w:val="24"/>
        </w:rPr>
        <w:t>pattern of</w:t>
      </w:r>
      <w:r>
        <w:rPr>
          <w:spacing w:val="-3"/>
          <w:sz w:val="24"/>
        </w:rPr>
        <w:t> </w:t>
      </w:r>
      <w:r>
        <w:rPr>
          <w:sz w:val="24"/>
        </w:rPr>
        <w:t>the NIFTY 50 index after each selected major</w:t>
      </w:r>
      <w:r>
        <w:rPr>
          <w:spacing w:val="-3"/>
          <w:sz w:val="24"/>
        </w:rPr>
        <w:t> </w:t>
      </w:r>
      <w:r>
        <w:rPr>
          <w:sz w:val="24"/>
        </w:rPr>
        <w:t>economic</w:t>
      </w:r>
      <w:r>
        <w:rPr>
          <w:spacing w:val="-5"/>
          <w:sz w:val="24"/>
        </w:rPr>
        <w:t> </w:t>
      </w:r>
      <w:r>
        <w:rPr>
          <w:sz w:val="24"/>
        </w:rPr>
        <w:t>event and</w:t>
      </w:r>
      <w:r>
        <w:rPr>
          <w:spacing w:val="-4"/>
          <w:sz w:val="24"/>
        </w:rPr>
        <w:t> </w:t>
      </w:r>
      <w:r>
        <w:rPr>
          <w:sz w:val="24"/>
        </w:rPr>
        <w:t>determine how</w:t>
      </w:r>
      <w:r>
        <w:rPr>
          <w:spacing w:val="-5"/>
          <w:sz w:val="24"/>
        </w:rPr>
        <w:t> </w:t>
      </w:r>
      <w:r>
        <w:rPr>
          <w:sz w:val="24"/>
        </w:rPr>
        <w:t>long</w:t>
      </w:r>
      <w:r>
        <w:rPr>
          <w:spacing w:val="-4"/>
          <w:sz w:val="24"/>
        </w:rPr>
        <w:t> </w:t>
      </w:r>
      <w:r>
        <w:rPr>
          <w:sz w:val="24"/>
        </w:rPr>
        <w:t>the</w:t>
      </w:r>
      <w:r>
        <w:rPr>
          <w:spacing w:val="-5"/>
          <w:sz w:val="24"/>
        </w:rPr>
        <w:t> </w:t>
      </w:r>
      <w:r>
        <w:rPr>
          <w:sz w:val="24"/>
        </w:rPr>
        <w:t>market</w:t>
      </w:r>
      <w:r>
        <w:rPr>
          <w:spacing w:val="-4"/>
          <w:sz w:val="24"/>
        </w:rPr>
        <w:t> </w:t>
      </w:r>
      <w:r>
        <w:rPr>
          <w:sz w:val="24"/>
        </w:rPr>
        <w:t>took</w:t>
      </w:r>
      <w:r>
        <w:rPr>
          <w:spacing w:val="-9"/>
          <w:sz w:val="24"/>
        </w:rPr>
        <w:t> </w:t>
      </w:r>
      <w:r>
        <w:rPr>
          <w:sz w:val="24"/>
        </w:rPr>
        <w:t>to</w:t>
      </w:r>
      <w:r>
        <w:rPr>
          <w:spacing w:val="-8"/>
          <w:sz w:val="24"/>
        </w:rPr>
        <w:t> </w:t>
      </w:r>
      <w:r>
        <w:rPr>
          <w:sz w:val="24"/>
        </w:rPr>
        <w:t>return</w:t>
      </w:r>
      <w:r>
        <w:rPr>
          <w:spacing w:val="-13"/>
          <w:sz w:val="24"/>
        </w:rPr>
        <w:t> </w:t>
      </w:r>
      <w:r>
        <w:rPr>
          <w:sz w:val="24"/>
        </w:rPr>
        <w:t>to its pre-event levels.</w:t>
      </w:r>
    </w:p>
    <w:p>
      <w:pPr>
        <w:pStyle w:val="BodyText"/>
        <w:spacing w:before="39"/>
        <w:jc w:val="left"/>
      </w:pPr>
    </w:p>
    <w:p>
      <w:pPr>
        <w:pStyle w:val="Heading2"/>
        <w:numPr>
          <w:ilvl w:val="1"/>
          <w:numId w:val="1"/>
        </w:numPr>
        <w:tabs>
          <w:tab w:pos="1085" w:val="left" w:leader="none"/>
        </w:tabs>
        <w:spacing w:line="240" w:lineRule="auto" w:before="0" w:after="0"/>
        <w:ind w:left="1085" w:right="0" w:hanging="364"/>
        <w:jc w:val="both"/>
      </w:pPr>
      <w:r>
        <w:rPr/>
        <w:t>Need,</w:t>
      </w:r>
      <w:r>
        <w:rPr>
          <w:spacing w:val="-2"/>
        </w:rPr>
        <w:t> </w:t>
      </w:r>
      <w:r>
        <w:rPr/>
        <w:t>Significance</w:t>
      </w:r>
      <w:r>
        <w:rPr>
          <w:spacing w:val="-1"/>
        </w:rPr>
        <w:t> </w:t>
      </w:r>
      <w:r>
        <w:rPr/>
        <w:t>and</w:t>
      </w:r>
      <w:r>
        <w:rPr>
          <w:spacing w:val="-3"/>
        </w:rPr>
        <w:t> </w:t>
      </w:r>
      <w:r>
        <w:rPr/>
        <w:t>Scope of</w:t>
      </w:r>
      <w:r>
        <w:rPr>
          <w:spacing w:val="-7"/>
        </w:rPr>
        <w:t> </w:t>
      </w:r>
      <w:r>
        <w:rPr/>
        <w:t>the</w:t>
      </w:r>
      <w:r>
        <w:rPr>
          <w:spacing w:val="1"/>
        </w:rPr>
        <w:t> </w:t>
      </w:r>
      <w:r>
        <w:rPr>
          <w:spacing w:val="-2"/>
        </w:rPr>
        <w:t>Study</w:t>
      </w:r>
    </w:p>
    <w:p>
      <w:pPr>
        <w:pStyle w:val="BodyText"/>
        <w:spacing w:line="360" w:lineRule="auto" w:before="175"/>
        <w:ind w:left="721" w:right="2151"/>
      </w:pPr>
      <w:r>
        <w:rPr/>
        <w:t>The need for this study arises from the growing scale of retail participation in the Indian equity market and the corresponding responsibility of stock broking and advisory</w:t>
      </w:r>
      <w:r>
        <w:rPr>
          <w:spacing w:val="-15"/>
        </w:rPr>
        <w:t> </w:t>
      </w:r>
      <w:r>
        <w:rPr/>
        <w:t>firms</w:t>
      </w:r>
      <w:r>
        <w:rPr>
          <w:spacing w:val="-15"/>
        </w:rPr>
        <w:t> </w:t>
      </w:r>
      <w:r>
        <w:rPr/>
        <w:t>to</w:t>
      </w:r>
      <w:r>
        <w:rPr>
          <w:spacing w:val="-10"/>
        </w:rPr>
        <w:t> </w:t>
      </w:r>
      <w:r>
        <w:rPr/>
        <w:t>guide</w:t>
      </w:r>
      <w:r>
        <w:rPr>
          <w:spacing w:val="-11"/>
        </w:rPr>
        <w:t> </w:t>
      </w:r>
      <w:r>
        <w:rPr/>
        <w:t>clients</w:t>
      </w:r>
      <w:r>
        <w:rPr>
          <w:spacing w:val="-12"/>
        </w:rPr>
        <w:t> </w:t>
      </w:r>
      <w:r>
        <w:rPr/>
        <w:t>through</w:t>
      </w:r>
      <w:r>
        <w:rPr>
          <w:spacing w:val="-14"/>
        </w:rPr>
        <w:t> </w:t>
      </w:r>
      <w:r>
        <w:rPr/>
        <w:t>periods</w:t>
      </w:r>
      <w:r>
        <w:rPr>
          <w:spacing w:val="-12"/>
        </w:rPr>
        <w:t> </w:t>
      </w:r>
      <w:r>
        <w:rPr/>
        <w:t>of</w:t>
      </w:r>
      <w:r>
        <w:rPr>
          <w:spacing w:val="-13"/>
        </w:rPr>
        <w:t> </w:t>
      </w:r>
      <w:r>
        <w:rPr/>
        <w:t>heightened</w:t>
      </w:r>
      <w:r>
        <w:rPr>
          <w:spacing w:val="-6"/>
        </w:rPr>
        <w:t> </w:t>
      </w:r>
      <w:r>
        <w:rPr/>
        <w:t>volatility</w:t>
      </w:r>
      <w:r>
        <w:rPr>
          <w:spacing w:val="-15"/>
        </w:rPr>
        <w:t> </w:t>
      </w:r>
      <w:r>
        <w:rPr/>
        <w:t>triggered</w:t>
      </w:r>
      <w:r>
        <w:rPr>
          <w:spacing w:val="-10"/>
        </w:rPr>
        <w:t> </w:t>
      </w:r>
      <w:r>
        <w:rPr/>
        <w:t>by major economic events. For Demat Share Solutions, a firm whose core value proposition rests on research-backed, personalised advisory, a structured understanding of how the NIFTY 50 has historically behaved around such events can directly strengthen the quality of its client communication, trade recommendations, and risk management practices. The scope of the study is confined</w:t>
      </w:r>
      <w:r>
        <w:rPr>
          <w:spacing w:val="-7"/>
        </w:rPr>
        <w:t> </w:t>
      </w:r>
      <w:r>
        <w:rPr/>
        <w:t>to</w:t>
      </w:r>
      <w:r>
        <w:rPr>
          <w:spacing w:val="-6"/>
        </w:rPr>
        <w:t> </w:t>
      </w:r>
      <w:r>
        <w:rPr/>
        <w:t>index-level</w:t>
      </w:r>
      <w:r>
        <w:rPr>
          <w:spacing w:val="-15"/>
        </w:rPr>
        <w:t> </w:t>
      </w:r>
      <w:r>
        <w:rPr/>
        <w:t>analysis</w:t>
      </w:r>
      <w:r>
        <w:rPr>
          <w:spacing w:val="-9"/>
        </w:rPr>
        <w:t> </w:t>
      </w:r>
      <w:r>
        <w:rPr/>
        <w:t>of</w:t>
      </w:r>
      <w:r>
        <w:rPr>
          <w:spacing w:val="-14"/>
        </w:rPr>
        <w:t> </w:t>
      </w:r>
      <w:r>
        <w:rPr/>
        <w:t>the</w:t>
      </w:r>
      <w:r>
        <w:rPr>
          <w:spacing w:val="-8"/>
        </w:rPr>
        <w:t> </w:t>
      </w:r>
      <w:r>
        <w:rPr/>
        <w:t>NIFTY</w:t>
      </w:r>
      <w:r>
        <w:rPr>
          <w:spacing w:val="-7"/>
        </w:rPr>
        <w:t> </w:t>
      </w:r>
      <w:r>
        <w:rPr/>
        <w:t>50</w:t>
      </w:r>
      <w:r>
        <w:rPr>
          <w:spacing w:val="-12"/>
        </w:rPr>
        <w:t> </w:t>
      </w:r>
      <w:r>
        <w:rPr/>
        <w:t>during</w:t>
      </w:r>
      <w:r>
        <w:rPr>
          <w:spacing w:val="-7"/>
        </w:rPr>
        <w:t> </w:t>
      </w:r>
      <w:r>
        <w:rPr/>
        <w:t>three</w:t>
      </w:r>
      <w:r>
        <w:rPr>
          <w:spacing w:val="-8"/>
        </w:rPr>
        <w:t> </w:t>
      </w:r>
      <w:r>
        <w:rPr/>
        <w:t>purposively</w:t>
      </w:r>
      <w:r>
        <w:rPr>
          <w:spacing w:val="-15"/>
        </w:rPr>
        <w:t> </w:t>
      </w:r>
      <w:r>
        <w:rPr/>
        <w:t>selected major economic</w:t>
      </w:r>
      <w:r>
        <w:rPr>
          <w:spacing w:val="-2"/>
        </w:rPr>
        <w:t> </w:t>
      </w:r>
      <w:r>
        <w:rPr/>
        <w:t>events, drawing</w:t>
      </w:r>
      <w:r>
        <w:rPr>
          <w:spacing w:val="-1"/>
        </w:rPr>
        <w:t> </w:t>
      </w:r>
      <w:r>
        <w:rPr/>
        <w:t>on</w:t>
      </w:r>
      <w:r>
        <w:rPr>
          <w:spacing w:val="-6"/>
        </w:rPr>
        <w:t> </w:t>
      </w:r>
      <w:r>
        <w:rPr/>
        <w:t>secondary</w:t>
      </w:r>
      <w:r>
        <w:rPr>
          <w:spacing w:val="-6"/>
        </w:rPr>
        <w:t> </w:t>
      </w:r>
      <w:r>
        <w:rPr/>
        <w:t>data</w:t>
      </w:r>
      <w:r>
        <w:rPr>
          <w:spacing w:val="-2"/>
        </w:rPr>
        <w:t> </w:t>
      </w:r>
      <w:r>
        <w:rPr/>
        <w:t>sourced</w:t>
      </w:r>
      <w:r>
        <w:rPr>
          <w:spacing w:val="-1"/>
        </w:rPr>
        <w:t> </w:t>
      </w:r>
      <w:r>
        <w:rPr/>
        <w:t>from</w:t>
      </w:r>
      <w:r>
        <w:rPr>
          <w:spacing w:val="-10"/>
        </w:rPr>
        <w:t> </w:t>
      </w:r>
      <w:r>
        <w:rPr/>
        <w:t>NSE, BSE,</w:t>
      </w:r>
      <w:r>
        <w:rPr>
          <w:spacing w:val="-4"/>
        </w:rPr>
        <w:t> </w:t>
      </w:r>
      <w:r>
        <w:rPr/>
        <w:t>RBI, and SEBI, and does not extend to individual stock-level reactions or to indices of other exchanges or asset classes.</w:t>
      </w:r>
    </w:p>
    <w:p>
      <w:pPr>
        <w:pStyle w:val="BodyText"/>
        <w:spacing w:before="53"/>
        <w:jc w:val="left"/>
      </w:pPr>
    </w:p>
    <w:p>
      <w:pPr>
        <w:pStyle w:val="Heading2"/>
        <w:numPr>
          <w:ilvl w:val="1"/>
          <w:numId w:val="1"/>
        </w:numPr>
        <w:tabs>
          <w:tab w:pos="1085" w:val="left" w:leader="none"/>
        </w:tabs>
        <w:spacing w:line="240" w:lineRule="auto" w:before="0" w:after="0"/>
        <w:ind w:left="1085" w:right="0" w:hanging="364"/>
        <w:jc w:val="left"/>
      </w:pPr>
      <w:r>
        <w:rPr/>
        <w:t>Organisational</w:t>
      </w:r>
      <w:r>
        <w:rPr>
          <w:spacing w:val="-9"/>
        </w:rPr>
        <w:t> </w:t>
      </w:r>
      <w:r>
        <w:rPr/>
        <w:t>Context:</w:t>
      </w:r>
      <w:r>
        <w:rPr>
          <w:spacing w:val="-3"/>
        </w:rPr>
        <w:t> </w:t>
      </w:r>
      <w:r>
        <w:rPr/>
        <w:t>Demat</w:t>
      </w:r>
      <w:r>
        <w:rPr>
          <w:spacing w:val="-2"/>
        </w:rPr>
        <w:t> </w:t>
      </w:r>
      <w:r>
        <w:rPr/>
        <w:t>Share</w:t>
      </w:r>
      <w:r>
        <w:rPr>
          <w:spacing w:val="-5"/>
        </w:rPr>
        <w:t> </w:t>
      </w:r>
      <w:r>
        <w:rPr/>
        <w:t>Solutions,</w:t>
      </w:r>
      <w:r>
        <w:rPr>
          <w:spacing w:val="-6"/>
        </w:rPr>
        <w:t> </w:t>
      </w:r>
      <w:r>
        <w:rPr>
          <w:spacing w:val="-2"/>
        </w:rPr>
        <w:t>Mumbai</w:t>
      </w:r>
    </w:p>
    <w:p>
      <w:pPr>
        <w:pStyle w:val="BodyText"/>
        <w:spacing w:line="360" w:lineRule="auto" w:before="175"/>
        <w:ind w:left="721" w:right="2165"/>
      </w:pPr>
      <w:r>
        <w:rPr/>
        <w:t>The study was carried out during a Summer Internship Project at Demat Share Solutions,</w:t>
      </w:r>
      <w:r>
        <w:rPr>
          <w:spacing w:val="45"/>
        </w:rPr>
        <w:t> </w:t>
      </w:r>
      <w:r>
        <w:rPr/>
        <w:t>a</w:t>
      </w:r>
      <w:r>
        <w:rPr>
          <w:spacing w:val="44"/>
        </w:rPr>
        <w:t> </w:t>
      </w:r>
      <w:r>
        <w:rPr/>
        <w:t>privately</w:t>
      </w:r>
      <w:r>
        <w:rPr>
          <w:spacing w:val="40"/>
        </w:rPr>
        <w:t> </w:t>
      </w:r>
      <w:r>
        <w:rPr/>
        <w:t>held</w:t>
      </w:r>
      <w:r>
        <w:rPr>
          <w:spacing w:val="45"/>
        </w:rPr>
        <w:t> </w:t>
      </w:r>
      <w:r>
        <w:rPr/>
        <w:t>stock</w:t>
      </w:r>
      <w:r>
        <w:rPr>
          <w:spacing w:val="40"/>
        </w:rPr>
        <w:t> </w:t>
      </w:r>
      <w:r>
        <w:rPr/>
        <w:t>broking</w:t>
      </w:r>
      <w:r>
        <w:rPr>
          <w:spacing w:val="45"/>
        </w:rPr>
        <w:t> </w:t>
      </w:r>
      <w:r>
        <w:rPr/>
        <w:t>and</w:t>
      </w:r>
      <w:r>
        <w:rPr>
          <w:spacing w:val="49"/>
        </w:rPr>
        <w:t> </w:t>
      </w:r>
      <w:r>
        <w:rPr/>
        <w:t>financial</w:t>
      </w:r>
      <w:r>
        <w:rPr>
          <w:spacing w:val="41"/>
        </w:rPr>
        <w:t> </w:t>
      </w:r>
      <w:r>
        <w:rPr/>
        <w:t>advisory</w:t>
      </w:r>
      <w:r>
        <w:rPr>
          <w:spacing w:val="35"/>
        </w:rPr>
        <w:t> </w:t>
      </w:r>
      <w:r>
        <w:rPr/>
        <w:t>firm</w:t>
      </w:r>
      <w:r>
        <w:rPr>
          <w:spacing w:val="41"/>
        </w:rPr>
        <w:t> </w:t>
      </w:r>
      <w:r>
        <w:rPr/>
        <w:t>based</w:t>
      </w:r>
      <w:r>
        <w:rPr>
          <w:spacing w:val="49"/>
        </w:rPr>
        <w:t> </w:t>
      </w:r>
      <w:r>
        <w:rPr>
          <w:spacing w:val="-5"/>
        </w:rPr>
        <w:t>in</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0"/>
      </w:pPr>
      <w:r>
        <w:rPr/>
        <w:t>Mumbai. The firm operates within India's broader stock broking and financial advisory services industry, offering equity and derivatives research, technical analysis,</w:t>
      </w:r>
      <w:r>
        <w:rPr>
          <w:spacing w:val="-15"/>
        </w:rPr>
        <w:t> </w:t>
      </w:r>
      <w:r>
        <w:rPr/>
        <w:t>margin</w:t>
      </w:r>
      <w:r>
        <w:rPr>
          <w:spacing w:val="-15"/>
        </w:rPr>
        <w:t> </w:t>
      </w:r>
      <w:r>
        <w:rPr/>
        <w:t>trading</w:t>
      </w:r>
      <w:r>
        <w:rPr>
          <w:spacing w:val="-15"/>
        </w:rPr>
        <w:t> </w:t>
      </w:r>
      <w:r>
        <w:rPr/>
        <w:t>facility</w:t>
      </w:r>
      <w:r>
        <w:rPr>
          <w:spacing w:val="-15"/>
        </w:rPr>
        <w:t> </w:t>
      </w:r>
      <w:r>
        <w:rPr/>
        <w:t>(MTF),</w:t>
      </w:r>
      <w:r>
        <w:rPr>
          <w:spacing w:val="-13"/>
        </w:rPr>
        <w:t> </w:t>
      </w:r>
      <w:r>
        <w:rPr/>
        <w:t>ASBA-based</w:t>
      </w:r>
      <w:r>
        <w:rPr>
          <w:spacing w:val="-14"/>
        </w:rPr>
        <w:t> </w:t>
      </w:r>
      <w:r>
        <w:rPr/>
        <w:t>IPO</w:t>
      </w:r>
      <w:r>
        <w:rPr>
          <w:spacing w:val="-15"/>
        </w:rPr>
        <w:t> </w:t>
      </w:r>
      <w:r>
        <w:rPr/>
        <w:t>applications,</w:t>
      </w:r>
      <w:r>
        <w:rPr>
          <w:spacing w:val="-13"/>
        </w:rPr>
        <w:t> </w:t>
      </w:r>
      <w:r>
        <w:rPr/>
        <w:t>and</w:t>
      </w:r>
      <w:r>
        <w:rPr>
          <w:spacing w:val="-10"/>
        </w:rPr>
        <w:t> </w:t>
      </w:r>
      <w:r>
        <w:rPr/>
        <w:t>mutual fund/SIP</w:t>
      </w:r>
      <w:r>
        <w:rPr>
          <w:spacing w:val="-6"/>
        </w:rPr>
        <w:t> </w:t>
      </w:r>
      <w:r>
        <w:rPr/>
        <w:t>registration</w:t>
      </w:r>
      <w:r>
        <w:rPr>
          <w:spacing w:val="-12"/>
        </w:rPr>
        <w:t> </w:t>
      </w:r>
      <w:r>
        <w:rPr/>
        <w:t>to</w:t>
      </w:r>
      <w:r>
        <w:rPr>
          <w:spacing w:val="-2"/>
        </w:rPr>
        <w:t> </w:t>
      </w:r>
      <w:r>
        <w:rPr/>
        <w:t>retail</w:t>
      </w:r>
      <w:r>
        <w:rPr>
          <w:spacing w:val="-15"/>
        </w:rPr>
        <w:t> </w:t>
      </w:r>
      <w:r>
        <w:rPr/>
        <w:t>clients.</w:t>
      </w:r>
      <w:r>
        <w:rPr>
          <w:spacing w:val="-5"/>
        </w:rPr>
        <w:t> </w:t>
      </w:r>
      <w:r>
        <w:rPr/>
        <w:t>Like</w:t>
      </w:r>
      <w:r>
        <w:rPr>
          <w:spacing w:val="-3"/>
        </w:rPr>
        <w:t> </w:t>
      </w:r>
      <w:r>
        <w:rPr/>
        <w:t>many</w:t>
      </w:r>
      <w:r>
        <w:rPr>
          <w:spacing w:val="-7"/>
        </w:rPr>
        <w:t> </w:t>
      </w:r>
      <w:r>
        <w:rPr/>
        <w:t>boutique</w:t>
      </w:r>
      <w:r>
        <w:rPr>
          <w:spacing w:val="-8"/>
        </w:rPr>
        <w:t> </w:t>
      </w:r>
      <w:r>
        <w:rPr/>
        <w:t>advisory</w:t>
      </w:r>
      <w:r>
        <w:rPr>
          <w:spacing w:val="-12"/>
        </w:rPr>
        <w:t> </w:t>
      </w:r>
      <w:r>
        <w:rPr/>
        <w:t>firms</w:t>
      </w:r>
      <w:r>
        <w:rPr>
          <w:spacing w:val="-9"/>
        </w:rPr>
        <w:t> </w:t>
      </w:r>
      <w:r>
        <w:rPr/>
        <w:t>operating alongside a small number of large discount brokers, Demat Share Solutions differentiates itself through personalised, research-driven client service and a collaborative, peer-reviewed approach to stock ideas and technical setups. The researcher's placement within the firm's research and advisory function — involving daily pre-market preparation, review of global market cues, and preparation</w:t>
      </w:r>
      <w:r>
        <w:rPr>
          <w:spacing w:val="-5"/>
        </w:rPr>
        <w:t> </w:t>
      </w:r>
      <w:r>
        <w:rPr/>
        <w:t>of</w:t>
      </w:r>
      <w:r>
        <w:rPr>
          <w:spacing w:val="-7"/>
        </w:rPr>
        <w:t> </w:t>
      </w:r>
      <w:r>
        <w:rPr/>
        <w:t>a</w:t>
      </w:r>
      <w:r>
        <w:rPr>
          <w:spacing w:val="-1"/>
        </w:rPr>
        <w:t> </w:t>
      </w:r>
      <w:r>
        <w:rPr/>
        <w:t>morning market outlook — provided</w:t>
      </w:r>
      <w:r>
        <w:rPr>
          <w:spacing w:val="-1"/>
        </w:rPr>
        <w:t> </w:t>
      </w:r>
      <w:r>
        <w:rPr/>
        <w:t>first-hand, practitioner-level exposure to how major economic events are interpreted and responded to in real time, directly motivating the choice of this study's topic and research objectives.</w:t>
      </w:r>
    </w:p>
    <w:p>
      <w:pPr>
        <w:pStyle w:val="BodyText"/>
        <w:spacing w:before="131"/>
        <w:jc w:val="left"/>
      </w:pPr>
    </w:p>
    <w:p>
      <w:pPr>
        <w:pStyle w:val="Heading1"/>
        <w:numPr>
          <w:ilvl w:val="0"/>
          <w:numId w:val="1"/>
        </w:numPr>
        <w:tabs>
          <w:tab w:pos="1003" w:val="left" w:leader="none"/>
        </w:tabs>
        <w:spacing w:line="240" w:lineRule="auto" w:before="0" w:after="0"/>
        <w:ind w:left="1003" w:right="0" w:hanging="282"/>
        <w:jc w:val="both"/>
      </w:pPr>
      <w:r>
        <w:rPr/>
        <w:t>LITERATURE</w:t>
      </w:r>
      <w:r>
        <w:rPr>
          <w:spacing w:val="-12"/>
        </w:rPr>
        <w:t> </w:t>
      </w:r>
      <w:r>
        <w:rPr>
          <w:spacing w:val="-2"/>
        </w:rPr>
        <w:t>REVIEWS</w:t>
      </w:r>
    </w:p>
    <w:p>
      <w:pPr>
        <w:pStyle w:val="Heading2"/>
        <w:numPr>
          <w:ilvl w:val="1"/>
          <w:numId w:val="1"/>
        </w:numPr>
        <w:tabs>
          <w:tab w:pos="1085" w:val="left" w:leader="none"/>
        </w:tabs>
        <w:spacing w:line="240" w:lineRule="auto" w:before="320" w:after="0"/>
        <w:ind w:left="1085" w:right="0" w:hanging="364"/>
        <w:jc w:val="both"/>
      </w:pPr>
      <w:r>
        <w:rPr>
          <w:spacing w:val="-2"/>
        </w:rPr>
        <w:t>Reviews</w:t>
      </w:r>
    </w:p>
    <w:p>
      <w:pPr>
        <w:pStyle w:val="BodyText"/>
        <w:spacing w:line="360" w:lineRule="auto" w:before="175"/>
        <w:ind w:left="721" w:right="2155"/>
      </w:pPr>
      <w:r>
        <w:rPr/>
        <w:t>This section reviews twenty-seven published research studies related to the performance of</w:t>
      </w:r>
      <w:r>
        <w:rPr>
          <w:spacing w:val="-4"/>
        </w:rPr>
        <w:t> </w:t>
      </w:r>
      <w:r>
        <w:rPr/>
        <w:t>the NIFTY 50 during major economic events, covering the period 2003 to 2025, drawn from Indian and internationally indexed journals, SEBI official</w:t>
      </w:r>
      <w:r>
        <w:rPr>
          <w:spacing w:val="-14"/>
        </w:rPr>
        <w:t> </w:t>
      </w:r>
      <w:r>
        <w:rPr/>
        <w:t>research,</w:t>
      </w:r>
      <w:r>
        <w:rPr>
          <w:spacing w:val="-9"/>
        </w:rPr>
        <w:t> </w:t>
      </w:r>
      <w:r>
        <w:rPr/>
        <w:t>and</w:t>
      </w:r>
      <w:r>
        <w:rPr>
          <w:spacing w:val="-11"/>
        </w:rPr>
        <w:t> </w:t>
      </w:r>
      <w:r>
        <w:rPr/>
        <w:t>recent</w:t>
      </w:r>
      <w:r>
        <w:rPr>
          <w:spacing w:val="-6"/>
        </w:rPr>
        <w:t> </w:t>
      </w:r>
      <w:r>
        <w:rPr/>
        <w:t>academic</w:t>
      </w:r>
      <w:r>
        <w:rPr>
          <w:spacing w:val="-12"/>
        </w:rPr>
        <w:t> </w:t>
      </w:r>
      <w:r>
        <w:rPr/>
        <w:t>pre-prints.</w:t>
      </w:r>
      <w:r>
        <w:rPr>
          <w:spacing w:val="-9"/>
        </w:rPr>
        <w:t> </w:t>
      </w:r>
      <w:r>
        <w:rPr/>
        <w:t>The</w:t>
      </w:r>
      <w:r>
        <w:rPr>
          <w:spacing w:val="-12"/>
        </w:rPr>
        <w:t> </w:t>
      </w:r>
      <w:r>
        <w:rPr/>
        <w:t>review</w:t>
      </w:r>
      <w:r>
        <w:rPr>
          <w:spacing w:val="-7"/>
        </w:rPr>
        <w:t> </w:t>
      </w:r>
      <w:r>
        <w:rPr/>
        <w:t>is</w:t>
      </w:r>
      <w:r>
        <w:rPr>
          <w:spacing w:val="-12"/>
        </w:rPr>
        <w:t> </w:t>
      </w:r>
      <w:r>
        <w:rPr/>
        <w:t>organised</w:t>
      </w:r>
      <w:r>
        <w:rPr>
          <w:spacing w:val="-11"/>
        </w:rPr>
        <w:t> </w:t>
      </w:r>
      <w:r>
        <w:rPr/>
        <w:t>under</w:t>
      </w:r>
      <w:r>
        <w:rPr>
          <w:spacing w:val="-9"/>
        </w:rPr>
        <w:t> </w:t>
      </w:r>
      <w:r>
        <w:rPr/>
        <w:t>six thematic clusters.</w:t>
      </w:r>
    </w:p>
    <w:p>
      <w:pPr>
        <w:pStyle w:val="Heading2"/>
        <w:spacing w:before="269"/>
        <w:ind w:left="721" w:firstLine="0"/>
      </w:pPr>
      <w:r>
        <w:rPr>
          <w:u w:val="single"/>
        </w:rPr>
        <w:t>COVID-19</w:t>
      </w:r>
      <w:r>
        <w:rPr>
          <w:spacing w:val="-3"/>
          <w:u w:val="single"/>
        </w:rPr>
        <w:t> </w:t>
      </w:r>
      <w:r>
        <w:rPr>
          <w:u w:val="single"/>
        </w:rPr>
        <w:t>and</w:t>
      </w:r>
      <w:r>
        <w:rPr>
          <w:spacing w:val="-3"/>
          <w:u w:val="single"/>
        </w:rPr>
        <w:t> </w:t>
      </w:r>
      <w:r>
        <w:rPr>
          <w:u w:val="single"/>
        </w:rPr>
        <w:t>Pandemic-Driven</w:t>
      </w:r>
      <w:r>
        <w:rPr>
          <w:spacing w:val="-3"/>
          <w:u w:val="single"/>
        </w:rPr>
        <w:t> </w:t>
      </w:r>
      <w:r>
        <w:rPr>
          <w:u w:val="single"/>
        </w:rPr>
        <w:t>Market</w:t>
      </w:r>
      <w:r>
        <w:rPr>
          <w:spacing w:val="-2"/>
          <w:u w:val="single"/>
        </w:rPr>
        <w:t> Events</w:t>
      </w:r>
    </w:p>
    <w:p>
      <w:pPr>
        <w:pStyle w:val="BodyText"/>
        <w:spacing w:line="360" w:lineRule="auto" w:before="151"/>
        <w:ind w:left="721" w:right="2149"/>
      </w:pPr>
      <w:r>
        <w:rPr/>
        <w:t>Rakshit &amp; Basistha (2023), studying the impact of COVID-19 on the NIFTY 50 and SENSEX using a GARCH model on daily NSE/BSE data (September 2019–July</w:t>
      </w:r>
      <w:r>
        <w:rPr>
          <w:spacing w:val="-15"/>
        </w:rPr>
        <w:t> </w:t>
      </w:r>
      <w:r>
        <w:rPr/>
        <w:t>2020),</w:t>
      </w:r>
      <w:r>
        <w:rPr>
          <w:spacing w:val="-15"/>
        </w:rPr>
        <w:t> </w:t>
      </w:r>
      <w:r>
        <w:rPr/>
        <w:t>found</w:t>
      </w:r>
      <w:r>
        <w:rPr>
          <w:spacing w:val="-15"/>
        </w:rPr>
        <w:t> </w:t>
      </w:r>
      <w:r>
        <w:rPr/>
        <w:t>that</w:t>
      </w:r>
      <w:r>
        <w:rPr>
          <w:spacing w:val="-15"/>
        </w:rPr>
        <w:t> </w:t>
      </w:r>
      <w:r>
        <w:rPr/>
        <w:t>index</w:t>
      </w:r>
      <w:r>
        <w:rPr>
          <w:spacing w:val="-15"/>
        </w:rPr>
        <w:t> </w:t>
      </w:r>
      <w:r>
        <w:rPr/>
        <w:t>volatility</w:t>
      </w:r>
      <w:r>
        <w:rPr>
          <w:spacing w:val="-15"/>
        </w:rPr>
        <w:t> </w:t>
      </w:r>
      <w:r>
        <w:rPr/>
        <w:t>more</w:t>
      </w:r>
      <w:r>
        <w:rPr>
          <w:spacing w:val="-15"/>
        </w:rPr>
        <w:t> </w:t>
      </w:r>
      <w:r>
        <w:rPr/>
        <w:t>than</w:t>
      </w:r>
      <w:r>
        <w:rPr>
          <w:spacing w:val="-15"/>
        </w:rPr>
        <w:t> </w:t>
      </w:r>
      <w:r>
        <w:rPr/>
        <w:t>doubled</w:t>
      </w:r>
      <w:r>
        <w:rPr>
          <w:spacing w:val="-15"/>
        </w:rPr>
        <w:t> </w:t>
      </w:r>
      <w:r>
        <w:rPr/>
        <w:t>—</w:t>
      </w:r>
      <w:r>
        <w:rPr>
          <w:spacing w:val="-15"/>
        </w:rPr>
        <w:t> </w:t>
      </w:r>
      <w:r>
        <w:rPr/>
        <w:t>from</w:t>
      </w:r>
      <w:r>
        <w:rPr>
          <w:spacing w:val="-15"/>
        </w:rPr>
        <w:t> </w:t>
      </w:r>
      <w:r>
        <w:rPr/>
        <w:t>0.9%</w:t>
      </w:r>
      <w:r>
        <w:rPr>
          <w:spacing w:val="-15"/>
        </w:rPr>
        <w:t> </w:t>
      </w:r>
      <w:r>
        <w:rPr/>
        <w:t>pre-COVID to 2.19% during the pandemic — with the index falling from 11,380 to around 7,500</w:t>
      </w:r>
      <w:r>
        <w:rPr>
          <w:spacing w:val="-16"/>
        </w:rPr>
        <w:t> </w:t>
      </w:r>
      <w:r>
        <w:rPr/>
        <w:t>points</w:t>
      </w:r>
      <w:r>
        <w:rPr>
          <w:spacing w:val="-14"/>
        </w:rPr>
        <w:t> </w:t>
      </w:r>
      <w:r>
        <w:rPr/>
        <w:t>in</w:t>
      </w:r>
      <w:r>
        <w:rPr>
          <w:spacing w:val="-15"/>
        </w:rPr>
        <w:t> </w:t>
      </w:r>
      <w:r>
        <w:rPr/>
        <w:t>March</w:t>
      </w:r>
      <w:r>
        <w:rPr>
          <w:spacing w:val="-15"/>
        </w:rPr>
        <w:t> </w:t>
      </w:r>
      <w:r>
        <w:rPr/>
        <w:t>2020,</w:t>
      </w:r>
      <w:r>
        <w:rPr>
          <w:spacing w:val="-13"/>
        </w:rPr>
        <w:t> </w:t>
      </w:r>
      <w:r>
        <w:rPr/>
        <w:t>the</w:t>
      </w:r>
      <w:r>
        <w:rPr>
          <w:spacing w:val="-13"/>
        </w:rPr>
        <w:t> </w:t>
      </w:r>
      <w:r>
        <w:rPr/>
        <w:t>banking</w:t>
      </w:r>
      <w:r>
        <w:rPr>
          <w:spacing w:val="-12"/>
        </w:rPr>
        <w:t> </w:t>
      </w:r>
      <w:r>
        <w:rPr/>
        <w:t>sector</w:t>
      </w:r>
      <w:r>
        <w:rPr>
          <w:spacing w:val="-15"/>
        </w:rPr>
        <w:t> </w:t>
      </w:r>
      <w:r>
        <w:rPr/>
        <w:t>being</w:t>
      </w:r>
      <w:r>
        <w:rPr>
          <w:spacing w:val="-12"/>
        </w:rPr>
        <w:t> </w:t>
      </w:r>
      <w:r>
        <w:rPr/>
        <w:t>worst</w:t>
      </w:r>
      <w:r>
        <w:rPr>
          <w:spacing w:val="-7"/>
        </w:rPr>
        <w:t> </w:t>
      </w:r>
      <w:r>
        <w:rPr/>
        <w:t>hit.</w:t>
      </w:r>
      <w:r>
        <w:rPr>
          <w:spacing w:val="-11"/>
        </w:rPr>
        <w:t> </w:t>
      </w:r>
      <w:r>
        <w:rPr/>
        <w:t>All</w:t>
      </w:r>
      <w:r>
        <w:rPr>
          <w:spacing w:val="-11"/>
        </w:rPr>
        <w:t> </w:t>
      </w:r>
      <w:r>
        <w:rPr/>
        <w:t>Finance</w:t>
      </w:r>
      <w:r>
        <w:rPr>
          <w:spacing w:val="-12"/>
        </w:rPr>
        <w:t> </w:t>
      </w:r>
      <w:r>
        <w:rPr>
          <w:spacing w:val="-2"/>
        </w:rPr>
        <w:t>Journal</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2"/>
      </w:pPr>
      <w:r>
        <w:rPr/>
        <w:t>(2025), examining</w:t>
      </w:r>
      <w:r>
        <w:rPr>
          <w:spacing w:val="-1"/>
        </w:rPr>
        <w:t> </w:t>
      </w:r>
      <w:r>
        <w:rPr/>
        <w:t>NIFTY</w:t>
      </w:r>
      <w:r>
        <w:rPr>
          <w:spacing w:val="-2"/>
        </w:rPr>
        <w:t> </w:t>
      </w:r>
      <w:r>
        <w:rPr/>
        <w:t>50</w:t>
      </w:r>
      <w:r>
        <w:rPr>
          <w:spacing w:val="-1"/>
        </w:rPr>
        <w:t> </w:t>
      </w:r>
      <w:r>
        <w:rPr/>
        <w:t>performance from</w:t>
      </w:r>
      <w:r>
        <w:rPr>
          <w:spacing w:val="-6"/>
        </w:rPr>
        <w:t> </w:t>
      </w:r>
      <w:r>
        <w:rPr/>
        <w:t>April</w:t>
      </w:r>
      <w:r>
        <w:rPr>
          <w:spacing w:val="-9"/>
        </w:rPr>
        <w:t> </w:t>
      </w:r>
      <w:r>
        <w:rPr/>
        <w:t>2019</w:t>
      </w:r>
      <w:r>
        <w:rPr>
          <w:spacing w:val="-1"/>
        </w:rPr>
        <w:t> </w:t>
      </w:r>
      <w:r>
        <w:rPr/>
        <w:t>to March</w:t>
      </w:r>
      <w:r>
        <w:rPr>
          <w:spacing w:val="-6"/>
        </w:rPr>
        <w:t> </w:t>
      </w:r>
      <w:r>
        <w:rPr/>
        <w:t>2024, found the index crashed to 7,511 in March 2020 but recovered to 14,024 by December 2020 — over 100% in nine months — delivering a 14.26% annualised return and demonstrating</w:t>
      </w:r>
      <w:r>
        <w:rPr>
          <w:spacing w:val="-8"/>
        </w:rPr>
        <w:t> </w:t>
      </w:r>
      <w:r>
        <w:rPr/>
        <w:t>remarkable</w:t>
      </w:r>
      <w:r>
        <w:rPr>
          <w:spacing w:val="-9"/>
        </w:rPr>
        <w:t> </w:t>
      </w:r>
      <w:r>
        <w:rPr/>
        <w:t>resilience.</w:t>
      </w:r>
      <w:r>
        <w:rPr>
          <w:spacing w:val="-7"/>
        </w:rPr>
        <w:t> </w:t>
      </w:r>
      <w:r>
        <w:rPr/>
        <w:t>Dey</w:t>
      </w:r>
      <w:r>
        <w:rPr>
          <w:spacing w:val="-13"/>
        </w:rPr>
        <w:t> </w:t>
      </w:r>
      <w:r>
        <w:rPr/>
        <w:t>&amp;</w:t>
      </w:r>
      <w:r>
        <w:rPr>
          <w:spacing w:val="-12"/>
        </w:rPr>
        <w:t> </w:t>
      </w:r>
      <w:r>
        <w:rPr/>
        <w:t>Bhattacharjee</w:t>
      </w:r>
      <w:r>
        <w:rPr>
          <w:spacing w:val="-9"/>
        </w:rPr>
        <w:t> </w:t>
      </w:r>
      <w:r>
        <w:rPr/>
        <w:t>(2023),</w:t>
      </w:r>
      <w:r>
        <w:rPr>
          <w:spacing w:val="-7"/>
        </w:rPr>
        <w:t> </w:t>
      </w:r>
      <w:r>
        <w:rPr/>
        <w:t>applying</w:t>
      </w:r>
      <w:r>
        <w:rPr>
          <w:spacing w:val="-8"/>
        </w:rPr>
        <w:t> </w:t>
      </w:r>
      <w:r>
        <w:rPr/>
        <w:t>event-study methodology and GARCH volatility analysis around COVID-19 announcement dates, found significant negative abnormal returns immediately following</w:t>
      </w:r>
      <w:r>
        <w:rPr>
          <w:spacing w:val="-15"/>
        </w:rPr>
        <w:t> </w:t>
      </w:r>
      <w:r>
        <w:rPr/>
        <w:t>pandemic</w:t>
      </w:r>
      <w:r>
        <w:rPr>
          <w:spacing w:val="-15"/>
        </w:rPr>
        <w:t> </w:t>
      </w:r>
      <w:r>
        <w:rPr/>
        <w:t>announcements,</w:t>
      </w:r>
      <w:r>
        <w:rPr>
          <w:spacing w:val="-15"/>
        </w:rPr>
        <w:t> </w:t>
      </w:r>
      <w:r>
        <w:rPr/>
        <w:t>followed</w:t>
      </w:r>
      <w:r>
        <w:rPr>
          <w:spacing w:val="-7"/>
        </w:rPr>
        <w:t> </w:t>
      </w:r>
      <w:r>
        <w:rPr/>
        <w:t>by</w:t>
      </w:r>
      <w:r>
        <w:rPr>
          <w:spacing w:val="-15"/>
        </w:rPr>
        <w:t> </w:t>
      </w:r>
      <w:r>
        <w:rPr/>
        <w:t>a</w:t>
      </w:r>
      <w:r>
        <w:rPr>
          <w:spacing w:val="-8"/>
        </w:rPr>
        <w:t> </w:t>
      </w:r>
      <w:r>
        <w:rPr/>
        <w:t>recovery</w:t>
      </w:r>
      <w:r>
        <w:rPr>
          <w:spacing w:val="-15"/>
        </w:rPr>
        <w:t> </w:t>
      </w:r>
      <w:r>
        <w:rPr/>
        <w:t>of</w:t>
      </w:r>
      <w:r>
        <w:rPr>
          <w:spacing w:val="-15"/>
        </w:rPr>
        <w:t> </w:t>
      </w:r>
      <w:r>
        <w:rPr/>
        <w:t>over</w:t>
      </w:r>
      <w:r>
        <w:rPr>
          <w:spacing w:val="-10"/>
        </w:rPr>
        <w:t> </w:t>
      </w:r>
      <w:r>
        <w:rPr/>
        <w:t>100%</w:t>
      </w:r>
      <w:r>
        <w:rPr>
          <w:spacing w:val="-10"/>
        </w:rPr>
        <w:t> </w:t>
      </w:r>
      <w:r>
        <w:rPr/>
        <w:t>by</w:t>
      </w:r>
      <w:r>
        <w:rPr>
          <w:spacing w:val="-15"/>
        </w:rPr>
        <w:t> </w:t>
      </w:r>
      <w:r>
        <w:rPr/>
        <w:t>early 2021, the fastest in NIFTY 50's history, driven by FII and DII buying. Multiple Authors</w:t>
      </w:r>
      <w:r>
        <w:rPr>
          <w:spacing w:val="-6"/>
        </w:rPr>
        <w:t> </w:t>
      </w:r>
      <w:r>
        <w:rPr/>
        <w:t>(2023),</w:t>
      </w:r>
      <w:r>
        <w:rPr>
          <w:spacing w:val="-7"/>
        </w:rPr>
        <w:t> </w:t>
      </w:r>
      <w:r>
        <w:rPr/>
        <w:t>comparing</w:t>
      </w:r>
      <w:r>
        <w:rPr>
          <w:spacing w:val="-5"/>
        </w:rPr>
        <w:t> </w:t>
      </w:r>
      <w:r>
        <w:rPr/>
        <w:t>pre-COVID</w:t>
      </w:r>
      <w:r>
        <w:rPr>
          <w:spacing w:val="-6"/>
        </w:rPr>
        <w:t> </w:t>
      </w:r>
      <w:r>
        <w:rPr/>
        <w:t>and</w:t>
      </w:r>
      <w:r>
        <w:rPr>
          <w:spacing w:val="-5"/>
        </w:rPr>
        <w:t> </w:t>
      </w:r>
      <w:r>
        <w:rPr/>
        <w:t>post-COVID</w:t>
      </w:r>
      <w:r>
        <w:rPr>
          <w:spacing w:val="-6"/>
        </w:rPr>
        <w:t> </w:t>
      </w:r>
      <w:r>
        <w:rPr/>
        <w:t>NIFTY</w:t>
      </w:r>
      <w:r>
        <w:rPr>
          <w:spacing w:val="-6"/>
        </w:rPr>
        <w:t> </w:t>
      </w:r>
      <w:r>
        <w:rPr/>
        <w:t>50</w:t>
      </w:r>
      <w:r>
        <w:rPr>
          <w:spacing w:val="-9"/>
        </w:rPr>
        <w:t> </w:t>
      </w:r>
      <w:r>
        <w:rPr/>
        <w:t>performance, concluded</w:t>
      </w:r>
      <w:r>
        <w:rPr>
          <w:spacing w:val="-15"/>
        </w:rPr>
        <w:t> </w:t>
      </w:r>
      <w:r>
        <w:rPr/>
        <w:t>that</w:t>
      </w:r>
      <w:r>
        <w:rPr>
          <w:spacing w:val="-15"/>
        </w:rPr>
        <w:t> </w:t>
      </w:r>
      <w:r>
        <w:rPr/>
        <w:t>the</w:t>
      </w:r>
      <w:r>
        <w:rPr>
          <w:spacing w:val="-15"/>
        </w:rPr>
        <w:t> </w:t>
      </w:r>
      <w:r>
        <w:rPr/>
        <w:t>index</w:t>
      </w:r>
      <w:r>
        <w:rPr>
          <w:spacing w:val="-15"/>
        </w:rPr>
        <w:t> </w:t>
      </w:r>
      <w:r>
        <w:rPr/>
        <w:t>is</w:t>
      </w:r>
      <w:r>
        <w:rPr>
          <w:spacing w:val="-15"/>
        </w:rPr>
        <w:t> </w:t>
      </w:r>
      <w:r>
        <w:rPr/>
        <w:t>more</w:t>
      </w:r>
      <w:r>
        <w:rPr>
          <w:spacing w:val="-15"/>
        </w:rPr>
        <w:t> </w:t>
      </w:r>
      <w:r>
        <w:rPr/>
        <w:t>resilient</w:t>
      </w:r>
      <w:r>
        <w:rPr>
          <w:spacing w:val="-15"/>
        </w:rPr>
        <w:t> </w:t>
      </w:r>
      <w:r>
        <w:rPr/>
        <w:t>than</w:t>
      </w:r>
      <w:r>
        <w:rPr>
          <w:spacing w:val="-15"/>
        </w:rPr>
        <w:t> </w:t>
      </w:r>
      <w:r>
        <w:rPr/>
        <w:t>comparable</w:t>
      </w:r>
      <w:r>
        <w:rPr>
          <w:spacing w:val="-15"/>
        </w:rPr>
        <w:t> </w:t>
      </w:r>
      <w:r>
        <w:rPr/>
        <w:t>emerging-market</w:t>
      </w:r>
      <w:r>
        <w:rPr>
          <w:spacing w:val="-15"/>
        </w:rPr>
        <w:t> </w:t>
      </w:r>
      <w:r>
        <w:rPr/>
        <w:t>indices and recovers faster after major global crises. Vevek, Selvam &amp; Sivaprakkash (2022), applying a GARCH(1,1) model to 732 daily observations (2019–2021), found</w:t>
      </w:r>
      <w:r>
        <w:rPr>
          <w:spacing w:val="-15"/>
        </w:rPr>
        <w:t> </w:t>
      </w:r>
      <w:r>
        <w:rPr/>
        <w:t>that</w:t>
      </w:r>
      <w:r>
        <w:rPr>
          <w:spacing w:val="-15"/>
        </w:rPr>
        <w:t> </w:t>
      </w:r>
      <w:r>
        <w:rPr/>
        <w:t>volatility</w:t>
      </w:r>
      <w:r>
        <w:rPr>
          <w:spacing w:val="-15"/>
        </w:rPr>
        <w:t> </w:t>
      </w:r>
      <w:r>
        <w:rPr/>
        <w:t>triggered</w:t>
      </w:r>
      <w:r>
        <w:rPr>
          <w:spacing w:val="-15"/>
        </w:rPr>
        <w:t> </w:t>
      </w:r>
      <w:r>
        <w:rPr/>
        <w:t>by</w:t>
      </w:r>
      <w:r>
        <w:rPr>
          <w:spacing w:val="-15"/>
        </w:rPr>
        <w:t> </w:t>
      </w:r>
      <w:r>
        <w:rPr/>
        <w:t>economic</w:t>
      </w:r>
      <w:r>
        <w:rPr>
          <w:spacing w:val="-15"/>
        </w:rPr>
        <w:t> </w:t>
      </w:r>
      <w:r>
        <w:rPr/>
        <w:t>shocks</w:t>
      </w:r>
      <w:r>
        <w:rPr>
          <w:spacing w:val="-15"/>
        </w:rPr>
        <w:t> </w:t>
      </w:r>
      <w:r>
        <w:rPr/>
        <w:t>is</w:t>
      </w:r>
      <w:r>
        <w:rPr>
          <w:spacing w:val="-15"/>
        </w:rPr>
        <w:t> </w:t>
      </w:r>
      <w:r>
        <w:rPr/>
        <w:t>persistent</w:t>
      </w:r>
      <w:r>
        <w:rPr>
          <w:spacing w:val="-15"/>
        </w:rPr>
        <w:t> </w:t>
      </w:r>
      <w:r>
        <w:rPr/>
        <w:t>rather</w:t>
      </w:r>
      <w:r>
        <w:rPr>
          <w:spacing w:val="-15"/>
        </w:rPr>
        <w:t> </w:t>
      </w:r>
      <w:r>
        <w:rPr/>
        <w:t>than</w:t>
      </w:r>
      <w:r>
        <w:rPr>
          <w:spacing w:val="-15"/>
        </w:rPr>
        <w:t> </w:t>
      </w:r>
      <w:r>
        <w:rPr/>
        <w:t>transient, with</w:t>
      </w:r>
      <w:r>
        <w:rPr>
          <w:spacing w:val="-15"/>
        </w:rPr>
        <w:t> </w:t>
      </w:r>
      <w:r>
        <w:rPr/>
        <w:t>negative</w:t>
      </w:r>
      <w:r>
        <w:rPr>
          <w:spacing w:val="-15"/>
        </w:rPr>
        <w:t> </w:t>
      </w:r>
      <w:r>
        <w:rPr/>
        <w:t>information</w:t>
      </w:r>
      <w:r>
        <w:rPr>
          <w:spacing w:val="-15"/>
        </w:rPr>
        <w:t> </w:t>
      </w:r>
      <w:r>
        <w:rPr/>
        <w:t>having</w:t>
      </w:r>
      <w:r>
        <w:rPr>
          <w:spacing w:val="-13"/>
        </w:rPr>
        <w:t> </w:t>
      </w:r>
      <w:r>
        <w:rPr/>
        <w:t>a</w:t>
      </w:r>
      <w:r>
        <w:rPr>
          <w:spacing w:val="-14"/>
        </w:rPr>
        <w:t> </w:t>
      </w:r>
      <w:r>
        <w:rPr/>
        <w:t>stronger</w:t>
      </w:r>
      <w:r>
        <w:rPr>
          <w:spacing w:val="-11"/>
        </w:rPr>
        <w:t> </w:t>
      </w:r>
      <w:r>
        <w:rPr/>
        <w:t>and</w:t>
      </w:r>
      <w:r>
        <w:rPr>
          <w:spacing w:val="-9"/>
        </w:rPr>
        <w:t> </w:t>
      </w:r>
      <w:r>
        <w:rPr/>
        <w:t>more</w:t>
      </w:r>
      <w:r>
        <w:rPr>
          <w:spacing w:val="-15"/>
        </w:rPr>
        <w:t> </w:t>
      </w:r>
      <w:r>
        <w:rPr/>
        <w:t>sustained</w:t>
      </w:r>
      <w:r>
        <w:rPr>
          <w:spacing w:val="-13"/>
        </w:rPr>
        <w:t> </w:t>
      </w:r>
      <w:r>
        <w:rPr/>
        <w:t>effect</w:t>
      </w:r>
      <w:r>
        <w:rPr>
          <w:spacing w:val="-12"/>
        </w:rPr>
        <w:t> </w:t>
      </w:r>
      <w:r>
        <w:rPr/>
        <w:t>than</w:t>
      </w:r>
      <w:r>
        <w:rPr>
          <w:spacing w:val="-15"/>
        </w:rPr>
        <w:t> </w:t>
      </w:r>
      <w:r>
        <w:rPr/>
        <w:t>positive information of equal magnitude.</w:t>
      </w:r>
    </w:p>
    <w:p>
      <w:pPr>
        <w:pStyle w:val="Heading2"/>
        <w:spacing w:before="268"/>
        <w:ind w:left="721" w:firstLine="0"/>
      </w:pPr>
      <w:r>
        <w:rPr>
          <w:u w:val="single"/>
        </w:rPr>
        <w:t>Union</w:t>
      </w:r>
      <w:r>
        <w:rPr>
          <w:spacing w:val="-5"/>
          <w:u w:val="single"/>
        </w:rPr>
        <w:t> </w:t>
      </w:r>
      <w:r>
        <w:rPr>
          <w:u w:val="single"/>
        </w:rPr>
        <w:t>Budget</w:t>
      </w:r>
      <w:r>
        <w:rPr>
          <w:spacing w:val="-1"/>
          <w:u w:val="single"/>
        </w:rPr>
        <w:t> </w:t>
      </w:r>
      <w:r>
        <w:rPr>
          <w:u w:val="single"/>
        </w:rPr>
        <w:t>and</w:t>
      </w:r>
      <w:r>
        <w:rPr>
          <w:spacing w:val="-3"/>
          <w:u w:val="single"/>
        </w:rPr>
        <w:t> </w:t>
      </w:r>
      <w:r>
        <w:rPr>
          <w:u w:val="single"/>
        </w:rPr>
        <w:t>RBI</w:t>
      </w:r>
      <w:r>
        <w:rPr>
          <w:spacing w:val="-5"/>
          <w:u w:val="single"/>
        </w:rPr>
        <w:t> </w:t>
      </w:r>
      <w:r>
        <w:rPr>
          <w:u w:val="single"/>
        </w:rPr>
        <w:t>Monetary</w:t>
      </w:r>
      <w:r>
        <w:rPr>
          <w:spacing w:val="1"/>
          <w:u w:val="single"/>
        </w:rPr>
        <w:t> </w:t>
      </w:r>
      <w:r>
        <w:rPr>
          <w:u w:val="single"/>
        </w:rPr>
        <w:t>Policy</w:t>
      </w:r>
      <w:r>
        <w:rPr>
          <w:spacing w:val="1"/>
          <w:u w:val="single"/>
        </w:rPr>
        <w:t> </w:t>
      </w:r>
      <w:r>
        <w:rPr>
          <w:spacing w:val="-2"/>
          <w:u w:val="single"/>
        </w:rPr>
        <w:t>Announcements</w:t>
      </w:r>
    </w:p>
    <w:p>
      <w:pPr>
        <w:pStyle w:val="BodyText"/>
        <w:spacing w:line="360" w:lineRule="auto" w:before="156"/>
        <w:ind w:left="721" w:right="2151"/>
      </w:pPr>
      <w:r>
        <w:rPr/>
        <w:t>arXiv Researchers (2025), analysing Union Budget announcements using event-study methodology with CAPM-based abnormal returns for Budget years 2020–2024,</w:t>
      </w:r>
      <w:r>
        <w:rPr>
          <w:spacing w:val="-2"/>
        </w:rPr>
        <w:t> </w:t>
      </w:r>
      <w:r>
        <w:rPr/>
        <w:t>found</w:t>
      </w:r>
      <w:r>
        <w:rPr>
          <w:spacing w:val="-4"/>
        </w:rPr>
        <w:t> </w:t>
      </w:r>
      <w:r>
        <w:rPr/>
        <w:t>that growth-oriented</w:t>
      </w:r>
      <w:r>
        <w:rPr>
          <w:spacing w:val="-4"/>
        </w:rPr>
        <w:t> </w:t>
      </w:r>
      <w:r>
        <w:rPr/>
        <w:t>budgets</w:t>
      </w:r>
      <w:r>
        <w:rPr>
          <w:spacing w:val="-6"/>
        </w:rPr>
        <w:t> </w:t>
      </w:r>
      <w:r>
        <w:rPr/>
        <w:t>generate</w:t>
      </w:r>
      <w:r>
        <w:rPr>
          <w:spacing w:val="-5"/>
        </w:rPr>
        <w:t> </w:t>
      </w:r>
      <w:r>
        <w:rPr/>
        <w:t>positive</w:t>
      </w:r>
      <w:r>
        <w:rPr>
          <w:spacing w:val="-5"/>
        </w:rPr>
        <w:t> </w:t>
      </w:r>
      <w:r>
        <w:rPr/>
        <w:t>reactions</w:t>
      </w:r>
      <w:r>
        <w:rPr>
          <w:spacing w:val="-6"/>
        </w:rPr>
        <w:t> </w:t>
      </w:r>
      <w:r>
        <w:rPr/>
        <w:t>(NIFTY</w:t>
      </w:r>
      <w:r>
        <w:rPr>
          <w:spacing w:val="-5"/>
        </w:rPr>
        <w:t> </w:t>
      </w:r>
      <w:r>
        <w:rPr/>
        <w:t>rose 237 points on Budget Day 2022) while tax-heavy budgets generate negative reactions (NIFTY fell 593 points, –2.33%, on Budget Day 2024). Jain (2025), investigating the ten-year relationship between the RBI repo rate and NIFTY 50 monthly closing prices, found a clear inverse relationship, with the 2022–23 rate-hike cycle coinciding with significant corrections. Multiple Researchers (2024), analysing ten years of RBI Monetary Policy Committee statements using topic modelling and sentiment classification, found that dovish RBI language led to equity</w:t>
      </w:r>
      <w:r>
        <w:rPr>
          <w:spacing w:val="-7"/>
        </w:rPr>
        <w:t> </w:t>
      </w:r>
      <w:r>
        <w:rPr/>
        <w:t>declines while</w:t>
      </w:r>
      <w:r>
        <w:rPr>
          <w:spacing w:val="2"/>
        </w:rPr>
        <w:t> </w:t>
      </w:r>
      <w:r>
        <w:rPr/>
        <w:t>hawkish-but-stable</w:t>
      </w:r>
      <w:r>
        <w:rPr>
          <w:spacing w:val="6"/>
        </w:rPr>
        <w:t> </w:t>
      </w:r>
      <w:r>
        <w:rPr/>
        <w:t>language</w:t>
      </w:r>
      <w:r>
        <w:rPr>
          <w:spacing w:val="5"/>
        </w:rPr>
        <w:t> </w:t>
      </w:r>
      <w:r>
        <w:rPr/>
        <w:t>reassured</w:t>
      </w:r>
      <w:r>
        <w:rPr>
          <w:spacing w:val="7"/>
        </w:rPr>
        <w:t> </w:t>
      </w:r>
      <w:r>
        <w:rPr/>
        <w:t>markets,</w:t>
      </w:r>
      <w:r>
        <w:rPr>
          <w:spacing w:val="4"/>
        </w:rPr>
        <w:t> </w:t>
      </w:r>
      <w:r>
        <w:rPr/>
        <w:t>and</w:t>
      </w:r>
      <w:r>
        <w:rPr>
          <w:spacing w:val="2"/>
        </w:rPr>
        <w:t> </w:t>
      </w:r>
      <w:r>
        <w:rPr/>
        <w:t>that</w:t>
      </w:r>
      <w:r>
        <w:rPr>
          <w:spacing w:val="-1"/>
        </w:rPr>
        <w:t> </w:t>
      </w:r>
      <w:r>
        <w:rPr>
          <w:spacing w:val="-5"/>
        </w:rPr>
        <w:t>the</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0"/>
      </w:pPr>
      <w:r>
        <w:rPr/>
        <w:t>surprise</w:t>
      </w:r>
      <w:r>
        <w:rPr>
          <w:spacing w:val="-15"/>
        </w:rPr>
        <w:t> </w:t>
      </w:r>
      <w:r>
        <w:rPr/>
        <w:t>component</w:t>
      </w:r>
      <w:r>
        <w:rPr>
          <w:spacing w:val="-15"/>
        </w:rPr>
        <w:t> </w:t>
      </w:r>
      <w:r>
        <w:rPr/>
        <w:t>of</w:t>
      </w:r>
      <w:r>
        <w:rPr>
          <w:spacing w:val="-15"/>
        </w:rPr>
        <w:t> </w:t>
      </w:r>
      <w:r>
        <w:rPr/>
        <w:t>announcements</w:t>
      </w:r>
      <w:r>
        <w:rPr>
          <w:spacing w:val="-9"/>
        </w:rPr>
        <w:t> </w:t>
      </w:r>
      <w:r>
        <w:rPr/>
        <w:t>—</w:t>
      </w:r>
      <w:r>
        <w:rPr>
          <w:spacing w:val="-12"/>
        </w:rPr>
        <w:t> </w:t>
      </w:r>
      <w:r>
        <w:rPr/>
        <w:t>not</w:t>
      </w:r>
      <w:r>
        <w:rPr>
          <w:spacing w:val="-11"/>
        </w:rPr>
        <w:t> </w:t>
      </w:r>
      <w:r>
        <w:rPr/>
        <w:t>the</w:t>
      </w:r>
      <w:r>
        <w:rPr>
          <w:spacing w:val="-13"/>
        </w:rPr>
        <w:t> </w:t>
      </w:r>
      <w:r>
        <w:rPr/>
        <w:t>decision</w:t>
      </w:r>
      <w:r>
        <w:rPr>
          <w:spacing w:val="-12"/>
        </w:rPr>
        <w:t> </w:t>
      </w:r>
      <w:r>
        <w:rPr/>
        <w:t>itself</w:t>
      </w:r>
      <w:r>
        <w:rPr>
          <w:spacing w:val="-15"/>
        </w:rPr>
        <w:t> </w:t>
      </w:r>
      <w:r>
        <w:rPr/>
        <w:t>—</w:t>
      </w:r>
      <w:r>
        <w:rPr>
          <w:spacing w:val="-11"/>
        </w:rPr>
        <w:t> </w:t>
      </w:r>
      <w:r>
        <w:rPr/>
        <w:t>drives</w:t>
      </w:r>
      <w:r>
        <w:rPr>
          <w:spacing w:val="-14"/>
        </w:rPr>
        <w:t> </w:t>
      </w:r>
      <w:r>
        <w:rPr/>
        <w:t>the</w:t>
      </w:r>
      <w:r>
        <w:rPr>
          <w:spacing w:val="-9"/>
        </w:rPr>
        <w:t> </w:t>
      </w:r>
      <w:r>
        <w:rPr/>
        <w:t>larger part of the NIFTY 50 reaction. Bodla &amp; Jindal (2006), examining seasonal anomalies in NIFTY 50 and SENSEX returns, found significant monthly seasonality with Union Budget months showing distinctly higher volatility.</w:t>
      </w:r>
    </w:p>
    <w:p>
      <w:pPr>
        <w:pStyle w:val="Heading2"/>
        <w:spacing w:before="270"/>
        <w:ind w:left="721" w:firstLine="0"/>
      </w:pPr>
      <w:r>
        <w:rPr>
          <w:u w:val="single"/>
        </w:rPr>
        <w:t>Political</w:t>
      </w:r>
      <w:r>
        <w:rPr>
          <w:spacing w:val="-6"/>
          <w:u w:val="single"/>
        </w:rPr>
        <w:t> </w:t>
      </w:r>
      <w:r>
        <w:rPr>
          <w:u w:val="single"/>
        </w:rPr>
        <w:t>and</w:t>
      </w:r>
      <w:r>
        <w:rPr>
          <w:spacing w:val="-2"/>
          <w:u w:val="single"/>
        </w:rPr>
        <w:t> </w:t>
      </w:r>
      <w:r>
        <w:rPr>
          <w:u w:val="single"/>
        </w:rPr>
        <w:t>Electoral</w:t>
      </w:r>
      <w:r>
        <w:rPr>
          <w:spacing w:val="-5"/>
          <w:u w:val="single"/>
        </w:rPr>
        <w:t> </w:t>
      </w:r>
      <w:r>
        <w:rPr>
          <w:spacing w:val="-2"/>
          <w:u w:val="single"/>
        </w:rPr>
        <w:t>Events</w:t>
      </w:r>
    </w:p>
    <w:p>
      <w:pPr>
        <w:pStyle w:val="BodyText"/>
        <w:spacing w:line="360" w:lineRule="auto" w:before="151"/>
        <w:ind w:left="721" w:right="2150"/>
      </w:pPr>
      <w:r>
        <w:rPr/>
        <w:t>Multiple</w:t>
      </w:r>
      <w:r>
        <w:rPr>
          <w:spacing w:val="-15"/>
        </w:rPr>
        <w:t> </w:t>
      </w:r>
      <w:r>
        <w:rPr/>
        <w:t>Researchers</w:t>
      </w:r>
      <w:r>
        <w:rPr>
          <w:spacing w:val="-15"/>
        </w:rPr>
        <w:t> </w:t>
      </w:r>
      <w:r>
        <w:rPr/>
        <w:t>(2024),</w:t>
      </w:r>
      <w:r>
        <w:rPr>
          <w:spacing w:val="-15"/>
        </w:rPr>
        <w:t> </w:t>
      </w:r>
      <w:r>
        <w:rPr/>
        <w:t>conducting</w:t>
      </w:r>
      <w:r>
        <w:rPr>
          <w:spacing w:val="-15"/>
        </w:rPr>
        <w:t> </w:t>
      </w:r>
      <w:r>
        <w:rPr/>
        <w:t>an</w:t>
      </w:r>
      <w:r>
        <w:rPr>
          <w:spacing w:val="-15"/>
        </w:rPr>
        <w:t> </w:t>
      </w:r>
      <w:r>
        <w:rPr/>
        <w:t>event</w:t>
      </w:r>
      <w:r>
        <w:rPr>
          <w:spacing w:val="-15"/>
        </w:rPr>
        <w:t> </w:t>
      </w:r>
      <w:r>
        <w:rPr/>
        <w:t>study</w:t>
      </w:r>
      <w:r>
        <w:rPr>
          <w:spacing w:val="-15"/>
        </w:rPr>
        <w:t> </w:t>
      </w:r>
      <w:r>
        <w:rPr/>
        <w:t>on</w:t>
      </w:r>
      <w:r>
        <w:rPr>
          <w:spacing w:val="-15"/>
        </w:rPr>
        <w:t> </w:t>
      </w:r>
      <w:r>
        <w:rPr/>
        <w:t>the</w:t>
      </w:r>
      <w:r>
        <w:rPr>
          <w:spacing w:val="-15"/>
        </w:rPr>
        <w:t> </w:t>
      </w:r>
      <w:r>
        <w:rPr/>
        <w:t>2024</w:t>
      </w:r>
      <w:r>
        <w:rPr>
          <w:spacing w:val="-15"/>
        </w:rPr>
        <w:t> </w:t>
      </w:r>
      <w:r>
        <w:rPr/>
        <w:t>Indian</w:t>
      </w:r>
      <w:r>
        <w:rPr>
          <w:spacing w:val="-15"/>
        </w:rPr>
        <w:t> </w:t>
      </w:r>
      <w:r>
        <w:rPr/>
        <w:t>General Elections</w:t>
      </w:r>
      <w:r>
        <w:rPr>
          <w:spacing w:val="-15"/>
        </w:rPr>
        <w:t> </w:t>
      </w:r>
      <w:r>
        <w:rPr/>
        <w:t>using</w:t>
      </w:r>
      <w:r>
        <w:rPr>
          <w:spacing w:val="-15"/>
        </w:rPr>
        <w:t> </w:t>
      </w:r>
      <w:r>
        <w:rPr/>
        <w:t>daily</w:t>
      </w:r>
      <w:r>
        <w:rPr>
          <w:spacing w:val="-15"/>
        </w:rPr>
        <w:t> </w:t>
      </w:r>
      <w:r>
        <w:rPr/>
        <w:t>data</w:t>
      </w:r>
      <w:r>
        <w:rPr>
          <w:spacing w:val="-15"/>
        </w:rPr>
        <w:t> </w:t>
      </w:r>
      <w:r>
        <w:rPr/>
        <w:t>of</w:t>
      </w:r>
      <w:r>
        <w:rPr>
          <w:spacing w:val="-15"/>
        </w:rPr>
        <w:t> </w:t>
      </w:r>
      <w:r>
        <w:rPr/>
        <w:t>1,546</w:t>
      </w:r>
      <w:r>
        <w:rPr>
          <w:spacing w:val="-15"/>
        </w:rPr>
        <w:t> </w:t>
      </w:r>
      <w:r>
        <w:rPr/>
        <w:t>NSE-listed</w:t>
      </w:r>
      <w:r>
        <w:rPr>
          <w:spacing w:val="-15"/>
        </w:rPr>
        <w:t> </w:t>
      </w:r>
      <w:r>
        <w:rPr/>
        <w:t>companies</w:t>
      </w:r>
      <w:r>
        <w:rPr>
          <w:spacing w:val="-15"/>
        </w:rPr>
        <w:t> </w:t>
      </w:r>
      <w:r>
        <w:rPr/>
        <w:t>over</w:t>
      </w:r>
      <w:r>
        <w:rPr>
          <w:spacing w:val="-15"/>
        </w:rPr>
        <w:t> </w:t>
      </w:r>
      <w:r>
        <w:rPr/>
        <w:t>a</w:t>
      </w:r>
      <w:r>
        <w:rPr>
          <w:spacing w:val="-15"/>
        </w:rPr>
        <w:t> </w:t>
      </w:r>
      <w:r>
        <w:rPr/>
        <w:t>t−6</w:t>
      </w:r>
      <w:r>
        <w:rPr>
          <w:spacing w:val="-15"/>
        </w:rPr>
        <w:t> </w:t>
      </w:r>
      <w:r>
        <w:rPr/>
        <w:t>to</w:t>
      </w:r>
      <w:r>
        <w:rPr>
          <w:spacing w:val="-15"/>
        </w:rPr>
        <w:t> </w:t>
      </w:r>
      <w:r>
        <w:rPr/>
        <w:t>t+6</w:t>
      </w:r>
      <w:r>
        <w:rPr>
          <w:spacing w:val="-15"/>
        </w:rPr>
        <w:t> </w:t>
      </w:r>
      <w:r>
        <w:rPr/>
        <w:t>window, found significant negative abnormal returns from six days before to one day after the result, driven</w:t>
      </w:r>
      <w:r>
        <w:rPr>
          <w:spacing w:val="-1"/>
        </w:rPr>
        <w:t> </w:t>
      </w:r>
      <w:r>
        <w:rPr/>
        <w:t>by</w:t>
      </w:r>
      <w:r>
        <w:rPr>
          <w:spacing w:val="-6"/>
        </w:rPr>
        <w:t> </w:t>
      </w:r>
      <w:r>
        <w:rPr/>
        <w:t>an</w:t>
      </w:r>
      <w:r>
        <w:rPr>
          <w:spacing w:val="-1"/>
        </w:rPr>
        <w:t> </w:t>
      </w:r>
      <w:r>
        <w:rPr/>
        <w:t>unexpected coalition</w:t>
      </w:r>
      <w:r>
        <w:rPr>
          <w:spacing w:val="-1"/>
        </w:rPr>
        <w:t> </w:t>
      </w:r>
      <w:r>
        <w:rPr/>
        <w:t>outcome, followed by</w:t>
      </w:r>
      <w:r>
        <w:rPr>
          <w:spacing w:val="-6"/>
        </w:rPr>
        <w:t> </w:t>
      </w:r>
      <w:r>
        <w:rPr/>
        <w:t>a full</w:t>
      </w:r>
      <w:r>
        <w:rPr>
          <w:spacing w:val="-5"/>
        </w:rPr>
        <w:t> </w:t>
      </w:r>
      <w:r>
        <w:rPr/>
        <w:t>recovery within</w:t>
      </w:r>
      <w:r>
        <w:rPr>
          <w:spacing w:val="-9"/>
        </w:rPr>
        <w:t> </w:t>
      </w:r>
      <w:r>
        <w:rPr/>
        <w:t>a</w:t>
      </w:r>
      <w:r>
        <w:rPr>
          <w:spacing w:val="-5"/>
        </w:rPr>
        <w:t> </w:t>
      </w:r>
      <w:r>
        <w:rPr/>
        <w:t>week</w:t>
      </w:r>
      <w:r>
        <w:rPr>
          <w:spacing w:val="-3"/>
        </w:rPr>
        <w:t> </w:t>
      </w:r>
      <w:r>
        <w:rPr/>
        <w:t>—</w:t>
      </w:r>
      <w:r>
        <w:rPr>
          <w:spacing w:val="-4"/>
        </w:rPr>
        <w:t> </w:t>
      </w:r>
      <w:r>
        <w:rPr/>
        <w:t>confirming</w:t>
      </w:r>
      <w:r>
        <w:rPr>
          <w:spacing w:val="-4"/>
        </w:rPr>
        <w:t> </w:t>
      </w:r>
      <w:r>
        <w:rPr/>
        <w:t>that</w:t>
      </w:r>
      <w:r>
        <w:rPr>
          <w:spacing w:val="-4"/>
        </w:rPr>
        <w:t> </w:t>
      </w:r>
      <w:r>
        <w:rPr/>
        <w:t>electoral</w:t>
      </w:r>
      <w:r>
        <w:rPr>
          <w:spacing w:val="-12"/>
        </w:rPr>
        <w:t> </w:t>
      </w:r>
      <w:r>
        <w:rPr/>
        <w:t>events</w:t>
      </w:r>
      <w:r>
        <w:rPr>
          <w:spacing w:val="-6"/>
        </w:rPr>
        <w:t> </w:t>
      </w:r>
      <w:r>
        <w:rPr/>
        <w:t>create</w:t>
      </w:r>
      <w:r>
        <w:rPr>
          <w:spacing w:val="-10"/>
        </w:rPr>
        <w:t> </w:t>
      </w:r>
      <w:r>
        <w:rPr/>
        <w:t>significant but</w:t>
      </w:r>
      <w:r>
        <w:rPr>
          <w:spacing w:val="-4"/>
        </w:rPr>
        <w:t> </w:t>
      </w:r>
      <w:r>
        <w:rPr/>
        <w:t>short-term, rather than sustained, negative impacts on the NIFTY 50.</w:t>
      </w:r>
    </w:p>
    <w:p>
      <w:pPr>
        <w:pStyle w:val="Heading2"/>
        <w:spacing w:before="267"/>
        <w:ind w:left="721" w:firstLine="0"/>
      </w:pPr>
      <w:r>
        <w:rPr>
          <w:u w:val="single"/>
        </w:rPr>
        <w:t>Geopolitical</w:t>
      </w:r>
      <w:r>
        <w:rPr>
          <w:spacing w:val="-8"/>
          <w:u w:val="single"/>
        </w:rPr>
        <w:t> </w:t>
      </w:r>
      <w:r>
        <w:rPr>
          <w:u w:val="single"/>
        </w:rPr>
        <w:t>and</w:t>
      </w:r>
      <w:r>
        <w:rPr>
          <w:spacing w:val="-1"/>
          <w:u w:val="single"/>
        </w:rPr>
        <w:t> </w:t>
      </w:r>
      <w:r>
        <w:rPr>
          <w:u w:val="single"/>
        </w:rPr>
        <w:t>Global</w:t>
      </w:r>
      <w:r>
        <w:rPr>
          <w:spacing w:val="-5"/>
          <w:u w:val="single"/>
        </w:rPr>
        <w:t> </w:t>
      </w:r>
      <w:r>
        <w:rPr>
          <w:u w:val="single"/>
        </w:rPr>
        <w:t>Economic</w:t>
      </w:r>
      <w:r>
        <w:rPr>
          <w:spacing w:val="-1"/>
          <w:u w:val="single"/>
        </w:rPr>
        <w:t> </w:t>
      </w:r>
      <w:r>
        <w:rPr>
          <w:spacing w:val="-2"/>
          <w:u w:val="single"/>
        </w:rPr>
        <w:t>Shocks</w:t>
      </w:r>
    </w:p>
    <w:p>
      <w:pPr>
        <w:pStyle w:val="BodyText"/>
        <w:spacing w:line="360" w:lineRule="auto" w:before="152"/>
        <w:ind w:left="721" w:right="2156"/>
      </w:pPr>
      <w:r>
        <w:rPr/>
        <w:t>Kaushik &amp; Kumar (2023), examining the impact of</w:t>
      </w:r>
      <w:r>
        <w:rPr>
          <w:spacing w:val="-3"/>
        </w:rPr>
        <w:t> </w:t>
      </w:r>
      <w:r>
        <w:rPr/>
        <w:t>the Russia-Ukraine war using 240 daily</w:t>
      </w:r>
      <w:r>
        <w:rPr>
          <w:spacing w:val="-5"/>
        </w:rPr>
        <w:t> </w:t>
      </w:r>
      <w:r>
        <w:rPr/>
        <w:t>NSE closing prices around the 24 February</w:t>
      </w:r>
      <w:r>
        <w:rPr>
          <w:spacing w:val="-5"/>
        </w:rPr>
        <w:t> </w:t>
      </w:r>
      <w:r>
        <w:rPr/>
        <w:t>2022 invasion with a T-test, found that NIFTY 50 and SENSEX fell approximately 3.5% in early trade as oil crossed $100/barrel, with India's over-80% crude import dependence amplifying the impact. Chittedi (2015), examining linkages between NIFTY 50 and global markets during crisis periods, found that correlations with global markets rise sharply</w:t>
      </w:r>
      <w:r>
        <w:rPr>
          <w:spacing w:val="-15"/>
        </w:rPr>
        <w:t> </w:t>
      </w:r>
      <w:r>
        <w:rPr/>
        <w:t>during</w:t>
      </w:r>
      <w:r>
        <w:rPr>
          <w:spacing w:val="-15"/>
        </w:rPr>
        <w:t> </w:t>
      </w:r>
      <w:r>
        <w:rPr/>
        <w:t>crises,</w:t>
      </w:r>
      <w:r>
        <w:rPr>
          <w:spacing w:val="-15"/>
        </w:rPr>
        <w:t> </w:t>
      </w:r>
      <w:r>
        <w:rPr/>
        <w:t>indicating</w:t>
      </w:r>
      <w:r>
        <w:rPr>
          <w:spacing w:val="-15"/>
        </w:rPr>
        <w:t> </w:t>
      </w:r>
      <w:r>
        <w:rPr/>
        <w:t>financial</w:t>
      </w:r>
      <w:r>
        <w:rPr>
          <w:spacing w:val="-15"/>
        </w:rPr>
        <w:t> </w:t>
      </w:r>
      <w:r>
        <w:rPr/>
        <w:t>contagion.</w:t>
      </w:r>
      <w:r>
        <w:rPr>
          <w:spacing w:val="-15"/>
        </w:rPr>
        <w:t> </w:t>
      </w:r>
      <w:r>
        <w:rPr/>
        <w:t>Bhatt</w:t>
      </w:r>
      <w:r>
        <w:rPr>
          <w:spacing w:val="-15"/>
        </w:rPr>
        <w:t> </w:t>
      </w:r>
      <w:r>
        <w:rPr/>
        <w:t>&amp;</w:t>
      </w:r>
      <w:r>
        <w:rPr>
          <w:spacing w:val="-15"/>
        </w:rPr>
        <w:t> </w:t>
      </w:r>
      <w:r>
        <w:rPr/>
        <w:t>Virmani</w:t>
      </w:r>
      <w:r>
        <w:rPr>
          <w:spacing w:val="-15"/>
        </w:rPr>
        <w:t> </w:t>
      </w:r>
      <w:r>
        <w:rPr/>
        <w:t>(2005)</w:t>
      </w:r>
      <w:r>
        <w:rPr>
          <w:spacing w:val="-15"/>
        </w:rPr>
        <w:t> </w:t>
      </w:r>
      <w:r>
        <w:rPr/>
        <w:t>found partial integration of India's money market with global markets, confirming that aggressive US Fed rate hikes trigger capital outflows and selling pressure on the NIFTY 50 via FII outflows. Bekaert, Harvey &amp; Lundblad (2005) found that financial</w:t>
      </w:r>
      <w:r>
        <w:rPr>
          <w:spacing w:val="-1"/>
        </w:rPr>
        <w:t> </w:t>
      </w:r>
      <w:r>
        <w:rPr/>
        <w:t>liberalisation</w:t>
      </w:r>
      <w:r>
        <w:rPr>
          <w:spacing w:val="-1"/>
        </w:rPr>
        <w:t> </w:t>
      </w:r>
      <w:r>
        <w:rPr/>
        <w:t>and regulatory</w:t>
      </w:r>
      <w:r>
        <w:rPr>
          <w:spacing w:val="-6"/>
        </w:rPr>
        <w:t> </w:t>
      </w:r>
      <w:r>
        <w:rPr/>
        <w:t>reform</w:t>
      </w:r>
      <w:r>
        <w:rPr>
          <w:spacing w:val="-6"/>
        </w:rPr>
        <w:t> </w:t>
      </w:r>
      <w:r>
        <w:rPr/>
        <w:t>events raise long-term</w:t>
      </w:r>
      <w:r>
        <w:rPr>
          <w:spacing w:val="-6"/>
        </w:rPr>
        <w:t> </w:t>
      </w:r>
      <w:r>
        <w:rPr/>
        <w:t>equity</w:t>
      </w:r>
      <w:r>
        <w:rPr>
          <w:spacing w:val="-6"/>
        </w:rPr>
        <w:t> </w:t>
      </w:r>
      <w:r>
        <w:rPr/>
        <w:t>returns by roughly 1% annually, with effects that persist well beyond the announcement period.</w:t>
      </w:r>
      <w:r>
        <w:rPr>
          <w:spacing w:val="28"/>
        </w:rPr>
        <w:t>  </w:t>
      </w:r>
      <w:r>
        <w:rPr/>
        <w:t>Gupta</w:t>
      </w:r>
      <w:r>
        <w:rPr>
          <w:spacing w:val="29"/>
        </w:rPr>
        <w:t>  </w:t>
      </w:r>
      <w:r>
        <w:rPr/>
        <w:t>&amp;</w:t>
      </w:r>
      <w:r>
        <w:rPr>
          <w:spacing w:val="26"/>
        </w:rPr>
        <w:t>  </w:t>
      </w:r>
      <w:r>
        <w:rPr/>
        <w:t>Reid</w:t>
      </w:r>
      <w:r>
        <w:rPr>
          <w:spacing w:val="30"/>
        </w:rPr>
        <w:t>  </w:t>
      </w:r>
      <w:r>
        <w:rPr/>
        <w:t>(2013)</w:t>
      </w:r>
      <w:r>
        <w:rPr>
          <w:spacing w:val="29"/>
        </w:rPr>
        <w:t>  </w:t>
      </w:r>
      <w:r>
        <w:rPr/>
        <w:t>found</w:t>
      </w:r>
      <w:r>
        <w:rPr>
          <w:spacing w:val="30"/>
        </w:rPr>
        <w:t>  </w:t>
      </w:r>
      <w:r>
        <w:rPr/>
        <w:t>that</w:t>
      </w:r>
      <w:r>
        <w:rPr>
          <w:spacing w:val="29"/>
        </w:rPr>
        <w:t>  </w:t>
      </w:r>
      <w:r>
        <w:rPr/>
        <w:t>the</w:t>
      </w:r>
      <w:r>
        <w:rPr>
          <w:spacing w:val="29"/>
        </w:rPr>
        <w:t>  </w:t>
      </w:r>
      <w:r>
        <w:rPr/>
        <w:t>unexpected</w:t>
      </w:r>
      <w:r>
        <w:rPr>
          <w:spacing w:val="29"/>
        </w:rPr>
        <w:t>  </w:t>
      </w:r>
      <w:r>
        <w:rPr/>
        <w:t>component</w:t>
      </w:r>
      <w:r>
        <w:rPr>
          <w:spacing w:val="32"/>
        </w:rPr>
        <w:t>  </w:t>
      </w:r>
      <w:r>
        <w:rPr>
          <w:spacing w:val="-5"/>
        </w:rPr>
        <w:t>of</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7"/>
      </w:pPr>
      <w:r>
        <w:rPr/>
        <w:t>macroeconomic announcements — particularly interest-rate surprises — drives significantly larger reactions than expected announcements.</w:t>
      </w:r>
    </w:p>
    <w:p>
      <w:pPr>
        <w:pStyle w:val="Heading2"/>
        <w:spacing w:before="267"/>
        <w:ind w:left="721" w:firstLine="0"/>
      </w:pPr>
      <w:r>
        <w:rPr>
          <w:u w:val="single"/>
        </w:rPr>
        <w:t>Macroeconomic</w:t>
      </w:r>
      <w:r>
        <w:rPr>
          <w:spacing w:val="-5"/>
          <w:u w:val="single"/>
        </w:rPr>
        <w:t> </w:t>
      </w:r>
      <w:r>
        <w:rPr>
          <w:u w:val="single"/>
        </w:rPr>
        <w:t>Fundamentals</w:t>
      </w:r>
      <w:r>
        <w:rPr>
          <w:spacing w:val="-5"/>
          <w:u w:val="single"/>
        </w:rPr>
        <w:t> </w:t>
      </w:r>
      <w:r>
        <w:rPr>
          <w:u w:val="single"/>
        </w:rPr>
        <w:t>and</w:t>
      </w:r>
      <w:r>
        <w:rPr>
          <w:spacing w:val="-7"/>
          <w:u w:val="single"/>
        </w:rPr>
        <w:t> </w:t>
      </w:r>
      <w:r>
        <w:rPr>
          <w:u w:val="single"/>
        </w:rPr>
        <w:t>Market</w:t>
      </w:r>
      <w:r>
        <w:rPr>
          <w:spacing w:val="-2"/>
          <w:u w:val="single"/>
        </w:rPr>
        <w:t> Performance</w:t>
      </w:r>
    </w:p>
    <w:p>
      <w:pPr>
        <w:pStyle w:val="BodyText"/>
        <w:spacing w:line="360" w:lineRule="auto" w:before="151"/>
        <w:ind w:left="721" w:right="2153"/>
      </w:pPr>
      <w:r>
        <w:rPr/>
        <w:t>Tripathi</w:t>
      </w:r>
      <w:r>
        <w:rPr>
          <w:spacing w:val="-3"/>
        </w:rPr>
        <w:t> </w:t>
      </w:r>
      <w:r>
        <w:rPr/>
        <w:t>&amp;</w:t>
      </w:r>
      <w:r>
        <w:rPr>
          <w:spacing w:val="-7"/>
        </w:rPr>
        <w:t> </w:t>
      </w:r>
      <w:r>
        <w:rPr/>
        <w:t>Seth</w:t>
      </w:r>
      <w:r>
        <w:rPr>
          <w:spacing w:val="-7"/>
        </w:rPr>
        <w:t> </w:t>
      </w:r>
      <w:r>
        <w:rPr/>
        <w:t>(2014)</w:t>
      </w:r>
      <w:r>
        <w:rPr>
          <w:spacing w:val="-2"/>
        </w:rPr>
        <w:t> </w:t>
      </w:r>
      <w:r>
        <w:rPr/>
        <w:t>found</w:t>
      </w:r>
      <w:r>
        <w:rPr>
          <w:spacing w:val="-3"/>
        </w:rPr>
        <w:t> </w:t>
      </w:r>
      <w:r>
        <w:rPr/>
        <w:t>that FII flows,</w:t>
      </w:r>
      <w:r>
        <w:rPr>
          <w:spacing w:val="-1"/>
        </w:rPr>
        <w:t> </w:t>
      </w:r>
      <w:r>
        <w:rPr/>
        <w:t>GDP</w:t>
      </w:r>
      <w:r>
        <w:rPr>
          <w:spacing w:val="-3"/>
        </w:rPr>
        <w:t> </w:t>
      </w:r>
      <w:r>
        <w:rPr/>
        <w:t>growth,</w:t>
      </w:r>
      <w:r>
        <w:rPr>
          <w:spacing w:val="-1"/>
        </w:rPr>
        <w:t> </w:t>
      </w:r>
      <w:r>
        <w:rPr/>
        <w:t>interest rates,</w:t>
      </w:r>
      <w:r>
        <w:rPr>
          <w:spacing w:val="-1"/>
        </w:rPr>
        <w:t> </w:t>
      </w:r>
      <w:r>
        <w:rPr/>
        <w:t>exchange rate</w:t>
      </w:r>
      <w:r>
        <w:rPr>
          <w:spacing w:val="-15"/>
        </w:rPr>
        <w:t> </w:t>
      </w:r>
      <w:r>
        <w:rPr/>
        <w:t>and</w:t>
      </w:r>
      <w:r>
        <w:rPr>
          <w:spacing w:val="-15"/>
        </w:rPr>
        <w:t> </w:t>
      </w:r>
      <w:r>
        <w:rPr/>
        <w:t>inflation</w:t>
      </w:r>
      <w:r>
        <w:rPr>
          <w:spacing w:val="-15"/>
        </w:rPr>
        <w:t> </w:t>
      </w:r>
      <w:r>
        <w:rPr/>
        <w:t>are</w:t>
      </w:r>
      <w:r>
        <w:rPr>
          <w:spacing w:val="-15"/>
        </w:rPr>
        <w:t> </w:t>
      </w:r>
      <w:r>
        <w:rPr/>
        <w:t>all</w:t>
      </w:r>
      <w:r>
        <w:rPr>
          <w:spacing w:val="-15"/>
        </w:rPr>
        <w:t> </w:t>
      </w:r>
      <w:r>
        <w:rPr/>
        <w:t>significant</w:t>
      </w:r>
      <w:r>
        <w:rPr>
          <w:spacing w:val="-15"/>
        </w:rPr>
        <w:t> </w:t>
      </w:r>
      <w:r>
        <w:rPr/>
        <w:t>determinants</w:t>
      </w:r>
      <w:r>
        <w:rPr>
          <w:spacing w:val="-15"/>
        </w:rPr>
        <w:t> </w:t>
      </w:r>
      <w:r>
        <w:rPr/>
        <w:t>of</w:t>
      </w:r>
      <w:r>
        <w:rPr>
          <w:spacing w:val="-15"/>
        </w:rPr>
        <w:t> </w:t>
      </w:r>
      <w:r>
        <w:rPr/>
        <w:t>Indian</w:t>
      </w:r>
      <w:r>
        <w:rPr>
          <w:spacing w:val="-15"/>
        </w:rPr>
        <w:t> </w:t>
      </w:r>
      <w:r>
        <w:rPr/>
        <w:t>equity</w:t>
      </w:r>
      <w:r>
        <w:rPr>
          <w:spacing w:val="-15"/>
        </w:rPr>
        <w:t> </w:t>
      </w:r>
      <w:r>
        <w:rPr/>
        <w:t>performance,</w:t>
      </w:r>
      <w:r>
        <w:rPr>
          <w:spacing w:val="-15"/>
        </w:rPr>
        <w:t> </w:t>
      </w:r>
      <w:r>
        <w:rPr/>
        <w:t>with FII flows the strongest short-term driver. Naik &amp; Padhi (2012), using seventeen years of monthly data, found that money supply, industrial production, trade openness and FDI positively affect NIFTY 50 prices while exchange-rate depreciation</w:t>
      </w:r>
      <w:r>
        <w:rPr>
          <w:spacing w:val="-15"/>
        </w:rPr>
        <w:t> </w:t>
      </w:r>
      <w:r>
        <w:rPr/>
        <w:t>and</w:t>
      </w:r>
      <w:r>
        <w:rPr>
          <w:spacing w:val="-7"/>
        </w:rPr>
        <w:t> </w:t>
      </w:r>
      <w:r>
        <w:rPr/>
        <w:t>inflation</w:t>
      </w:r>
      <w:r>
        <w:rPr>
          <w:spacing w:val="-15"/>
        </w:rPr>
        <w:t> </w:t>
      </w:r>
      <w:r>
        <w:rPr/>
        <w:t>are</w:t>
      </w:r>
      <w:r>
        <w:rPr>
          <w:spacing w:val="-13"/>
        </w:rPr>
        <w:t> </w:t>
      </w:r>
      <w:r>
        <w:rPr/>
        <w:t>negative,</w:t>
      </w:r>
      <w:r>
        <w:rPr>
          <w:spacing w:val="-10"/>
        </w:rPr>
        <w:t> </w:t>
      </w:r>
      <w:r>
        <w:rPr/>
        <w:t>with</w:t>
      </w:r>
      <w:r>
        <w:rPr>
          <w:spacing w:val="-12"/>
        </w:rPr>
        <w:t> </w:t>
      </w:r>
      <w:r>
        <w:rPr/>
        <w:t>long-run</w:t>
      </w:r>
      <w:r>
        <w:rPr>
          <w:spacing w:val="-15"/>
        </w:rPr>
        <w:t> </w:t>
      </w:r>
      <w:r>
        <w:rPr/>
        <w:t>cointegration</w:t>
      </w:r>
      <w:r>
        <w:rPr>
          <w:spacing w:val="-15"/>
        </w:rPr>
        <w:t> </w:t>
      </w:r>
      <w:r>
        <w:rPr/>
        <w:t>confirming</w:t>
      </w:r>
      <w:r>
        <w:rPr>
          <w:spacing w:val="-12"/>
        </w:rPr>
        <w:t> </w:t>
      </w:r>
      <w:r>
        <w:rPr/>
        <w:t>that event-driven</w:t>
      </w:r>
      <w:r>
        <w:rPr>
          <w:spacing w:val="-8"/>
        </w:rPr>
        <w:t> </w:t>
      </w:r>
      <w:r>
        <w:rPr/>
        <w:t>deviations</w:t>
      </w:r>
      <w:r>
        <w:rPr>
          <w:spacing w:val="-5"/>
        </w:rPr>
        <w:t> </w:t>
      </w:r>
      <w:r>
        <w:rPr/>
        <w:t>are</w:t>
      </w:r>
      <w:r>
        <w:rPr>
          <w:spacing w:val="-4"/>
        </w:rPr>
        <w:t> </w:t>
      </w:r>
      <w:r>
        <w:rPr/>
        <w:t>corrected</w:t>
      </w:r>
      <w:r>
        <w:rPr>
          <w:spacing w:val="-8"/>
        </w:rPr>
        <w:t> </w:t>
      </w:r>
      <w:r>
        <w:rPr/>
        <w:t>over</w:t>
      </w:r>
      <w:r>
        <w:rPr>
          <w:spacing w:val="-6"/>
        </w:rPr>
        <w:t> </w:t>
      </w:r>
      <w:r>
        <w:rPr/>
        <w:t>time.</w:t>
      </w:r>
      <w:r>
        <w:rPr>
          <w:spacing w:val="-1"/>
        </w:rPr>
        <w:t> </w:t>
      </w:r>
      <w:r>
        <w:rPr/>
        <w:t>Srivastava</w:t>
      </w:r>
      <w:r>
        <w:rPr>
          <w:spacing w:val="-4"/>
        </w:rPr>
        <w:t> </w:t>
      </w:r>
      <w:r>
        <w:rPr/>
        <w:t>(2010)</w:t>
      </w:r>
      <w:r>
        <w:rPr>
          <w:spacing w:val="-2"/>
        </w:rPr>
        <w:t> </w:t>
      </w:r>
      <w:r>
        <w:rPr/>
        <w:t>found</w:t>
      </w:r>
      <w:r>
        <w:rPr>
          <w:spacing w:val="-3"/>
        </w:rPr>
        <w:t> </w:t>
      </w:r>
      <w:r>
        <w:rPr/>
        <w:t>FII</w:t>
      </w:r>
      <w:r>
        <w:rPr>
          <w:spacing w:val="-2"/>
        </w:rPr>
        <w:t> </w:t>
      </w:r>
      <w:r>
        <w:rPr/>
        <w:t>flows and the exchange rate to be the two strongest determinants of NIFTY 50 returns. Agarwal, Bhattacharjee &amp; Bhattacharjee (2023) found strong bidirectional causality between FII flows and NIFTY 50, with FII selling during global crises identified as a primary driver of sharp falls. Mohanty &amp; Subrahmanyam (2018) found</w:t>
      </w:r>
      <w:r>
        <w:rPr>
          <w:spacing w:val="-6"/>
        </w:rPr>
        <w:t> </w:t>
      </w:r>
      <w:r>
        <w:rPr/>
        <w:t>that</w:t>
      </w:r>
      <w:r>
        <w:rPr>
          <w:spacing w:val="-2"/>
        </w:rPr>
        <w:t> </w:t>
      </w:r>
      <w:r>
        <w:rPr/>
        <w:t>FII</w:t>
      </w:r>
      <w:r>
        <w:rPr>
          <w:spacing w:val="-4"/>
        </w:rPr>
        <w:t> </w:t>
      </w:r>
      <w:r>
        <w:rPr/>
        <w:t>selling</w:t>
      </w:r>
      <w:r>
        <w:rPr>
          <w:spacing w:val="-6"/>
        </w:rPr>
        <w:t> </w:t>
      </w:r>
      <w:r>
        <w:rPr/>
        <w:t>has</w:t>
      </w:r>
      <w:r>
        <w:rPr>
          <w:spacing w:val="-8"/>
        </w:rPr>
        <w:t> </w:t>
      </w:r>
      <w:r>
        <w:rPr/>
        <w:t>a</w:t>
      </w:r>
      <w:r>
        <w:rPr>
          <w:spacing w:val="-7"/>
        </w:rPr>
        <w:t> </w:t>
      </w:r>
      <w:r>
        <w:rPr/>
        <w:t>significantly</w:t>
      </w:r>
      <w:r>
        <w:rPr>
          <w:spacing w:val="-11"/>
        </w:rPr>
        <w:t> </w:t>
      </w:r>
      <w:r>
        <w:rPr/>
        <w:t>stronger</w:t>
      </w:r>
      <w:r>
        <w:rPr>
          <w:spacing w:val="-4"/>
        </w:rPr>
        <w:t> </w:t>
      </w:r>
      <w:r>
        <w:rPr/>
        <w:t>downward</w:t>
      </w:r>
      <w:r>
        <w:rPr>
          <w:spacing w:val="-6"/>
        </w:rPr>
        <w:t> </w:t>
      </w:r>
      <w:r>
        <w:rPr/>
        <w:t>effect</w:t>
      </w:r>
      <w:r>
        <w:rPr>
          <w:spacing w:val="-6"/>
        </w:rPr>
        <w:t> </w:t>
      </w:r>
      <w:r>
        <w:rPr/>
        <w:t>than</w:t>
      </w:r>
      <w:r>
        <w:rPr>
          <w:spacing w:val="-11"/>
        </w:rPr>
        <w:t> </w:t>
      </w:r>
      <w:r>
        <w:rPr/>
        <w:t>DII</w:t>
      </w:r>
      <w:r>
        <w:rPr>
          <w:spacing w:val="-4"/>
        </w:rPr>
        <w:t> </w:t>
      </w:r>
      <w:r>
        <w:rPr/>
        <w:t>buying has</w:t>
      </w:r>
      <w:r>
        <w:rPr>
          <w:spacing w:val="-15"/>
        </w:rPr>
        <w:t> </w:t>
      </w:r>
      <w:r>
        <w:rPr/>
        <w:t>upward,</w:t>
      </w:r>
      <w:r>
        <w:rPr>
          <w:spacing w:val="-15"/>
        </w:rPr>
        <w:t> </w:t>
      </w:r>
      <w:r>
        <w:rPr/>
        <w:t>with</w:t>
      </w:r>
      <w:r>
        <w:rPr>
          <w:spacing w:val="-15"/>
        </w:rPr>
        <w:t> </w:t>
      </w:r>
      <w:r>
        <w:rPr/>
        <w:t>DIIs</w:t>
      </w:r>
      <w:r>
        <w:rPr>
          <w:spacing w:val="-15"/>
        </w:rPr>
        <w:t> </w:t>
      </w:r>
      <w:r>
        <w:rPr/>
        <w:t>only</w:t>
      </w:r>
      <w:r>
        <w:rPr>
          <w:spacing w:val="-15"/>
        </w:rPr>
        <w:t> </w:t>
      </w:r>
      <w:r>
        <w:rPr/>
        <w:t>partially</w:t>
      </w:r>
      <w:r>
        <w:rPr>
          <w:spacing w:val="-15"/>
        </w:rPr>
        <w:t> </w:t>
      </w:r>
      <w:r>
        <w:rPr/>
        <w:t>cushioning</w:t>
      </w:r>
      <w:r>
        <w:rPr>
          <w:spacing w:val="-15"/>
        </w:rPr>
        <w:t> </w:t>
      </w:r>
      <w:r>
        <w:rPr/>
        <w:t>FII-driven</w:t>
      </w:r>
      <w:r>
        <w:rPr>
          <w:spacing w:val="-15"/>
        </w:rPr>
        <w:t> </w:t>
      </w:r>
      <w:r>
        <w:rPr/>
        <w:t>corrections.</w:t>
      </w:r>
      <w:r>
        <w:rPr>
          <w:spacing w:val="-15"/>
        </w:rPr>
        <w:t> </w:t>
      </w:r>
      <w:r>
        <w:rPr/>
        <w:t>Patel</w:t>
      </w:r>
      <w:r>
        <w:rPr>
          <w:spacing w:val="-15"/>
        </w:rPr>
        <w:t> </w:t>
      </w:r>
      <w:r>
        <w:rPr/>
        <w:t>(2012) found a negative NIFTY 50–gold relationship that strengthens during major economic crises, confirming gold as a safe-haven hedge.</w:t>
      </w:r>
    </w:p>
    <w:p>
      <w:pPr>
        <w:pStyle w:val="Heading2"/>
        <w:spacing w:before="273"/>
        <w:ind w:left="721" w:firstLine="0"/>
      </w:pPr>
      <w:r>
        <w:rPr>
          <w:u w:val="single"/>
        </w:rPr>
        <w:t>Market</w:t>
      </w:r>
      <w:r>
        <w:rPr>
          <w:spacing w:val="-6"/>
          <w:u w:val="single"/>
        </w:rPr>
        <w:t> </w:t>
      </w:r>
      <w:r>
        <w:rPr>
          <w:u w:val="single"/>
        </w:rPr>
        <w:t>Volatility,</w:t>
      </w:r>
      <w:r>
        <w:rPr>
          <w:spacing w:val="-2"/>
          <w:u w:val="single"/>
        </w:rPr>
        <w:t> </w:t>
      </w:r>
      <w:r>
        <w:rPr>
          <w:u w:val="single"/>
        </w:rPr>
        <w:t>Efficiency</w:t>
      </w:r>
      <w:r>
        <w:rPr>
          <w:spacing w:val="-4"/>
          <w:u w:val="single"/>
        </w:rPr>
        <w:t> </w:t>
      </w:r>
      <w:r>
        <w:rPr>
          <w:u w:val="single"/>
        </w:rPr>
        <w:t>and</w:t>
      </w:r>
      <w:r>
        <w:rPr>
          <w:spacing w:val="-4"/>
          <w:u w:val="single"/>
        </w:rPr>
        <w:t> </w:t>
      </w:r>
      <w:r>
        <w:rPr>
          <w:u w:val="single"/>
        </w:rPr>
        <w:t>Structural</w:t>
      </w:r>
      <w:r>
        <w:rPr>
          <w:spacing w:val="-8"/>
          <w:u w:val="single"/>
        </w:rPr>
        <w:t> </w:t>
      </w:r>
      <w:r>
        <w:rPr>
          <w:spacing w:val="-2"/>
          <w:u w:val="single"/>
        </w:rPr>
        <w:t>Characteristics</w:t>
      </w:r>
    </w:p>
    <w:p>
      <w:pPr>
        <w:pStyle w:val="BodyText"/>
        <w:spacing w:line="360" w:lineRule="auto" w:before="151"/>
        <w:ind w:left="721" w:right="2149"/>
      </w:pPr>
      <w:r>
        <w:rPr/>
        <w:t>Multiple Researchers (2025), presenting a 34-year analysis of NIFTY 50 (1990–2024), found a</w:t>
      </w:r>
      <w:r>
        <w:rPr>
          <w:spacing w:val="-1"/>
        </w:rPr>
        <w:t> </w:t>
      </w:r>
      <w:r>
        <w:rPr/>
        <w:t>74%</w:t>
      </w:r>
      <w:r>
        <w:rPr>
          <w:spacing w:val="-3"/>
        </w:rPr>
        <w:t> </w:t>
      </w:r>
      <w:r>
        <w:rPr/>
        <w:t>probability</w:t>
      </w:r>
      <w:r>
        <w:rPr>
          <w:spacing w:val="-10"/>
        </w:rPr>
        <w:t> </w:t>
      </w:r>
      <w:r>
        <w:rPr/>
        <w:t>of</w:t>
      </w:r>
      <w:r>
        <w:rPr>
          <w:spacing w:val="-8"/>
        </w:rPr>
        <w:t> </w:t>
      </w:r>
      <w:r>
        <w:rPr/>
        <w:t>positive</w:t>
      </w:r>
      <w:r>
        <w:rPr>
          <w:spacing w:val="-1"/>
        </w:rPr>
        <w:t> </w:t>
      </w:r>
      <w:r>
        <w:rPr/>
        <w:t>one-year returns</w:t>
      </w:r>
      <w:r>
        <w:rPr>
          <w:spacing w:val="-2"/>
        </w:rPr>
        <w:t> </w:t>
      </w:r>
      <w:r>
        <w:rPr/>
        <w:t>and full</w:t>
      </w:r>
      <w:r>
        <w:rPr>
          <w:spacing w:val="-9"/>
        </w:rPr>
        <w:t> </w:t>
      </w:r>
      <w:r>
        <w:rPr/>
        <w:t>recovery</w:t>
      </w:r>
      <w:r>
        <w:rPr>
          <w:spacing w:val="-10"/>
        </w:rPr>
        <w:t> </w:t>
      </w:r>
      <w:r>
        <w:rPr/>
        <w:t>after every major crisis across the index's history</w:t>
      </w:r>
      <w:r>
        <w:rPr>
          <w:spacing w:val="-1"/>
        </w:rPr>
        <w:t> </w:t>
      </w:r>
      <w:r>
        <w:rPr/>
        <w:t>— establishing long-run resilience as an</w:t>
      </w:r>
      <w:r>
        <w:rPr>
          <w:spacing w:val="-15"/>
        </w:rPr>
        <w:t> </w:t>
      </w:r>
      <w:r>
        <w:rPr/>
        <w:t>empirical</w:t>
      </w:r>
      <w:r>
        <w:rPr>
          <w:spacing w:val="-15"/>
        </w:rPr>
        <w:t> </w:t>
      </w:r>
      <w:r>
        <w:rPr/>
        <w:t>fact.</w:t>
      </w:r>
      <w:r>
        <w:rPr>
          <w:spacing w:val="-8"/>
        </w:rPr>
        <w:t> </w:t>
      </w:r>
      <w:r>
        <w:rPr/>
        <w:t>Mishra</w:t>
      </w:r>
      <w:r>
        <w:rPr>
          <w:spacing w:val="-11"/>
        </w:rPr>
        <w:t> </w:t>
      </w:r>
      <w:r>
        <w:rPr/>
        <w:t>(2010)</w:t>
      </w:r>
      <w:r>
        <w:rPr>
          <w:spacing w:val="-8"/>
        </w:rPr>
        <w:t> </w:t>
      </w:r>
      <w:r>
        <w:rPr/>
        <w:t>and</w:t>
      </w:r>
      <w:r>
        <w:rPr>
          <w:spacing w:val="-10"/>
        </w:rPr>
        <w:t> </w:t>
      </w:r>
      <w:r>
        <w:rPr/>
        <w:t>Selvam,</w:t>
      </w:r>
      <w:r>
        <w:rPr>
          <w:spacing w:val="-8"/>
        </w:rPr>
        <w:t> </w:t>
      </w:r>
      <w:r>
        <w:rPr/>
        <w:t>Gayathri</w:t>
      </w:r>
      <w:r>
        <w:rPr>
          <w:spacing w:val="-14"/>
        </w:rPr>
        <w:t> </w:t>
      </w:r>
      <w:r>
        <w:rPr/>
        <w:t>&amp;</w:t>
      </w:r>
      <w:r>
        <w:rPr>
          <w:spacing w:val="-14"/>
        </w:rPr>
        <w:t> </w:t>
      </w:r>
      <w:r>
        <w:rPr/>
        <w:t>Vinayagamoorthi</w:t>
      </w:r>
      <w:r>
        <w:rPr>
          <w:spacing w:val="-15"/>
        </w:rPr>
        <w:t> </w:t>
      </w:r>
      <w:r>
        <w:rPr/>
        <w:t>(2011), applying GARCH-family models, confirmed volatility clustering and a stronger effect of negative shocks than positive shocks of equal magnitude. Pandey</w:t>
      </w:r>
      <w:r>
        <w:rPr>
          <w:spacing w:val="-1"/>
        </w:rPr>
        <w:t> </w:t>
      </w:r>
      <w:r>
        <w:rPr/>
        <w:t>(2003) found</w:t>
      </w:r>
      <w:r>
        <w:rPr>
          <w:spacing w:val="-9"/>
        </w:rPr>
        <w:t> </w:t>
      </w:r>
      <w:r>
        <w:rPr/>
        <w:t>a</w:t>
      </w:r>
      <w:r>
        <w:rPr>
          <w:spacing w:val="-7"/>
        </w:rPr>
        <w:t> </w:t>
      </w:r>
      <w:r>
        <w:rPr/>
        <w:t>further</w:t>
      </w:r>
      <w:r>
        <w:rPr>
          <w:spacing w:val="-5"/>
        </w:rPr>
        <w:t> </w:t>
      </w:r>
      <w:r>
        <w:rPr/>
        <w:t>breakdown</w:t>
      </w:r>
      <w:r>
        <w:rPr>
          <w:spacing w:val="-15"/>
        </w:rPr>
        <w:t> </w:t>
      </w:r>
      <w:r>
        <w:rPr/>
        <w:t>of</w:t>
      </w:r>
      <w:r>
        <w:rPr>
          <w:spacing w:val="-13"/>
        </w:rPr>
        <w:t> </w:t>
      </w:r>
      <w:r>
        <w:rPr/>
        <w:t>weak-form</w:t>
      </w:r>
      <w:r>
        <w:rPr>
          <w:spacing w:val="-15"/>
        </w:rPr>
        <w:t> </w:t>
      </w:r>
      <w:r>
        <w:rPr/>
        <w:t>efficiency</w:t>
      </w:r>
      <w:r>
        <w:rPr>
          <w:spacing w:val="-15"/>
        </w:rPr>
        <w:t> </w:t>
      </w:r>
      <w:r>
        <w:rPr/>
        <w:t>during</w:t>
      </w:r>
      <w:r>
        <w:rPr>
          <w:spacing w:val="-6"/>
        </w:rPr>
        <w:t> </w:t>
      </w:r>
      <w:r>
        <w:rPr/>
        <w:t>major</w:t>
      </w:r>
      <w:r>
        <w:rPr>
          <w:spacing w:val="-4"/>
        </w:rPr>
        <w:t> </w:t>
      </w:r>
      <w:r>
        <w:rPr/>
        <w:t>economic</w:t>
      </w:r>
      <w:r>
        <w:rPr>
          <w:spacing w:val="-7"/>
        </w:rPr>
        <w:t> </w:t>
      </w:r>
      <w:r>
        <w:rPr>
          <w:spacing w:val="-2"/>
        </w:rPr>
        <w:t>events,</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7"/>
      </w:pPr>
      <w:r>
        <w:rPr/>
        <w:t>implying that NIFTY 50 reactions may persist longer than in fully efficient developed</w:t>
      </w:r>
      <w:r>
        <w:rPr>
          <w:spacing w:val="-15"/>
        </w:rPr>
        <w:t> </w:t>
      </w:r>
      <w:r>
        <w:rPr/>
        <w:t>markets.</w:t>
      </w:r>
      <w:r>
        <w:rPr>
          <w:spacing w:val="-15"/>
        </w:rPr>
        <w:t> </w:t>
      </w:r>
      <w:r>
        <w:rPr/>
        <w:t>Nath</w:t>
      </w:r>
      <w:r>
        <w:rPr>
          <w:spacing w:val="-15"/>
        </w:rPr>
        <w:t> </w:t>
      </w:r>
      <w:r>
        <w:rPr/>
        <w:t>&amp;</w:t>
      </w:r>
      <w:r>
        <w:rPr>
          <w:spacing w:val="-15"/>
        </w:rPr>
        <w:t> </w:t>
      </w:r>
      <w:r>
        <w:rPr/>
        <w:t>Dalvi</w:t>
      </w:r>
      <w:r>
        <w:rPr>
          <w:spacing w:val="-15"/>
        </w:rPr>
        <w:t> </w:t>
      </w:r>
      <w:r>
        <w:rPr/>
        <w:t>(2004)</w:t>
      </w:r>
      <w:r>
        <w:rPr>
          <w:spacing w:val="-15"/>
        </w:rPr>
        <w:t> </w:t>
      </w:r>
      <w:r>
        <w:rPr/>
        <w:t>found</w:t>
      </w:r>
      <w:r>
        <w:rPr>
          <w:spacing w:val="-15"/>
        </w:rPr>
        <w:t> </w:t>
      </w:r>
      <w:r>
        <w:rPr/>
        <w:t>significant</w:t>
      </w:r>
      <w:r>
        <w:rPr>
          <w:spacing w:val="-15"/>
        </w:rPr>
        <w:t> </w:t>
      </w:r>
      <w:r>
        <w:rPr/>
        <w:t>day-of-the-week</w:t>
      </w:r>
      <w:r>
        <w:rPr>
          <w:spacing w:val="-15"/>
        </w:rPr>
        <w:t> </w:t>
      </w:r>
      <w:r>
        <w:rPr/>
        <w:t>effects, with event-driven announcements on specific trading days amplifying the magnitude</w:t>
      </w:r>
      <w:r>
        <w:rPr>
          <w:spacing w:val="-15"/>
        </w:rPr>
        <w:t> </w:t>
      </w:r>
      <w:r>
        <w:rPr/>
        <w:t>of</w:t>
      </w:r>
      <w:r>
        <w:rPr>
          <w:spacing w:val="-15"/>
        </w:rPr>
        <w:t> </w:t>
      </w:r>
      <w:r>
        <w:rPr/>
        <w:t>NIFTY</w:t>
      </w:r>
      <w:r>
        <w:rPr>
          <w:spacing w:val="-15"/>
        </w:rPr>
        <w:t> </w:t>
      </w:r>
      <w:r>
        <w:rPr/>
        <w:t>50</w:t>
      </w:r>
      <w:r>
        <w:rPr>
          <w:spacing w:val="-15"/>
        </w:rPr>
        <w:t> </w:t>
      </w:r>
      <w:r>
        <w:rPr/>
        <w:t>reactions.</w:t>
      </w:r>
      <w:r>
        <w:rPr>
          <w:spacing w:val="-15"/>
        </w:rPr>
        <w:t> </w:t>
      </w:r>
      <w:r>
        <w:rPr/>
        <w:t>SEBI</w:t>
      </w:r>
      <w:r>
        <w:rPr>
          <w:spacing w:val="-15"/>
        </w:rPr>
        <w:t> </w:t>
      </w:r>
      <w:r>
        <w:rPr/>
        <w:t>(2024),</w:t>
      </w:r>
      <w:r>
        <w:rPr>
          <w:spacing w:val="-15"/>
        </w:rPr>
        <w:t> </w:t>
      </w:r>
      <w:r>
        <w:rPr/>
        <w:t>in</w:t>
      </w:r>
      <w:r>
        <w:rPr>
          <w:spacing w:val="-14"/>
        </w:rPr>
        <w:t> </w:t>
      </w:r>
      <w:r>
        <w:rPr/>
        <w:t>a</w:t>
      </w:r>
      <w:r>
        <w:rPr>
          <w:spacing w:val="-12"/>
        </w:rPr>
        <w:t> </w:t>
      </w:r>
      <w:r>
        <w:rPr/>
        <w:t>regulatory</w:t>
      </w:r>
      <w:r>
        <w:rPr>
          <w:spacing w:val="-15"/>
        </w:rPr>
        <w:t> </w:t>
      </w:r>
      <w:r>
        <w:rPr/>
        <w:t>study</w:t>
      </w:r>
      <w:r>
        <w:rPr>
          <w:spacing w:val="-15"/>
        </w:rPr>
        <w:t> </w:t>
      </w:r>
      <w:r>
        <w:rPr/>
        <w:t>of</w:t>
      </w:r>
      <w:r>
        <w:rPr>
          <w:spacing w:val="-15"/>
        </w:rPr>
        <w:t> </w:t>
      </w:r>
      <w:r>
        <w:rPr/>
        <w:t>retail</w:t>
      </w:r>
      <w:r>
        <w:rPr>
          <w:spacing w:val="-15"/>
        </w:rPr>
        <w:t> </w:t>
      </w:r>
      <w:r>
        <w:rPr/>
        <w:t>F&amp;O trading, found that over 90% of retail traders in the segment incur net losses, underscoring the practical value of evidence-based, event-aware advisory.</w:t>
      </w:r>
    </w:p>
    <w:p>
      <w:pPr>
        <w:pStyle w:val="BodyText"/>
        <w:spacing w:before="49"/>
        <w:jc w:val="left"/>
      </w:pPr>
    </w:p>
    <w:p>
      <w:pPr>
        <w:pStyle w:val="Heading2"/>
        <w:numPr>
          <w:ilvl w:val="1"/>
          <w:numId w:val="1"/>
        </w:numPr>
        <w:tabs>
          <w:tab w:pos="1085" w:val="left" w:leader="none"/>
        </w:tabs>
        <w:spacing w:line="240" w:lineRule="auto" w:before="0" w:after="0"/>
        <w:ind w:left="1085" w:right="0" w:hanging="364"/>
        <w:jc w:val="both"/>
      </w:pPr>
      <w:r>
        <w:rPr/>
        <w:t>Research</w:t>
      </w:r>
      <w:r>
        <w:rPr>
          <w:spacing w:val="-11"/>
        </w:rPr>
        <w:t> </w:t>
      </w:r>
      <w:r>
        <w:rPr>
          <w:spacing w:val="-5"/>
        </w:rPr>
        <w:t>Gap</w:t>
      </w:r>
    </w:p>
    <w:p>
      <w:pPr>
        <w:pStyle w:val="BodyText"/>
        <w:spacing w:line="360" w:lineRule="auto" w:before="176"/>
        <w:ind w:left="721" w:right="2152"/>
      </w:pPr>
      <w:r>
        <w:rPr/>
        <w:t>Extensive</w:t>
      </w:r>
      <w:r>
        <w:rPr>
          <w:spacing w:val="-4"/>
        </w:rPr>
        <w:t> </w:t>
      </w:r>
      <w:r>
        <w:rPr/>
        <w:t>research</w:t>
      </w:r>
      <w:r>
        <w:rPr>
          <w:spacing w:val="-8"/>
        </w:rPr>
        <w:t> </w:t>
      </w:r>
      <w:r>
        <w:rPr/>
        <w:t>confirms</w:t>
      </w:r>
      <w:r>
        <w:rPr>
          <w:spacing w:val="-5"/>
        </w:rPr>
        <w:t> </w:t>
      </w:r>
      <w:r>
        <w:rPr/>
        <w:t>that each</w:t>
      </w:r>
      <w:r>
        <w:rPr>
          <w:spacing w:val="-8"/>
        </w:rPr>
        <w:t> </w:t>
      </w:r>
      <w:r>
        <w:rPr/>
        <w:t>category</w:t>
      </w:r>
      <w:r>
        <w:rPr>
          <w:spacing w:val="-13"/>
        </w:rPr>
        <w:t> </w:t>
      </w:r>
      <w:r>
        <w:rPr/>
        <w:t>of</w:t>
      </w:r>
      <w:r>
        <w:rPr>
          <w:spacing w:val="-6"/>
        </w:rPr>
        <w:t> </w:t>
      </w:r>
      <w:r>
        <w:rPr/>
        <w:t>major</w:t>
      </w:r>
      <w:r>
        <w:rPr>
          <w:spacing w:val="-2"/>
        </w:rPr>
        <w:t> </w:t>
      </w:r>
      <w:r>
        <w:rPr/>
        <w:t>economic</w:t>
      </w:r>
      <w:r>
        <w:rPr>
          <w:spacing w:val="-4"/>
        </w:rPr>
        <w:t> </w:t>
      </w:r>
      <w:r>
        <w:rPr/>
        <w:t>event —</w:t>
      </w:r>
      <w:r>
        <w:rPr>
          <w:spacing w:val="-3"/>
        </w:rPr>
        <w:t> </w:t>
      </w:r>
      <w:r>
        <w:rPr/>
        <w:t>health crises, fiscal and monetary policy announcements, elections, and geopolitical shocks — has a distinct and statistically significant impact on NIFTY 50 performance</w:t>
      </w:r>
      <w:r>
        <w:rPr>
          <w:spacing w:val="-15"/>
        </w:rPr>
        <w:t> </w:t>
      </w:r>
      <w:r>
        <w:rPr/>
        <w:t>and</w:t>
      </w:r>
      <w:r>
        <w:rPr>
          <w:spacing w:val="-15"/>
        </w:rPr>
        <w:t> </w:t>
      </w:r>
      <w:r>
        <w:rPr/>
        <w:t>volatility.</w:t>
      </w:r>
      <w:r>
        <w:rPr>
          <w:spacing w:val="-15"/>
        </w:rPr>
        <w:t> </w:t>
      </w:r>
      <w:r>
        <w:rPr/>
        <w:t>However,</w:t>
      </w:r>
      <w:r>
        <w:rPr>
          <w:spacing w:val="-15"/>
        </w:rPr>
        <w:t> </w:t>
      </w:r>
      <w:r>
        <w:rPr/>
        <w:t>no</w:t>
      </w:r>
      <w:r>
        <w:rPr>
          <w:spacing w:val="-11"/>
        </w:rPr>
        <w:t> </w:t>
      </w:r>
      <w:r>
        <w:rPr/>
        <w:t>single</w:t>
      </w:r>
      <w:r>
        <w:rPr>
          <w:spacing w:val="-15"/>
        </w:rPr>
        <w:t> </w:t>
      </w:r>
      <w:r>
        <w:rPr/>
        <w:t>comprehensive</w:t>
      </w:r>
      <w:r>
        <w:rPr>
          <w:spacing w:val="-15"/>
        </w:rPr>
        <w:t> </w:t>
      </w:r>
      <w:r>
        <w:rPr/>
        <w:t>study</w:t>
      </w:r>
      <w:r>
        <w:rPr>
          <w:spacing w:val="-15"/>
        </w:rPr>
        <w:t> </w:t>
      </w:r>
      <w:r>
        <w:rPr/>
        <w:t>has</w:t>
      </w:r>
      <w:r>
        <w:rPr>
          <w:spacing w:val="-15"/>
        </w:rPr>
        <w:t> </w:t>
      </w:r>
      <w:r>
        <w:rPr/>
        <w:t>compared NIFTY 50 performance across multiple event categories within a single unified framework</w:t>
      </w:r>
      <w:r>
        <w:rPr>
          <w:spacing w:val="-15"/>
        </w:rPr>
        <w:t> </w:t>
      </w:r>
      <w:r>
        <w:rPr/>
        <w:t>for</w:t>
      </w:r>
      <w:r>
        <w:rPr>
          <w:spacing w:val="-15"/>
        </w:rPr>
        <w:t> </w:t>
      </w:r>
      <w:r>
        <w:rPr/>
        <w:t>the</w:t>
      </w:r>
      <w:r>
        <w:rPr>
          <w:spacing w:val="-15"/>
        </w:rPr>
        <w:t> </w:t>
      </w:r>
      <w:r>
        <w:rPr/>
        <w:t>period</w:t>
      </w:r>
      <w:r>
        <w:rPr>
          <w:spacing w:val="-15"/>
        </w:rPr>
        <w:t> </w:t>
      </w:r>
      <w:r>
        <w:rPr/>
        <w:t>2020</w:t>
      </w:r>
      <w:r>
        <w:rPr>
          <w:spacing w:val="-15"/>
        </w:rPr>
        <w:t> </w:t>
      </w:r>
      <w:r>
        <w:rPr/>
        <w:t>to</w:t>
      </w:r>
      <w:r>
        <w:rPr>
          <w:spacing w:val="-15"/>
        </w:rPr>
        <w:t> </w:t>
      </w:r>
      <w:r>
        <w:rPr/>
        <w:t>2025,</w:t>
      </w:r>
      <w:r>
        <w:rPr>
          <w:spacing w:val="-15"/>
        </w:rPr>
        <w:t> </w:t>
      </w:r>
      <w:r>
        <w:rPr/>
        <w:t>and</w:t>
      </w:r>
      <w:r>
        <w:rPr>
          <w:spacing w:val="-15"/>
        </w:rPr>
        <w:t> </w:t>
      </w:r>
      <w:r>
        <w:rPr/>
        <w:t>no</w:t>
      </w:r>
      <w:r>
        <w:rPr>
          <w:spacing w:val="-9"/>
        </w:rPr>
        <w:t> </w:t>
      </w:r>
      <w:r>
        <w:rPr/>
        <w:t>existing</w:t>
      </w:r>
      <w:r>
        <w:rPr>
          <w:spacing w:val="-13"/>
        </w:rPr>
        <w:t> </w:t>
      </w:r>
      <w:r>
        <w:rPr/>
        <w:t>study</w:t>
      </w:r>
      <w:r>
        <w:rPr>
          <w:spacing w:val="-15"/>
        </w:rPr>
        <w:t> </w:t>
      </w:r>
      <w:r>
        <w:rPr/>
        <w:t>specifically</w:t>
      </w:r>
      <w:r>
        <w:rPr>
          <w:spacing w:val="-15"/>
        </w:rPr>
        <w:t> </w:t>
      </w:r>
      <w:r>
        <w:rPr/>
        <w:t>compares the</w:t>
      </w:r>
      <w:r>
        <w:rPr>
          <w:spacing w:val="-1"/>
        </w:rPr>
        <w:t> </w:t>
      </w:r>
      <w:r>
        <w:rPr/>
        <w:t>recovery</w:t>
      </w:r>
      <w:r>
        <w:rPr>
          <w:spacing w:val="-10"/>
        </w:rPr>
        <w:t> </w:t>
      </w:r>
      <w:r>
        <w:rPr/>
        <w:t>speed of</w:t>
      </w:r>
      <w:r>
        <w:rPr>
          <w:spacing w:val="-8"/>
        </w:rPr>
        <w:t> </w:t>
      </w:r>
      <w:r>
        <w:rPr/>
        <w:t>the</w:t>
      </w:r>
      <w:r>
        <w:rPr>
          <w:spacing w:val="-1"/>
        </w:rPr>
        <w:t> </w:t>
      </w:r>
      <w:r>
        <w:rPr/>
        <w:t>NIFTY</w:t>
      </w:r>
      <w:r>
        <w:rPr>
          <w:spacing w:val="-1"/>
        </w:rPr>
        <w:t> </w:t>
      </w:r>
      <w:r>
        <w:rPr/>
        <w:t>50 following different types</w:t>
      </w:r>
      <w:r>
        <w:rPr>
          <w:spacing w:val="-2"/>
        </w:rPr>
        <w:t> </w:t>
      </w:r>
      <w:r>
        <w:rPr/>
        <w:t>of</w:t>
      </w:r>
      <w:r>
        <w:rPr>
          <w:spacing w:val="-8"/>
        </w:rPr>
        <w:t> </w:t>
      </w:r>
      <w:r>
        <w:rPr/>
        <w:t>economic</w:t>
      </w:r>
      <w:r>
        <w:rPr>
          <w:spacing w:val="-1"/>
        </w:rPr>
        <w:t> </w:t>
      </w:r>
      <w:r>
        <w:rPr/>
        <w:t>events. The</w:t>
      </w:r>
      <w:r>
        <w:rPr>
          <w:spacing w:val="-8"/>
        </w:rPr>
        <w:t> </w:t>
      </w:r>
      <w:r>
        <w:rPr/>
        <w:t>present</w:t>
      </w:r>
      <w:r>
        <w:rPr>
          <w:spacing w:val="-2"/>
        </w:rPr>
        <w:t> </w:t>
      </w:r>
      <w:r>
        <w:rPr/>
        <w:t>study</w:t>
      </w:r>
      <w:r>
        <w:rPr>
          <w:spacing w:val="-15"/>
        </w:rPr>
        <w:t> </w:t>
      </w:r>
      <w:r>
        <w:rPr/>
        <w:t>addresses</w:t>
      </w:r>
      <w:r>
        <w:rPr>
          <w:spacing w:val="-9"/>
        </w:rPr>
        <w:t> </w:t>
      </w:r>
      <w:r>
        <w:rPr/>
        <w:t>this</w:t>
      </w:r>
      <w:r>
        <w:rPr>
          <w:spacing w:val="-9"/>
        </w:rPr>
        <w:t> </w:t>
      </w:r>
      <w:r>
        <w:rPr/>
        <w:t>gap</w:t>
      </w:r>
      <w:r>
        <w:rPr>
          <w:spacing w:val="-7"/>
        </w:rPr>
        <w:t> </w:t>
      </w:r>
      <w:r>
        <w:rPr/>
        <w:t>through</w:t>
      </w:r>
      <w:r>
        <w:rPr>
          <w:spacing w:val="-11"/>
        </w:rPr>
        <w:t> </w:t>
      </w:r>
      <w:r>
        <w:rPr/>
        <w:t>a</w:t>
      </w:r>
      <w:r>
        <w:rPr>
          <w:spacing w:val="-8"/>
        </w:rPr>
        <w:t> </w:t>
      </w:r>
      <w:r>
        <w:rPr/>
        <w:t>comparative,</w:t>
      </w:r>
      <w:r>
        <w:rPr>
          <w:spacing w:val="-5"/>
        </w:rPr>
        <w:t> </w:t>
      </w:r>
      <w:r>
        <w:rPr/>
        <w:t>event-wise</w:t>
      </w:r>
      <w:r>
        <w:rPr>
          <w:spacing w:val="-8"/>
        </w:rPr>
        <w:t> </w:t>
      </w:r>
      <w:r>
        <w:rPr/>
        <w:t>analysis</w:t>
      </w:r>
      <w:r>
        <w:rPr>
          <w:spacing w:val="-9"/>
        </w:rPr>
        <w:t> </w:t>
      </w:r>
      <w:r>
        <w:rPr/>
        <w:t>of three structurally</w:t>
      </w:r>
      <w:r>
        <w:rPr>
          <w:spacing w:val="-2"/>
        </w:rPr>
        <w:t> </w:t>
      </w:r>
      <w:r>
        <w:rPr/>
        <w:t>distinct events — a health-crisis event, a geopolitical</w:t>
      </w:r>
      <w:r>
        <w:rPr>
          <w:spacing w:val="-2"/>
        </w:rPr>
        <w:t> </w:t>
      </w:r>
      <w:r>
        <w:rPr/>
        <w:t>event, and a political-electoral event — using a common statistical framework.</w:t>
      </w:r>
    </w:p>
    <w:p>
      <w:pPr>
        <w:pStyle w:val="BodyText"/>
        <w:spacing w:before="127"/>
        <w:jc w:val="left"/>
      </w:pPr>
    </w:p>
    <w:p>
      <w:pPr>
        <w:pStyle w:val="Heading1"/>
        <w:numPr>
          <w:ilvl w:val="0"/>
          <w:numId w:val="1"/>
        </w:numPr>
        <w:tabs>
          <w:tab w:pos="1003" w:val="left" w:leader="none"/>
        </w:tabs>
        <w:spacing w:line="240" w:lineRule="auto" w:before="0" w:after="0"/>
        <w:ind w:left="1003" w:right="0" w:hanging="282"/>
        <w:jc w:val="both"/>
      </w:pPr>
      <w:r>
        <w:rPr/>
        <w:t>RESEARCH</w:t>
      </w:r>
      <w:r>
        <w:rPr>
          <w:spacing w:val="-15"/>
        </w:rPr>
        <w:t> </w:t>
      </w:r>
      <w:r>
        <w:rPr>
          <w:spacing w:val="-2"/>
        </w:rPr>
        <w:t>METHODOLOGY</w:t>
      </w:r>
    </w:p>
    <w:p>
      <w:pPr>
        <w:pStyle w:val="BodyText"/>
        <w:spacing w:before="3"/>
        <w:jc w:val="left"/>
        <w:rPr>
          <w:b/>
          <w:sz w:val="28"/>
        </w:rPr>
      </w:pPr>
    </w:p>
    <w:p>
      <w:pPr>
        <w:pStyle w:val="Heading2"/>
        <w:numPr>
          <w:ilvl w:val="1"/>
          <w:numId w:val="1"/>
        </w:numPr>
        <w:tabs>
          <w:tab w:pos="1085" w:val="left" w:leader="none"/>
        </w:tabs>
        <w:spacing w:line="240" w:lineRule="auto" w:before="0" w:after="0"/>
        <w:ind w:left="1085" w:right="0" w:hanging="364"/>
        <w:jc w:val="both"/>
      </w:pPr>
      <w:r>
        <w:rPr/>
        <w:t>Research</w:t>
      </w:r>
      <w:r>
        <w:rPr>
          <w:spacing w:val="-11"/>
        </w:rPr>
        <w:t> </w:t>
      </w:r>
      <w:r>
        <w:rPr>
          <w:spacing w:val="-2"/>
        </w:rPr>
        <w:t>Design</w:t>
      </w:r>
    </w:p>
    <w:p>
      <w:pPr>
        <w:pStyle w:val="BodyText"/>
        <w:spacing w:line="360" w:lineRule="auto" w:before="176"/>
        <w:ind w:left="721" w:right="2150"/>
      </w:pPr>
      <w:r>
        <w:rPr/>
        <w:t>A Descriptive and Comparative Research Design was adopted, describing and comparing NIFTY 50 performance across three major economic event categories and</w:t>
      </w:r>
      <w:r>
        <w:rPr>
          <w:spacing w:val="-7"/>
        </w:rPr>
        <w:t> </w:t>
      </w:r>
      <w:r>
        <w:rPr/>
        <w:t>across</w:t>
      </w:r>
      <w:r>
        <w:rPr>
          <w:spacing w:val="-9"/>
        </w:rPr>
        <w:t> </w:t>
      </w:r>
      <w:r>
        <w:rPr/>
        <w:t>two</w:t>
      </w:r>
      <w:r>
        <w:rPr>
          <w:spacing w:val="-7"/>
        </w:rPr>
        <w:t> </w:t>
      </w:r>
      <w:r>
        <w:rPr/>
        <w:t>analytical</w:t>
      </w:r>
      <w:r>
        <w:rPr>
          <w:spacing w:val="-15"/>
        </w:rPr>
        <w:t> </w:t>
      </w:r>
      <w:r>
        <w:rPr/>
        <w:t>dimensions</w:t>
      </w:r>
      <w:r>
        <w:rPr>
          <w:spacing w:val="-5"/>
        </w:rPr>
        <w:t> </w:t>
      </w:r>
      <w:r>
        <w:rPr/>
        <w:t>—</w:t>
      </w:r>
      <w:r>
        <w:rPr>
          <w:spacing w:val="-6"/>
        </w:rPr>
        <w:t> </w:t>
      </w:r>
      <w:r>
        <w:rPr/>
        <w:t>event-day</w:t>
      </w:r>
      <w:r>
        <w:rPr>
          <w:spacing w:val="-15"/>
        </w:rPr>
        <w:t> </w:t>
      </w:r>
      <w:r>
        <w:rPr/>
        <w:t>impact</w:t>
      </w:r>
      <w:r>
        <w:rPr>
          <w:spacing w:val="-2"/>
        </w:rPr>
        <w:t> </w:t>
      </w:r>
      <w:r>
        <w:rPr/>
        <w:t>and</w:t>
      </w:r>
      <w:r>
        <w:rPr>
          <w:spacing w:val="-7"/>
        </w:rPr>
        <w:t> </w:t>
      </w:r>
      <w:r>
        <w:rPr/>
        <w:t>post-event</w:t>
      </w:r>
      <w:r>
        <w:rPr>
          <w:spacing w:val="-2"/>
        </w:rPr>
        <w:t> </w:t>
      </w:r>
      <w:r>
        <w:rPr/>
        <w:t>recovery pattern. The study follows a Quantitative, Applied Research approach using secondary time-series data, in the manner of a stock-market event study, a well-established quantitative methodology in financial research.</w:t>
      </w:r>
    </w:p>
    <w:p>
      <w:pPr>
        <w:pStyle w:val="BodyText"/>
        <w:spacing w:after="0" w:line="360" w:lineRule="auto"/>
        <w:sectPr>
          <w:pgSz w:w="12240" w:h="15840"/>
          <w:pgMar w:top="1820" w:bottom="280" w:left="1440" w:right="0"/>
        </w:sectPr>
      </w:pPr>
    </w:p>
    <w:p>
      <w:pPr>
        <w:pStyle w:val="BodyText"/>
        <w:spacing w:before="61"/>
        <w:jc w:val="left"/>
      </w:pPr>
    </w:p>
    <w:p>
      <w:pPr>
        <w:pStyle w:val="Heading2"/>
        <w:numPr>
          <w:ilvl w:val="1"/>
          <w:numId w:val="1"/>
        </w:numPr>
        <w:tabs>
          <w:tab w:pos="1085" w:val="left" w:leader="none"/>
        </w:tabs>
        <w:spacing w:line="240" w:lineRule="auto" w:before="0" w:after="0"/>
        <w:ind w:left="1085" w:right="0" w:hanging="364"/>
        <w:jc w:val="both"/>
      </w:pPr>
      <w:r>
        <w:rPr/>
        <w:t>Sampling</w:t>
      </w:r>
      <w:r>
        <w:rPr>
          <w:spacing w:val="-3"/>
        </w:rPr>
        <w:t> </w:t>
      </w:r>
      <w:r>
        <w:rPr/>
        <w:t>Design</w:t>
      </w:r>
      <w:r>
        <w:rPr>
          <w:spacing w:val="-1"/>
        </w:rPr>
        <w:t> </w:t>
      </w:r>
      <w:r>
        <w:rPr/>
        <w:t>and</w:t>
      </w:r>
      <w:r>
        <w:rPr>
          <w:spacing w:val="-6"/>
        </w:rPr>
        <w:t> </w:t>
      </w:r>
      <w:r>
        <w:rPr>
          <w:spacing w:val="-2"/>
        </w:rPr>
        <w:t>Method</w:t>
      </w:r>
    </w:p>
    <w:p>
      <w:pPr>
        <w:pStyle w:val="BodyText"/>
        <w:spacing w:line="360" w:lineRule="auto" w:before="176"/>
        <w:ind w:left="721" w:right="2154"/>
      </w:pPr>
      <w:r>
        <w:rPr/>
        <w:t>Since</w:t>
      </w:r>
      <w:r>
        <w:rPr>
          <w:spacing w:val="-6"/>
        </w:rPr>
        <w:t> </w:t>
      </w:r>
      <w:r>
        <w:rPr/>
        <w:t>the</w:t>
      </w:r>
      <w:r>
        <w:rPr>
          <w:spacing w:val="-6"/>
        </w:rPr>
        <w:t> </w:t>
      </w:r>
      <w:r>
        <w:rPr/>
        <w:t>study</w:t>
      </w:r>
      <w:r>
        <w:rPr>
          <w:spacing w:val="-14"/>
        </w:rPr>
        <w:t> </w:t>
      </w:r>
      <w:r>
        <w:rPr/>
        <w:t>is</w:t>
      </w:r>
      <w:r>
        <w:rPr>
          <w:spacing w:val="-7"/>
        </w:rPr>
        <w:t> </w:t>
      </w:r>
      <w:r>
        <w:rPr/>
        <w:t>based</w:t>
      </w:r>
      <w:r>
        <w:rPr>
          <w:spacing w:val="-5"/>
        </w:rPr>
        <w:t> </w:t>
      </w:r>
      <w:r>
        <w:rPr/>
        <w:t>entirely</w:t>
      </w:r>
      <w:r>
        <w:rPr>
          <w:spacing w:val="-14"/>
        </w:rPr>
        <w:t> </w:t>
      </w:r>
      <w:r>
        <w:rPr/>
        <w:t>on</w:t>
      </w:r>
      <w:r>
        <w:rPr>
          <w:spacing w:val="-10"/>
        </w:rPr>
        <w:t> </w:t>
      </w:r>
      <w:r>
        <w:rPr/>
        <w:t>secondary</w:t>
      </w:r>
      <w:r>
        <w:rPr>
          <w:spacing w:val="-14"/>
        </w:rPr>
        <w:t> </w:t>
      </w:r>
      <w:r>
        <w:rPr/>
        <w:t>data</w:t>
      </w:r>
      <w:r>
        <w:rPr>
          <w:spacing w:val="-11"/>
        </w:rPr>
        <w:t> </w:t>
      </w:r>
      <w:r>
        <w:rPr/>
        <w:t>rather</w:t>
      </w:r>
      <w:r>
        <w:rPr>
          <w:spacing w:val="-8"/>
        </w:rPr>
        <w:t> </w:t>
      </w:r>
      <w:r>
        <w:rPr/>
        <w:t>than</w:t>
      </w:r>
      <w:r>
        <w:rPr>
          <w:spacing w:val="-10"/>
        </w:rPr>
        <w:t> </w:t>
      </w:r>
      <w:r>
        <w:rPr/>
        <w:t>primary</w:t>
      </w:r>
      <w:r>
        <w:rPr>
          <w:spacing w:val="-14"/>
        </w:rPr>
        <w:t> </w:t>
      </w:r>
      <w:r>
        <w:rPr/>
        <w:t>survey</w:t>
      </w:r>
      <w:r>
        <w:rPr>
          <w:spacing w:val="-14"/>
        </w:rPr>
        <w:t> </w:t>
      </w:r>
      <w:r>
        <w:rPr/>
        <w:t>data, a conventional</w:t>
      </w:r>
      <w:r>
        <w:rPr>
          <w:spacing w:val="-8"/>
        </w:rPr>
        <w:t> </w:t>
      </w:r>
      <w:r>
        <w:rPr/>
        <w:t>respondent-based sampling framework</w:t>
      </w:r>
      <w:r>
        <w:rPr>
          <w:spacing w:val="-3"/>
        </w:rPr>
        <w:t> </w:t>
      </w:r>
      <w:r>
        <w:rPr/>
        <w:t>does</w:t>
      </w:r>
      <w:r>
        <w:rPr>
          <w:spacing w:val="-1"/>
        </w:rPr>
        <w:t> </w:t>
      </w:r>
      <w:r>
        <w:rPr/>
        <w:t>not apply. Instead,</w:t>
      </w:r>
      <w:r>
        <w:rPr>
          <w:spacing w:val="-1"/>
        </w:rPr>
        <w:t> </w:t>
      </w:r>
      <w:r>
        <w:rPr/>
        <w:t>the sampling design refers to the purposive (judgement) selection of three economic events representing three distinct categories — the COVID-19 Pandemic (health crisis),</w:t>
      </w:r>
      <w:r>
        <w:rPr>
          <w:spacing w:val="-15"/>
        </w:rPr>
        <w:t> </w:t>
      </w:r>
      <w:r>
        <w:rPr/>
        <w:t>the</w:t>
      </w:r>
      <w:r>
        <w:rPr>
          <w:spacing w:val="-15"/>
        </w:rPr>
        <w:t> </w:t>
      </w:r>
      <w:r>
        <w:rPr/>
        <w:t>Russia-Ukraine</w:t>
      </w:r>
      <w:r>
        <w:rPr>
          <w:spacing w:val="-15"/>
        </w:rPr>
        <w:t> </w:t>
      </w:r>
      <w:r>
        <w:rPr/>
        <w:t>War</w:t>
      </w:r>
      <w:r>
        <w:rPr>
          <w:spacing w:val="-15"/>
        </w:rPr>
        <w:t> </w:t>
      </w:r>
      <w:r>
        <w:rPr/>
        <w:t>(geopolitical),</w:t>
      </w:r>
      <w:r>
        <w:rPr>
          <w:spacing w:val="-15"/>
        </w:rPr>
        <w:t> </w:t>
      </w:r>
      <w:r>
        <w:rPr/>
        <w:t>and</w:t>
      </w:r>
      <w:r>
        <w:rPr>
          <w:spacing w:val="-15"/>
        </w:rPr>
        <w:t> </w:t>
      </w:r>
      <w:r>
        <w:rPr/>
        <w:t>the</w:t>
      </w:r>
      <w:r>
        <w:rPr>
          <w:spacing w:val="-15"/>
        </w:rPr>
        <w:t> </w:t>
      </w:r>
      <w:r>
        <w:rPr/>
        <w:t>India</w:t>
      </w:r>
      <w:r>
        <w:rPr>
          <w:spacing w:val="-15"/>
        </w:rPr>
        <w:t> </w:t>
      </w:r>
      <w:r>
        <w:rPr/>
        <w:t>General</w:t>
      </w:r>
      <w:r>
        <w:rPr>
          <w:spacing w:val="-15"/>
        </w:rPr>
        <w:t> </w:t>
      </w:r>
      <w:r>
        <w:rPr/>
        <w:t>Elections</w:t>
      </w:r>
      <w:r>
        <w:rPr>
          <w:spacing w:val="-15"/>
        </w:rPr>
        <w:t> </w:t>
      </w:r>
      <w:r>
        <w:rPr/>
        <w:t>2024 (political-electoral) — chosen because each occurred within the study</w:t>
      </w:r>
      <w:r>
        <w:rPr>
          <w:spacing w:val="-3"/>
        </w:rPr>
        <w:t> </w:t>
      </w:r>
      <w:r>
        <w:rPr/>
        <w:t>period, had a</w:t>
      </w:r>
      <w:r>
        <w:rPr>
          <w:spacing w:val="-15"/>
        </w:rPr>
        <w:t> </w:t>
      </w:r>
      <w:r>
        <w:rPr/>
        <w:t>clearly</w:t>
      </w:r>
      <w:r>
        <w:rPr>
          <w:spacing w:val="-15"/>
        </w:rPr>
        <w:t> </w:t>
      </w:r>
      <w:r>
        <w:rPr/>
        <w:t>identifiable</w:t>
      </w:r>
      <w:r>
        <w:rPr>
          <w:spacing w:val="-14"/>
        </w:rPr>
        <w:t> </w:t>
      </w:r>
      <w:r>
        <w:rPr/>
        <w:t>event</w:t>
      </w:r>
      <w:r>
        <w:rPr>
          <w:spacing w:val="-8"/>
        </w:rPr>
        <w:t> </w:t>
      </w:r>
      <w:r>
        <w:rPr/>
        <w:t>date,</w:t>
      </w:r>
      <w:r>
        <w:rPr>
          <w:spacing w:val="-11"/>
        </w:rPr>
        <w:t> </w:t>
      </w:r>
      <w:r>
        <w:rPr/>
        <w:t>and</w:t>
      </w:r>
      <w:r>
        <w:rPr>
          <w:spacing w:val="-13"/>
        </w:rPr>
        <w:t> </w:t>
      </w:r>
      <w:r>
        <w:rPr/>
        <w:t>had</w:t>
      </w:r>
      <w:r>
        <w:rPr>
          <w:spacing w:val="-13"/>
        </w:rPr>
        <w:t> </w:t>
      </w:r>
      <w:r>
        <w:rPr/>
        <w:t>sufficient</w:t>
      </w:r>
      <w:r>
        <w:rPr>
          <w:spacing w:val="-8"/>
        </w:rPr>
        <w:t> </w:t>
      </w:r>
      <w:r>
        <w:rPr/>
        <w:t>NIFTY</w:t>
      </w:r>
      <w:r>
        <w:rPr>
          <w:spacing w:val="-13"/>
        </w:rPr>
        <w:t> </w:t>
      </w:r>
      <w:r>
        <w:rPr/>
        <w:t>50</w:t>
      </w:r>
      <w:r>
        <w:rPr>
          <w:spacing w:val="-13"/>
        </w:rPr>
        <w:t> </w:t>
      </w:r>
      <w:r>
        <w:rPr/>
        <w:t>data</w:t>
      </w:r>
      <w:r>
        <w:rPr>
          <w:spacing w:val="-14"/>
        </w:rPr>
        <w:t> </w:t>
      </w:r>
      <w:r>
        <w:rPr/>
        <w:t>available</w:t>
      </w:r>
      <w:r>
        <w:rPr>
          <w:spacing w:val="-14"/>
        </w:rPr>
        <w:t> </w:t>
      </w:r>
      <w:r>
        <w:rPr/>
        <w:t>around </w:t>
      </w:r>
      <w:r>
        <w:rPr>
          <w:spacing w:val="-4"/>
        </w:rPr>
        <w:t>it.</w:t>
      </w:r>
    </w:p>
    <w:p>
      <w:pPr>
        <w:pStyle w:val="BodyText"/>
        <w:spacing w:before="51"/>
        <w:jc w:val="left"/>
      </w:pPr>
    </w:p>
    <w:p>
      <w:pPr>
        <w:pStyle w:val="Heading2"/>
        <w:numPr>
          <w:ilvl w:val="1"/>
          <w:numId w:val="1"/>
        </w:numPr>
        <w:tabs>
          <w:tab w:pos="1085" w:val="left" w:leader="none"/>
        </w:tabs>
        <w:spacing w:line="240" w:lineRule="auto" w:before="0" w:after="0"/>
        <w:ind w:left="1085" w:right="0" w:hanging="364"/>
        <w:jc w:val="both"/>
      </w:pPr>
      <w:r>
        <w:rPr/>
        <w:t>Sources</w:t>
      </w:r>
      <w:r>
        <w:rPr>
          <w:spacing w:val="-5"/>
        </w:rPr>
        <w:t> </w:t>
      </w:r>
      <w:r>
        <w:rPr/>
        <w:t>of</w:t>
      </w:r>
      <w:r>
        <w:rPr>
          <w:spacing w:val="-4"/>
        </w:rPr>
        <w:t> Data</w:t>
      </w:r>
    </w:p>
    <w:p>
      <w:pPr>
        <w:pStyle w:val="BodyText"/>
        <w:spacing w:line="360" w:lineRule="auto" w:before="176"/>
        <w:ind w:left="721" w:right="2155"/>
      </w:pPr>
      <w:r>
        <w:rPr/>
        <w:t>The study</w:t>
      </w:r>
      <w:r>
        <w:rPr>
          <w:spacing w:val="-9"/>
        </w:rPr>
        <w:t> </w:t>
      </w:r>
      <w:r>
        <w:rPr/>
        <w:t>relies</w:t>
      </w:r>
      <w:r>
        <w:rPr>
          <w:spacing w:val="-1"/>
        </w:rPr>
        <w:t> </w:t>
      </w:r>
      <w:r>
        <w:rPr/>
        <w:t>exclusively</w:t>
      </w:r>
      <w:r>
        <w:rPr>
          <w:spacing w:val="-8"/>
        </w:rPr>
        <w:t> </w:t>
      </w:r>
      <w:r>
        <w:rPr/>
        <w:t>on</w:t>
      </w:r>
      <w:r>
        <w:rPr>
          <w:spacing w:val="-4"/>
        </w:rPr>
        <w:t> </w:t>
      </w:r>
      <w:r>
        <w:rPr/>
        <w:t>secondary</w:t>
      </w:r>
      <w:r>
        <w:rPr>
          <w:spacing w:val="-9"/>
        </w:rPr>
        <w:t> </w:t>
      </w:r>
      <w:r>
        <w:rPr/>
        <w:t>data —</w:t>
      </w:r>
      <w:r>
        <w:rPr>
          <w:spacing w:val="-4"/>
        </w:rPr>
        <w:t> </w:t>
      </w:r>
      <w:r>
        <w:rPr/>
        <w:t>daily</w:t>
      </w:r>
      <w:r>
        <w:rPr>
          <w:spacing w:val="-4"/>
        </w:rPr>
        <w:t> </w:t>
      </w:r>
      <w:r>
        <w:rPr/>
        <w:t>historical</w:t>
      </w:r>
      <w:r>
        <w:rPr>
          <w:spacing w:val="-8"/>
        </w:rPr>
        <w:t> </w:t>
      </w:r>
      <w:r>
        <w:rPr/>
        <w:t>closing prices</w:t>
      </w:r>
      <w:r>
        <w:rPr>
          <w:spacing w:val="-1"/>
        </w:rPr>
        <w:t> </w:t>
      </w:r>
      <w:r>
        <w:rPr/>
        <w:t>of the NIFTY 50 index obtained from the official NSE India historical data portal (</w:t>
      </w:r>
      <w:hyperlink r:id="rId8">
        <w:r>
          <w:rPr/>
          <w:t>www.nseindia.com</w:t>
        </w:r>
      </w:hyperlink>
      <w:r>
        <w:rPr/>
        <w:t>), cross-verified using the BSE India website (</w:t>
      </w:r>
      <w:hyperlink r:id="rId9">
        <w:r>
          <w:rPr/>
          <w:t>www.bseindia.com</w:t>
        </w:r>
      </w:hyperlink>
      <w:r>
        <w:rPr/>
        <w:t>). Contextual data on monetary policy and regulatory developments was drawn from RBI and SEBI official publications. Primary data collection through surveys or interviews was not undertaken, as the research objectives are quantitative in nature and are fully addressable through statistical analysis of market price data, in keeping with standard event-study methodology.</w:t>
      </w:r>
    </w:p>
    <w:p>
      <w:pPr>
        <w:pStyle w:val="BodyText"/>
        <w:spacing w:before="46"/>
        <w:jc w:val="left"/>
      </w:pPr>
    </w:p>
    <w:p>
      <w:pPr>
        <w:pStyle w:val="Heading2"/>
        <w:numPr>
          <w:ilvl w:val="1"/>
          <w:numId w:val="1"/>
        </w:numPr>
        <w:tabs>
          <w:tab w:pos="1085" w:val="left" w:leader="none"/>
        </w:tabs>
        <w:spacing w:line="240" w:lineRule="auto" w:before="0" w:after="0"/>
        <w:ind w:left="1085" w:right="0" w:hanging="364"/>
        <w:jc w:val="both"/>
      </w:pPr>
      <w:r>
        <w:rPr/>
        <w:t>Sample</w:t>
      </w:r>
      <w:r>
        <w:rPr>
          <w:spacing w:val="-10"/>
        </w:rPr>
        <w:t> </w:t>
      </w:r>
      <w:r>
        <w:rPr>
          <w:spacing w:val="-4"/>
        </w:rPr>
        <w:t>Size</w:t>
      </w:r>
    </w:p>
    <w:p>
      <w:pPr>
        <w:pStyle w:val="BodyText"/>
        <w:spacing w:line="360" w:lineRule="auto" w:before="176"/>
        <w:ind w:left="721" w:right="2154"/>
      </w:pPr>
      <w:r>
        <w:rPr/>
        <w:t>The sample comprises three major economic events, each with a 30-trading-day pre-event window, the event day itself, and a 60–90-trading-day post-event window, yielding a total of 301 trading-day observations across the three event windows (121 for COVID-19, 91 each for the Russia-Ukraine War and the India General</w:t>
      </w:r>
      <w:r>
        <w:rPr>
          <w:spacing w:val="-15"/>
        </w:rPr>
        <w:t> </w:t>
      </w:r>
      <w:r>
        <w:rPr/>
        <w:t>Elections</w:t>
      </w:r>
      <w:r>
        <w:rPr>
          <w:spacing w:val="-15"/>
        </w:rPr>
        <w:t> </w:t>
      </w:r>
      <w:r>
        <w:rPr/>
        <w:t>2024)</w:t>
      </w:r>
      <w:r>
        <w:rPr>
          <w:spacing w:val="-10"/>
        </w:rPr>
        <w:t> </w:t>
      </w:r>
      <w:r>
        <w:rPr/>
        <w:t>—</w:t>
      </w:r>
      <w:r>
        <w:rPr>
          <w:spacing w:val="-13"/>
        </w:rPr>
        <w:t> </w:t>
      </w:r>
      <w:r>
        <w:rPr/>
        <w:t>considered</w:t>
      </w:r>
      <w:r>
        <w:rPr>
          <w:spacing w:val="-13"/>
        </w:rPr>
        <w:t> </w:t>
      </w:r>
      <w:r>
        <w:rPr/>
        <w:t>sufficient</w:t>
      </w:r>
      <w:r>
        <w:rPr>
          <w:spacing w:val="-12"/>
        </w:rPr>
        <w:t> </w:t>
      </w:r>
      <w:r>
        <w:rPr/>
        <w:t>to</w:t>
      </w:r>
      <w:r>
        <w:rPr>
          <w:spacing w:val="-7"/>
        </w:rPr>
        <w:t> </w:t>
      </w:r>
      <w:r>
        <w:rPr/>
        <w:t>meaningfully</w:t>
      </w:r>
      <w:r>
        <w:rPr>
          <w:spacing w:val="-12"/>
        </w:rPr>
        <w:t> </w:t>
      </w:r>
      <w:r>
        <w:rPr/>
        <w:t>examine</w:t>
      </w:r>
      <w:r>
        <w:rPr>
          <w:spacing w:val="-5"/>
        </w:rPr>
        <w:t> </w:t>
      </w:r>
      <w:r>
        <w:rPr/>
        <w:t>both</w:t>
      </w:r>
      <w:r>
        <w:rPr>
          <w:spacing w:val="-15"/>
        </w:rPr>
        <w:t> </w:t>
      </w:r>
      <w:r>
        <w:rPr/>
        <w:t>the immediate impact and the recovery pattern of the index for each event category.</w:t>
      </w:r>
    </w:p>
    <w:p>
      <w:pPr>
        <w:pStyle w:val="BodyText"/>
        <w:spacing w:after="0" w:line="360" w:lineRule="auto"/>
        <w:sectPr>
          <w:pgSz w:w="12240" w:h="15840"/>
          <w:pgMar w:top="1820" w:bottom="280" w:left="1440" w:right="0"/>
        </w:sectPr>
      </w:pPr>
    </w:p>
    <w:p>
      <w:pPr>
        <w:pStyle w:val="BodyText"/>
        <w:spacing w:before="61"/>
        <w:jc w:val="left"/>
      </w:pPr>
    </w:p>
    <w:p>
      <w:pPr>
        <w:pStyle w:val="Heading2"/>
        <w:numPr>
          <w:ilvl w:val="1"/>
          <w:numId w:val="1"/>
        </w:numPr>
        <w:tabs>
          <w:tab w:pos="1085" w:val="left" w:leader="none"/>
        </w:tabs>
        <w:spacing w:line="240" w:lineRule="auto" w:before="0" w:after="0"/>
        <w:ind w:left="1085" w:right="0" w:hanging="364"/>
        <w:jc w:val="both"/>
      </w:pPr>
      <w:r>
        <w:rPr/>
        <w:t>Data</w:t>
      </w:r>
      <w:r>
        <w:rPr>
          <w:spacing w:val="-6"/>
        </w:rPr>
        <w:t> </w:t>
      </w:r>
      <w:r>
        <w:rPr/>
        <w:t>Tools</w:t>
      </w:r>
      <w:r>
        <w:rPr>
          <w:spacing w:val="-2"/>
        </w:rPr>
        <w:t> </w:t>
      </w:r>
      <w:r>
        <w:rPr/>
        <w:t>and </w:t>
      </w:r>
      <w:r>
        <w:rPr>
          <w:spacing w:val="-2"/>
        </w:rPr>
        <w:t>Techniques</w:t>
      </w:r>
    </w:p>
    <w:p>
      <w:pPr>
        <w:pStyle w:val="BodyText"/>
        <w:spacing w:line="360" w:lineRule="auto" w:before="176"/>
        <w:ind w:left="721" w:right="2157"/>
      </w:pPr>
      <w:r>
        <w:rPr/>
        <w:t>Data was compiled, coded and tabulated in Microsoft Excel and subsequently analysed in IBM SPSS Statistics (Version 27). Descriptive statistics (mean, standard</w:t>
      </w:r>
      <w:r>
        <w:rPr>
          <w:spacing w:val="-15"/>
        </w:rPr>
        <w:t> </w:t>
      </w:r>
      <w:r>
        <w:rPr/>
        <w:t>deviation)</w:t>
      </w:r>
      <w:r>
        <w:rPr>
          <w:spacing w:val="-9"/>
        </w:rPr>
        <w:t> </w:t>
      </w:r>
      <w:r>
        <w:rPr/>
        <w:t>were</w:t>
      </w:r>
      <w:r>
        <w:rPr>
          <w:spacing w:val="-11"/>
        </w:rPr>
        <w:t> </w:t>
      </w:r>
      <w:r>
        <w:rPr/>
        <w:t>used</w:t>
      </w:r>
      <w:r>
        <w:rPr>
          <w:spacing w:val="-15"/>
        </w:rPr>
        <w:t> </w:t>
      </w:r>
      <w:r>
        <w:rPr/>
        <w:t>to</w:t>
      </w:r>
      <w:r>
        <w:rPr>
          <w:spacing w:val="-6"/>
        </w:rPr>
        <w:t> </w:t>
      </w:r>
      <w:r>
        <w:rPr/>
        <w:t>summarise</w:t>
      </w:r>
      <w:r>
        <w:rPr>
          <w:spacing w:val="-11"/>
        </w:rPr>
        <w:t> </w:t>
      </w:r>
      <w:r>
        <w:rPr/>
        <w:t>pre-event</w:t>
      </w:r>
      <w:r>
        <w:rPr>
          <w:spacing w:val="-6"/>
        </w:rPr>
        <w:t> </w:t>
      </w:r>
      <w:r>
        <w:rPr/>
        <w:t>and</w:t>
      </w:r>
      <w:r>
        <w:rPr>
          <w:spacing w:val="-10"/>
        </w:rPr>
        <w:t> </w:t>
      </w:r>
      <w:r>
        <w:rPr/>
        <w:t>post-event</w:t>
      </w:r>
      <w:r>
        <w:rPr>
          <w:spacing w:val="-6"/>
        </w:rPr>
        <w:t> </w:t>
      </w:r>
      <w:r>
        <w:rPr/>
        <w:t>daily</w:t>
      </w:r>
      <w:r>
        <w:rPr>
          <w:spacing w:val="-15"/>
        </w:rPr>
        <w:t> </w:t>
      </w:r>
      <w:r>
        <w:rPr/>
        <w:t>returns; percentage-change</w:t>
      </w:r>
      <w:r>
        <w:rPr>
          <w:spacing w:val="-15"/>
        </w:rPr>
        <w:t> </w:t>
      </w:r>
      <w:r>
        <w:rPr/>
        <w:t>analysis</w:t>
      </w:r>
      <w:r>
        <w:rPr>
          <w:spacing w:val="-13"/>
        </w:rPr>
        <w:t> </w:t>
      </w:r>
      <w:r>
        <w:rPr/>
        <w:t>measured</w:t>
      </w:r>
      <w:r>
        <w:rPr>
          <w:spacing w:val="-12"/>
        </w:rPr>
        <w:t> </w:t>
      </w:r>
      <w:r>
        <w:rPr/>
        <w:t>the</w:t>
      </w:r>
      <w:r>
        <w:rPr>
          <w:spacing w:val="-9"/>
        </w:rPr>
        <w:t> </w:t>
      </w:r>
      <w:r>
        <w:rPr/>
        <w:t>magnitude</w:t>
      </w:r>
      <w:r>
        <w:rPr>
          <w:spacing w:val="-13"/>
        </w:rPr>
        <w:t> </w:t>
      </w:r>
      <w:r>
        <w:rPr/>
        <w:t>of</w:t>
      </w:r>
      <w:r>
        <w:rPr>
          <w:spacing w:val="-15"/>
        </w:rPr>
        <w:t> </w:t>
      </w:r>
      <w:r>
        <w:rPr/>
        <w:t>the</w:t>
      </w:r>
      <w:r>
        <w:rPr>
          <w:spacing w:val="-13"/>
        </w:rPr>
        <w:t> </w:t>
      </w:r>
      <w:r>
        <w:rPr/>
        <w:t>event-day</w:t>
      </w:r>
      <w:r>
        <w:rPr>
          <w:spacing w:val="-15"/>
        </w:rPr>
        <w:t> </w:t>
      </w:r>
      <w:r>
        <w:rPr/>
        <w:t>fall;</w:t>
      </w:r>
      <w:r>
        <w:rPr>
          <w:spacing w:val="-12"/>
        </w:rPr>
        <w:t> </w:t>
      </w:r>
      <w:r>
        <w:rPr/>
        <w:t>a</w:t>
      </w:r>
      <w:r>
        <w:rPr>
          <w:spacing w:val="-13"/>
        </w:rPr>
        <w:t> </w:t>
      </w:r>
      <w:r>
        <w:rPr/>
        <w:t>paired-samples t-test compared pre-event and post-event volatility; Pearson correlation tested the relationship between pre-event and post-event daily returns; and recovery-period analysis measured the number of</w:t>
      </w:r>
      <w:r>
        <w:rPr>
          <w:spacing w:val="-5"/>
        </w:rPr>
        <w:t> </w:t>
      </w:r>
      <w:r>
        <w:rPr/>
        <w:t>trading days taken for the index to return to its pre-event closing level.</w:t>
      </w:r>
    </w:p>
    <w:p>
      <w:pPr>
        <w:pStyle w:val="BodyText"/>
        <w:spacing w:before="51"/>
        <w:jc w:val="left"/>
      </w:pPr>
    </w:p>
    <w:p>
      <w:pPr>
        <w:pStyle w:val="Heading2"/>
        <w:numPr>
          <w:ilvl w:val="1"/>
          <w:numId w:val="1"/>
        </w:numPr>
        <w:tabs>
          <w:tab w:pos="1085" w:val="left" w:leader="none"/>
        </w:tabs>
        <w:spacing w:line="400" w:lineRule="auto" w:before="0" w:after="0"/>
        <w:ind w:left="721" w:right="7071" w:firstLine="0"/>
        <w:jc w:val="left"/>
      </w:pPr>
      <w:r>
        <w:rPr/>
        <w:t>Statement of Hypothesis Hypothesis</w:t>
      </w:r>
      <w:r>
        <w:rPr>
          <w:spacing w:val="-14"/>
        </w:rPr>
        <w:t> </w:t>
      </w:r>
      <w:r>
        <w:rPr/>
        <w:t>1</w:t>
      </w:r>
      <w:r>
        <w:rPr>
          <w:spacing w:val="-12"/>
        </w:rPr>
        <w:t> </w:t>
      </w:r>
      <w:r>
        <w:rPr/>
        <w:t>(Event</w:t>
      </w:r>
      <w:r>
        <w:rPr>
          <w:spacing w:val="-14"/>
        </w:rPr>
        <w:t> </w:t>
      </w:r>
      <w:r>
        <w:rPr/>
        <w:t>Impact):</w:t>
      </w:r>
    </w:p>
    <w:p>
      <w:pPr>
        <w:pStyle w:val="BodyText"/>
        <w:spacing w:line="360" w:lineRule="auto" w:before="101"/>
        <w:ind w:left="721" w:right="2152"/>
        <w:jc w:val="left"/>
      </w:pPr>
      <w:r>
        <w:rPr/>
        <w:t>H0: Major economic events</w:t>
      </w:r>
      <w:r>
        <w:rPr>
          <w:spacing w:val="-2"/>
        </w:rPr>
        <w:t> </w:t>
      </w:r>
      <w:r>
        <w:rPr/>
        <w:t>do not have a significant negative impact on</w:t>
      </w:r>
      <w:r>
        <w:rPr>
          <w:spacing w:val="-9"/>
        </w:rPr>
        <w:t> </w:t>
      </w:r>
      <w:r>
        <w:rPr/>
        <w:t>the daily closing price and returns of the NIFTY 50 index.</w:t>
      </w:r>
    </w:p>
    <w:p>
      <w:pPr>
        <w:pStyle w:val="BodyText"/>
        <w:spacing w:line="360" w:lineRule="auto" w:before="60"/>
        <w:ind w:left="721" w:right="2152"/>
        <w:jc w:val="left"/>
      </w:pPr>
      <w:r>
        <w:rPr/>
        <w:t>H1:</w:t>
      </w:r>
      <w:r>
        <w:rPr>
          <w:spacing w:val="-8"/>
        </w:rPr>
        <w:t> </w:t>
      </w:r>
      <w:r>
        <w:rPr/>
        <w:t>Major</w:t>
      </w:r>
      <w:r>
        <w:rPr>
          <w:spacing w:val="-6"/>
        </w:rPr>
        <w:t> </w:t>
      </w:r>
      <w:r>
        <w:rPr/>
        <w:t>economic</w:t>
      </w:r>
      <w:r>
        <w:rPr>
          <w:spacing w:val="-9"/>
        </w:rPr>
        <w:t> </w:t>
      </w:r>
      <w:r>
        <w:rPr/>
        <w:t>events</w:t>
      </w:r>
      <w:r>
        <w:rPr>
          <w:spacing w:val="-6"/>
        </w:rPr>
        <w:t> </w:t>
      </w:r>
      <w:r>
        <w:rPr/>
        <w:t>have</w:t>
      </w:r>
      <w:r>
        <w:rPr>
          <w:spacing w:val="-9"/>
        </w:rPr>
        <w:t> </w:t>
      </w:r>
      <w:r>
        <w:rPr/>
        <w:t>a</w:t>
      </w:r>
      <w:r>
        <w:rPr>
          <w:spacing w:val="-9"/>
        </w:rPr>
        <w:t> </w:t>
      </w:r>
      <w:r>
        <w:rPr/>
        <w:t>significant</w:t>
      </w:r>
      <w:r>
        <w:rPr>
          <w:spacing w:val="-4"/>
        </w:rPr>
        <w:t> </w:t>
      </w:r>
      <w:r>
        <w:rPr/>
        <w:t>negative</w:t>
      </w:r>
      <w:r>
        <w:rPr>
          <w:spacing w:val="-5"/>
        </w:rPr>
        <w:t> </w:t>
      </w:r>
      <w:r>
        <w:rPr/>
        <w:t>impact</w:t>
      </w:r>
      <w:r>
        <w:rPr>
          <w:spacing w:val="-4"/>
        </w:rPr>
        <w:t> </w:t>
      </w:r>
      <w:r>
        <w:rPr/>
        <w:t>on</w:t>
      </w:r>
      <w:r>
        <w:rPr>
          <w:spacing w:val="-13"/>
        </w:rPr>
        <w:t> </w:t>
      </w:r>
      <w:r>
        <w:rPr/>
        <w:t>the</w:t>
      </w:r>
      <w:r>
        <w:rPr>
          <w:spacing w:val="-9"/>
        </w:rPr>
        <w:t> </w:t>
      </w:r>
      <w:r>
        <w:rPr/>
        <w:t>daily</w:t>
      </w:r>
      <w:r>
        <w:rPr>
          <w:spacing w:val="-12"/>
        </w:rPr>
        <w:t> </w:t>
      </w:r>
      <w:r>
        <w:rPr/>
        <w:t>closing price and returns of the NIFTY 50 index.</w:t>
      </w:r>
    </w:p>
    <w:p>
      <w:pPr>
        <w:pStyle w:val="Heading2"/>
        <w:spacing w:before="210"/>
        <w:ind w:left="721" w:firstLine="0"/>
        <w:jc w:val="left"/>
      </w:pPr>
      <w:r>
        <w:rPr/>
        <w:t>Hypothesis</w:t>
      </w:r>
      <w:r>
        <w:rPr>
          <w:spacing w:val="-4"/>
        </w:rPr>
        <w:t> </w:t>
      </w:r>
      <w:r>
        <w:rPr/>
        <w:t>2</w:t>
      </w:r>
      <w:r>
        <w:rPr>
          <w:spacing w:val="-2"/>
        </w:rPr>
        <w:t> </w:t>
      </w:r>
      <w:r>
        <w:rPr/>
        <w:t>(Recovery</w:t>
      </w:r>
      <w:r>
        <w:rPr>
          <w:spacing w:val="-1"/>
        </w:rPr>
        <w:t> </w:t>
      </w:r>
      <w:r>
        <w:rPr>
          <w:spacing w:val="-2"/>
        </w:rPr>
        <w:t>Pattern):</w:t>
      </w:r>
    </w:p>
    <w:p>
      <w:pPr>
        <w:pStyle w:val="BodyText"/>
        <w:spacing w:before="14"/>
        <w:jc w:val="left"/>
        <w:rPr>
          <w:b/>
        </w:rPr>
      </w:pPr>
    </w:p>
    <w:p>
      <w:pPr>
        <w:pStyle w:val="BodyText"/>
        <w:spacing w:line="360" w:lineRule="auto"/>
        <w:ind w:left="721" w:right="2152"/>
        <w:jc w:val="left"/>
      </w:pPr>
      <w:r>
        <w:rPr/>
        <w:t>H0: There is no significant difference in the recovery</w:t>
      </w:r>
      <w:r>
        <w:rPr>
          <w:spacing w:val="-2"/>
        </w:rPr>
        <w:t> </w:t>
      </w:r>
      <w:r>
        <w:rPr/>
        <w:t>pattern</w:t>
      </w:r>
      <w:r>
        <w:rPr>
          <w:spacing w:val="-2"/>
        </w:rPr>
        <w:t> </w:t>
      </w:r>
      <w:r>
        <w:rPr/>
        <w:t>of</w:t>
      </w:r>
      <w:r>
        <w:rPr>
          <w:spacing w:val="-1"/>
        </w:rPr>
        <w:t> </w:t>
      </w:r>
      <w:r>
        <w:rPr/>
        <w:t>NIFTY 50 across the three selected categories of major economic events.</w:t>
      </w:r>
    </w:p>
    <w:p>
      <w:pPr>
        <w:pStyle w:val="BodyText"/>
        <w:spacing w:line="360" w:lineRule="auto" w:before="61"/>
        <w:ind w:left="721" w:right="2152"/>
        <w:jc w:val="left"/>
      </w:pPr>
      <w:r>
        <w:rPr/>
        <w:t>H1:</w:t>
      </w:r>
      <w:r>
        <w:rPr>
          <w:spacing w:val="-15"/>
        </w:rPr>
        <w:t> </w:t>
      </w:r>
      <w:r>
        <w:rPr/>
        <w:t>There</w:t>
      </w:r>
      <w:r>
        <w:rPr>
          <w:spacing w:val="-9"/>
        </w:rPr>
        <w:t> </w:t>
      </w:r>
      <w:r>
        <w:rPr/>
        <w:t>is</w:t>
      </w:r>
      <w:r>
        <w:rPr>
          <w:spacing w:val="-13"/>
        </w:rPr>
        <w:t> </w:t>
      </w:r>
      <w:r>
        <w:rPr/>
        <w:t>a</w:t>
      </w:r>
      <w:r>
        <w:rPr>
          <w:spacing w:val="-8"/>
        </w:rPr>
        <w:t> </w:t>
      </w:r>
      <w:r>
        <w:rPr/>
        <w:t>significant</w:t>
      </w:r>
      <w:r>
        <w:rPr>
          <w:spacing w:val="-7"/>
        </w:rPr>
        <w:t> </w:t>
      </w:r>
      <w:r>
        <w:rPr/>
        <w:t>difference</w:t>
      </w:r>
      <w:r>
        <w:rPr>
          <w:spacing w:val="-8"/>
        </w:rPr>
        <w:t> </w:t>
      </w:r>
      <w:r>
        <w:rPr/>
        <w:t>in</w:t>
      </w:r>
      <w:r>
        <w:rPr>
          <w:spacing w:val="-12"/>
        </w:rPr>
        <w:t> </w:t>
      </w:r>
      <w:r>
        <w:rPr/>
        <w:t>the</w:t>
      </w:r>
      <w:r>
        <w:rPr>
          <w:spacing w:val="-13"/>
        </w:rPr>
        <w:t> </w:t>
      </w:r>
      <w:r>
        <w:rPr/>
        <w:t>recovery</w:t>
      </w:r>
      <w:r>
        <w:rPr>
          <w:spacing w:val="-12"/>
        </w:rPr>
        <w:t> </w:t>
      </w:r>
      <w:r>
        <w:rPr/>
        <w:t>pattern</w:t>
      </w:r>
      <w:r>
        <w:rPr>
          <w:spacing w:val="-17"/>
        </w:rPr>
        <w:t> </w:t>
      </w:r>
      <w:r>
        <w:rPr/>
        <w:t>of</w:t>
      </w:r>
      <w:r>
        <w:rPr>
          <w:spacing w:val="-16"/>
        </w:rPr>
        <w:t> </w:t>
      </w:r>
      <w:r>
        <w:rPr/>
        <w:t>NIFTY</w:t>
      </w:r>
      <w:r>
        <w:rPr>
          <w:spacing w:val="-12"/>
        </w:rPr>
        <w:t> </w:t>
      </w:r>
      <w:r>
        <w:rPr/>
        <w:t>50</w:t>
      </w:r>
      <w:r>
        <w:rPr>
          <w:spacing w:val="-12"/>
        </w:rPr>
        <w:t> </w:t>
      </w:r>
      <w:r>
        <w:rPr/>
        <w:t>across</w:t>
      </w:r>
      <w:r>
        <w:rPr>
          <w:spacing w:val="-13"/>
        </w:rPr>
        <w:t> </w:t>
      </w:r>
      <w:r>
        <w:rPr/>
        <w:t>the three selected categories of major economic events.</w:t>
      </w:r>
    </w:p>
    <w:p>
      <w:pPr>
        <w:pStyle w:val="BodyText"/>
        <w:spacing w:before="48"/>
        <w:jc w:val="left"/>
      </w:pPr>
    </w:p>
    <w:p>
      <w:pPr>
        <w:pStyle w:val="Heading2"/>
        <w:numPr>
          <w:ilvl w:val="1"/>
          <w:numId w:val="1"/>
        </w:numPr>
        <w:tabs>
          <w:tab w:pos="1085" w:val="left" w:leader="none"/>
        </w:tabs>
        <w:spacing w:line="240" w:lineRule="auto" w:before="0" w:after="0"/>
        <w:ind w:left="1085" w:right="0" w:hanging="364"/>
        <w:jc w:val="both"/>
      </w:pPr>
      <w:r>
        <w:rPr/>
        <w:t>Limitations</w:t>
      </w:r>
      <w:r>
        <w:rPr>
          <w:spacing w:val="-2"/>
        </w:rPr>
        <w:t> </w:t>
      </w:r>
      <w:r>
        <w:rPr/>
        <w:t>of</w:t>
      </w:r>
      <w:r>
        <w:rPr>
          <w:spacing w:val="-6"/>
        </w:rPr>
        <w:t> </w:t>
      </w:r>
      <w:r>
        <w:rPr/>
        <w:t>the</w:t>
      </w:r>
      <w:r>
        <w:rPr>
          <w:spacing w:val="1"/>
        </w:rPr>
        <w:t> </w:t>
      </w:r>
      <w:r>
        <w:rPr>
          <w:spacing w:val="-4"/>
        </w:rPr>
        <w:t>Study</w:t>
      </w:r>
    </w:p>
    <w:p>
      <w:pPr>
        <w:pStyle w:val="ListParagraph"/>
        <w:numPr>
          <w:ilvl w:val="2"/>
          <w:numId w:val="1"/>
        </w:numPr>
        <w:tabs>
          <w:tab w:pos="1441" w:val="left" w:leader="none"/>
        </w:tabs>
        <w:spacing w:line="362" w:lineRule="auto" w:before="175" w:after="0"/>
        <w:ind w:left="1441" w:right="2167" w:hanging="360"/>
        <w:jc w:val="both"/>
        <w:rPr>
          <w:sz w:val="24"/>
        </w:rPr>
      </w:pPr>
      <w:r>
        <w:rPr>
          <w:sz w:val="24"/>
        </w:rPr>
        <w:t>The</w:t>
      </w:r>
      <w:r>
        <w:rPr>
          <w:spacing w:val="-6"/>
          <w:sz w:val="24"/>
        </w:rPr>
        <w:t> </w:t>
      </w:r>
      <w:r>
        <w:rPr>
          <w:sz w:val="24"/>
        </w:rPr>
        <w:t>study</w:t>
      </w:r>
      <w:r>
        <w:rPr>
          <w:spacing w:val="-9"/>
          <w:sz w:val="24"/>
        </w:rPr>
        <w:t> </w:t>
      </w:r>
      <w:r>
        <w:rPr>
          <w:sz w:val="24"/>
        </w:rPr>
        <w:t>is</w:t>
      </w:r>
      <w:r>
        <w:rPr>
          <w:spacing w:val="-3"/>
          <w:sz w:val="24"/>
        </w:rPr>
        <w:t> </w:t>
      </w:r>
      <w:r>
        <w:rPr>
          <w:sz w:val="24"/>
        </w:rPr>
        <w:t>limited</w:t>
      </w:r>
      <w:r>
        <w:rPr>
          <w:spacing w:val="-5"/>
          <w:sz w:val="24"/>
        </w:rPr>
        <w:t> </w:t>
      </w:r>
      <w:r>
        <w:rPr>
          <w:sz w:val="24"/>
        </w:rPr>
        <w:t>to</w:t>
      </w:r>
      <w:r>
        <w:rPr>
          <w:spacing w:val="-9"/>
          <w:sz w:val="24"/>
        </w:rPr>
        <w:t> </w:t>
      </w:r>
      <w:r>
        <w:rPr>
          <w:sz w:val="24"/>
        </w:rPr>
        <w:t>three</w:t>
      </w:r>
      <w:r>
        <w:rPr>
          <w:spacing w:val="-6"/>
          <w:sz w:val="24"/>
        </w:rPr>
        <w:t> </w:t>
      </w:r>
      <w:r>
        <w:rPr>
          <w:sz w:val="24"/>
        </w:rPr>
        <w:t>major</w:t>
      </w:r>
      <w:r>
        <w:rPr>
          <w:spacing w:val="-4"/>
          <w:sz w:val="24"/>
        </w:rPr>
        <w:t> </w:t>
      </w:r>
      <w:r>
        <w:rPr>
          <w:sz w:val="24"/>
        </w:rPr>
        <w:t>economic</w:t>
      </w:r>
      <w:r>
        <w:rPr>
          <w:spacing w:val="-6"/>
          <w:sz w:val="24"/>
        </w:rPr>
        <w:t> </w:t>
      </w:r>
      <w:r>
        <w:rPr>
          <w:sz w:val="24"/>
        </w:rPr>
        <w:t>events</w:t>
      </w:r>
      <w:r>
        <w:rPr>
          <w:spacing w:val="-7"/>
          <w:sz w:val="24"/>
        </w:rPr>
        <w:t> </w:t>
      </w:r>
      <w:r>
        <w:rPr>
          <w:sz w:val="24"/>
        </w:rPr>
        <w:t>across</w:t>
      </w:r>
      <w:r>
        <w:rPr>
          <w:spacing w:val="-11"/>
          <w:sz w:val="24"/>
        </w:rPr>
        <w:t> </w:t>
      </w:r>
      <w:r>
        <w:rPr>
          <w:sz w:val="24"/>
        </w:rPr>
        <w:t>three</w:t>
      </w:r>
      <w:r>
        <w:rPr>
          <w:spacing w:val="-6"/>
          <w:sz w:val="24"/>
        </w:rPr>
        <w:t> </w:t>
      </w:r>
      <w:r>
        <w:rPr>
          <w:sz w:val="24"/>
        </w:rPr>
        <w:t>categories and does not cover other categories such as global recessions or major corporate/earnings-driven shocks.</w:t>
      </w:r>
    </w:p>
    <w:p>
      <w:pPr>
        <w:pStyle w:val="ListParagraph"/>
        <w:spacing w:after="0" w:line="362" w:lineRule="auto"/>
        <w:jc w:val="both"/>
        <w:rPr>
          <w:sz w:val="24"/>
        </w:rPr>
        <w:sectPr>
          <w:pgSz w:w="12240" w:h="15840"/>
          <w:pgMar w:top="1820" w:bottom="280" w:left="1440" w:right="0"/>
        </w:sectPr>
      </w:pPr>
    </w:p>
    <w:p>
      <w:pPr>
        <w:pStyle w:val="BodyText"/>
        <w:spacing w:before="56"/>
        <w:jc w:val="left"/>
      </w:pPr>
    </w:p>
    <w:p>
      <w:pPr>
        <w:pStyle w:val="ListParagraph"/>
        <w:numPr>
          <w:ilvl w:val="2"/>
          <w:numId w:val="1"/>
        </w:numPr>
        <w:tabs>
          <w:tab w:pos="1441" w:val="left" w:leader="none"/>
        </w:tabs>
        <w:spacing w:line="364" w:lineRule="auto" w:before="0" w:after="0"/>
        <w:ind w:left="1441" w:right="2155" w:hanging="360"/>
        <w:jc w:val="both"/>
        <w:rPr>
          <w:sz w:val="24"/>
        </w:rPr>
      </w:pPr>
      <w:r>
        <w:rPr>
          <w:sz w:val="24"/>
        </w:rPr>
        <w:t>The</w:t>
      </w:r>
      <w:r>
        <w:rPr>
          <w:spacing w:val="-4"/>
          <w:sz w:val="24"/>
        </w:rPr>
        <w:t> </w:t>
      </w:r>
      <w:r>
        <w:rPr>
          <w:sz w:val="24"/>
        </w:rPr>
        <w:t>study</w:t>
      </w:r>
      <w:r>
        <w:rPr>
          <w:spacing w:val="-7"/>
          <w:sz w:val="24"/>
        </w:rPr>
        <w:t> </w:t>
      </w:r>
      <w:r>
        <w:rPr>
          <w:sz w:val="24"/>
        </w:rPr>
        <w:t>is</w:t>
      </w:r>
      <w:r>
        <w:rPr>
          <w:spacing w:val="-5"/>
          <w:sz w:val="24"/>
        </w:rPr>
        <w:t> </w:t>
      </w:r>
      <w:r>
        <w:rPr>
          <w:sz w:val="24"/>
        </w:rPr>
        <w:t>based</w:t>
      </w:r>
      <w:r>
        <w:rPr>
          <w:spacing w:val="-3"/>
          <w:sz w:val="24"/>
        </w:rPr>
        <w:t> </w:t>
      </w:r>
      <w:r>
        <w:rPr>
          <w:sz w:val="24"/>
        </w:rPr>
        <w:t>entirely</w:t>
      </w:r>
      <w:r>
        <w:rPr>
          <w:spacing w:val="-11"/>
          <w:sz w:val="24"/>
        </w:rPr>
        <w:t> </w:t>
      </w:r>
      <w:r>
        <w:rPr>
          <w:sz w:val="24"/>
        </w:rPr>
        <w:t>on</w:t>
      </w:r>
      <w:r>
        <w:rPr>
          <w:spacing w:val="-7"/>
          <w:sz w:val="24"/>
        </w:rPr>
        <w:t> </w:t>
      </w:r>
      <w:r>
        <w:rPr>
          <w:sz w:val="24"/>
        </w:rPr>
        <w:t>secondary</w:t>
      </w:r>
      <w:r>
        <w:rPr>
          <w:spacing w:val="-12"/>
          <w:sz w:val="24"/>
        </w:rPr>
        <w:t> </w:t>
      </w:r>
      <w:r>
        <w:rPr>
          <w:sz w:val="24"/>
        </w:rPr>
        <w:t>data</w:t>
      </w:r>
      <w:r>
        <w:rPr>
          <w:spacing w:val="-4"/>
          <w:sz w:val="24"/>
        </w:rPr>
        <w:t> </w:t>
      </w:r>
      <w:r>
        <w:rPr>
          <w:sz w:val="24"/>
        </w:rPr>
        <w:t>and</w:t>
      </w:r>
      <w:r>
        <w:rPr>
          <w:spacing w:val="-3"/>
          <w:sz w:val="24"/>
        </w:rPr>
        <w:t> </w:t>
      </w:r>
      <w:r>
        <w:rPr>
          <w:sz w:val="24"/>
        </w:rPr>
        <w:t>does</w:t>
      </w:r>
      <w:r>
        <w:rPr>
          <w:spacing w:val="-5"/>
          <w:sz w:val="24"/>
        </w:rPr>
        <w:t> </w:t>
      </w:r>
      <w:r>
        <w:rPr>
          <w:sz w:val="24"/>
        </w:rPr>
        <w:t>not</w:t>
      </w:r>
      <w:r>
        <w:rPr>
          <w:spacing w:val="-3"/>
          <w:sz w:val="24"/>
        </w:rPr>
        <w:t> </w:t>
      </w:r>
      <w:r>
        <w:rPr>
          <w:sz w:val="24"/>
        </w:rPr>
        <w:t>include</w:t>
      </w:r>
      <w:r>
        <w:rPr>
          <w:spacing w:val="-4"/>
          <w:sz w:val="24"/>
        </w:rPr>
        <w:t> </w:t>
      </w:r>
      <w:r>
        <w:rPr>
          <w:sz w:val="24"/>
        </w:rPr>
        <w:t>primary data collection through surveys or interviews with market participants.</w:t>
      </w:r>
    </w:p>
    <w:p>
      <w:pPr>
        <w:pStyle w:val="ListParagraph"/>
        <w:numPr>
          <w:ilvl w:val="2"/>
          <w:numId w:val="1"/>
        </w:numPr>
        <w:tabs>
          <w:tab w:pos="1441" w:val="left" w:leader="none"/>
        </w:tabs>
        <w:spacing w:line="362" w:lineRule="auto" w:before="150" w:after="0"/>
        <w:ind w:left="1441" w:right="2164" w:hanging="360"/>
        <w:jc w:val="both"/>
        <w:rPr>
          <w:sz w:val="24"/>
        </w:rPr>
      </w:pPr>
      <w:r>
        <w:rPr>
          <w:sz w:val="24"/>
        </w:rPr>
        <w:t>The study focuses exclusively on the NIFTY 50 index and does not separately</w:t>
      </w:r>
      <w:r>
        <w:rPr>
          <w:spacing w:val="-15"/>
          <w:sz w:val="24"/>
        </w:rPr>
        <w:t> </w:t>
      </w:r>
      <w:r>
        <w:rPr>
          <w:sz w:val="24"/>
        </w:rPr>
        <w:t>analyse</w:t>
      </w:r>
      <w:r>
        <w:rPr>
          <w:spacing w:val="-11"/>
          <w:sz w:val="24"/>
        </w:rPr>
        <w:t> </w:t>
      </w:r>
      <w:r>
        <w:rPr>
          <w:sz w:val="24"/>
        </w:rPr>
        <w:t>sectoral</w:t>
      </w:r>
      <w:r>
        <w:rPr>
          <w:spacing w:val="-12"/>
          <w:sz w:val="24"/>
        </w:rPr>
        <w:t> </w:t>
      </w:r>
      <w:r>
        <w:rPr>
          <w:sz w:val="24"/>
        </w:rPr>
        <w:t>indices</w:t>
      </w:r>
      <w:r>
        <w:rPr>
          <w:spacing w:val="-11"/>
          <w:sz w:val="24"/>
        </w:rPr>
        <w:t> </w:t>
      </w:r>
      <w:r>
        <w:rPr>
          <w:sz w:val="24"/>
        </w:rPr>
        <w:t>such</w:t>
      </w:r>
      <w:r>
        <w:rPr>
          <w:spacing w:val="-13"/>
          <w:sz w:val="24"/>
        </w:rPr>
        <w:t> </w:t>
      </w:r>
      <w:r>
        <w:rPr>
          <w:sz w:val="24"/>
        </w:rPr>
        <w:t>as</w:t>
      </w:r>
      <w:r>
        <w:rPr>
          <w:spacing w:val="-11"/>
          <w:sz w:val="24"/>
        </w:rPr>
        <w:t> </w:t>
      </w:r>
      <w:r>
        <w:rPr>
          <w:sz w:val="24"/>
        </w:rPr>
        <w:t>NIFTY</w:t>
      </w:r>
      <w:r>
        <w:rPr>
          <w:spacing w:val="-13"/>
          <w:sz w:val="24"/>
        </w:rPr>
        <w:t> </w:t>
      </w:r>
      <w:r>
        <w:rPr>
          <w:sz w:val="24"/>
        </w:rPr>
        <w:t>Bank</w:t>
      </w:r>
      <w:r>
        <w:rPr>
          <w:spacing w:val="-9"/>
          <w:sz w:val="24"/>
        </w:rPr>
        <w:t> </w:t>
      </w:r>
      <w:r>
        <w:rPr>
          <w:sz w:val="24"/>
        </w:rPr>
        <w:t>or</w:t>
      </w:r>
      <w:r>
        <w:rPr>
          <w:spacing w:val="-12"/>
          <w:sz w:val="24"/>
        </w:rPr>
        <w:t> </w:t>
      </w:r>
      <w:r>
        <w:rPr>
          <w:sz w:val="24"/>
        </w:rPr>
        <w:t>NIFTY</w:t>
      </w:r>
      <w:r>
        <w:rPr>
          <w:spacing w:val="-13"/>
          <w:sz w:val="24"/>
        </w:rPr>
        <w:t> </w:t>
      </w:r>
      <w:r>
        <w:rPr>
          <w:sz w:val="24"/>
        </w:rPr>
        <w:t>Midcap.</w:t>
      </w:r>
    </w:p>
    <w:p>
      <w:pPr>
        <w:pStyle w:val="ListParagraph"/>
        <w:numPr>
          <w:ilvl w:val="2"/>
          <w:numId w:val="1"/>
        </w:numPr>
        <w:tabs>
          <w:tab w:pos="1441" w:val="left" w:leader="none"/>
        </w:tabs>
        <w:spacing w:line="360" w:lineRule="auto" w:before="156" w:after="0"/>
        <w:ind w:left="1441" w:right="2157" w:hanging="360"/>
        <w:jc w:val="both"/>
        <w:rPr>
          <w:sz w:val="24"/>
        </w:rPr>
      </w:pPr>
      <w:r>
        <w:rPr>
          <w:sz w:val="24"/>
        </w:rPr>
        <w:t>NIFTY 50 performance in any event window is influenced by multiple simultaneous</w:t>
      </w:r>
      <w:r>
        <w:rPr>
          <w:spacing w:val="-15"/>
          <w:sz w:val="24"/>
        </w:rPr>
        <w:t> </w:t>
      </w:r>
      <w:r>
        <w:rPr>
          <w:sz w:val="24"/>
        </w:rPr>
        <w:t>factors</w:t>
      </w:r>
      <w:r>
        <w:rPr>
          <w:spacing w:val="-15"/>
          <w:sz w:val="24"/>
        </w:rPr>
        <w:t> </w:t>
      </w:r>
      <w:r>
        <w:rPr>
          <w:sz w:val="24"/>
        </w:rPr>
        <w:t>—</w:t>
      </w:r>
      <w:r>
        <w:rPr>
          <w:spacing w:val="-15"/>
          <w:sz w:val="24"/>
        </w:rPr>
        <w:t> </w:t>
      </w:r>
      <w:r>
        <w:rPr>
          <w:sz w:val="24"/>
        </w:rPr>
        <w:t>FII/DII</w:t>
      </w:r>
      <w:r>
        <w:rPr>
          <w:spacing w:val="-15"/>
          <w:sz w:val="24"/>
        </w:rPr>
        <w:t> </w:t>
      </w:r>
      <w:r>
        <w:rPr>
          <w:sz w:val="24"/>
        </w:rPr>
        <w:t>activity,</w:t>
      </w:r>
      <w:r>
        <w:rPr>
          <w:spacing w:val="-15"/>
          <w:sz w:val="24"/>
        </w:rPr>
        <w:t> </w:t>
      </w:r>
      <w:r>
        <w:rPr>
          <w:sz w:val="24"/>
        </w:rPr>
        <w:t>currency</w:t>
      </w:r>
      <w:r>
        <w:rPr>
          <w:spacing w:val="-15"/>
          <w:sz w:val="24"/>
        </w:rPr>
        <w:t> </w:t>
      </w:r>
      <w:r>
        <w:rPr>
          <w:sz w:val="24"/>
        </w:rPr>
        <w:t>movements,</w:t>
      </w:r>
      <w:r>
        <w:rPr>
          <w:spacing w:val="-15"/>
          <w:sz w:val="24"/>
        </w:rPr>
        <w:t> </w:t>
      </w:r>
      <w:r>
        <w:rPr>
          <w:sz w:val="24"/>
        </w:rPr>
        <w:t>and</w:t>
      </w:r>
      <w:r>
        <w:rPr>
          <w:spacing w:val="-15"/>
          <w:sz w:val="24"/>
        </w:rPr>
        <w:t> </w:t>
      </w:r>
      <w:r>
        <w:rPr>
          <w:sz w:val="24"/>
        </w:rPr>
        <w:t>crude</w:t>
      </w:r>
      <w:r>
        <w:rPr>
          <w:spacing w:val="-15"/>
          <w:sz w:val="24"/>
        </w:rPr>
        <w:t> </w:t>
      </w:r>
      <w:r>
        <w:rPr>
          <w:sz w:val="24"/>
        </w:rPr>
        <w:t>oil prices — which could not all be individually isolated.</w:t>
      </w:r>
    </w:p>
    <w:p>
      <w:pPr>
        <w:pStyle w:val="ListParagraph"/>
        <w:numPr>
          <w:ilvl w:val="2"/>
          <w:numId w:val="1"/>
        </w:numPr>
        <w:tabs>
          <w:tab w:pos="1441" w:val="left" w:leader="none"/>
        </w:tabs>
        <w:spacing w:line="362" w:lineRule="auto" w:before="160" w:after="0"/>
        <w:ind w:left="1441" w:right="2163" w:hanging="360"/>
        <w:jc w:val="both"/>
        <w:rPr>
          <w:sz w:val="24"/>
        </w:rPr>
      </w:pPr>
      <w:r>
        <w:rPr>
          <w:sz w:val="24"/>
        </w:rPr>
        <w:t>The</w:t>
      </w:r>
      <w:r>
        <w:rPr>
          <w:spacing w:val="-15"/>
          <w:sz w:val="24"/>
        </w:rPr>
        <w:t> </w:t>
      </w:r>
      <w:r>
        <w:rPr>
          <w:sz w:val="24"/>
        </w:rPr>
        <w:t>recovery-period</w:t>
      </w:r>
      <w:r>
        <w:rPr>
          <w:spacing w:val="-14"/>
          <w:sz w:val="24"/>
        </w:rPr>
        <w:t> </w:t>
      </w:r>
      <w:r>
        <w:rPr>
          <w:sz w:val="24"/>
        </w:rPr>
        <w:t>measure</w:t>
      </w:r>
      <w:r>
        <w:rPr>
          <w:spacing w:val="-15"/>
          <w:sz w:val="24"/>
        </w:rPr>
        <w:t> </w:t>
      </w:r>
      <w:r>
        <w:rPr>
          <w:sz w:val="24"/>
        </w:rPr>
        <w:t>used</w:t>
      </w:r>
      <w:r>
        <w:rPr>
          <w:spacing w:val="-10"/>
          <w:sz w:val="24"/>
        </w:rPr>
        <w:t> </w:t>
      </w:r>
      <w:r>
        <w:rPr>
          <w:sz w:val="24"/>
        </w:rPr>
        <w:t>is</w:t>
      </w:r>
      <w:r>
        <w:rPr>
          <w:spacing w:val="-15"/>
          <w:sz w:val="24"/>
        </w:rPr>
        <w:t> </w:t>
      </w:r>
      <w:r>
        <w:rPr>
          <w:sz w:val="24"/>
        </w:rPr>
        <w:t>a</w:t>
      </w:r>
      <w:r>
        <w:rPr>
          <w:spacing w:val="-15"/>
          <w:sz w:val="24"/>
        </w:rPr>
        <w:t> </w:t>
      </w:r>
      <w:r>
        <w:rPr>
          <w:sz w:val="24"/>
        </w:rPr>
        <w:t>straightforward</w:t>
      </w:r>
      <w:r>
        <w:rPr>
          <w:spacing w:val="-15"/>
          <w:sz w:val="24"/>
        </w:rPr>
        <w:t> </w:t>
      </w:r>
      <w:r>
        <w:rPr>
          <w:sz w:val="24"/>
        </w:rPr>
        <w:t>benchmark</w:t>
      </w:r>
      <w:r>
        <w:rPr>
          <w:spacing w:val="-15"/>
          <w:sz w:val="24"/>
        </w:rPr>
        <w:t> </w:t>
      </w:r>
      <w:r>
        <w:rPr>
          <w:sz w:val="24"/>
        </w:rPr>
        <w:t>and</w:t>
      </w:r>
      <w:r>
        <w:rPr>
          <w:spacing w:val="-15"/>
          <w:sz w:val="24"/>
        </w:rPr>
        <w:t> </w:t>
      </w:r>
      <w:r>
        <w:rPr>
          <w:sz w:val="24"/>
        </w:rPr>
        <w:t>does not account for possible overshoot, structural breaks, or subsequent unrelated events.</w:t>
      </w:r>
    </w:p>
    <w:p>
      <w:pPr>
        <w:pStyle w:val="BodyText"/>
        <w:spacing w:before="122"/>
        <w:jc w:val="left"/>
      </w:pPr>
    </w:p>
    <w:p>
      <w:pPr>
        <w:pStyle w:val="Heading1"/>
        <w:numPr>
          <w:ilvl w:val="0"/>
          <w:numId w:val="1"/>
        </w:numPr>
        <w:tabs>
          <w:tab w:pos="1003" w:val="left" w:leader="none"/>
        </w:tabs>
        <w:spacing w:line="240" w:lineRule="auto" w:before="0" w:after="0"/>
        <w:ind w:left="1003" w:right="0" w:hanging="282"/>
        <w:jc w:val="left"/>
      </w:pPr>
      <w:r>
        <w:rPr/>
        <w:t>DATA</w:t>
      </w:r>
      <w:r>
        <w:rPr>
          <w:spacing w:val="-5"/>
        </w:rPr>
        <w:t> </w:t>
      </w:r>
      <w:r>
        <w:rPr>
          <w:spacing w:val="-2"/>
        </w:rPr>
        <w:t>ANALYSIS</w:t>
      </w:r>
    </w:p>
    <w:p>
      <w:pPr>
        <w:pStyle w:val="BodyText"/>
        <w:spacing w:line="360" w:lineRule="auto" w:before="215"/>
        <w:ind w:left="721" w:right="2155"/>
      </w:pPr>
      <w:r>
        <w:rPr/>
        <w:t>This</w:t>
      </w:r>
      <w:r>
        <w:rPr>
          <w:spacing w:val="-4"/>
        </w:rPr>
        <w:t> </w:t>
      </w:r>
      <w:r>
        <w:rPr/>
        <w:t>chapter</w:t>
      </w:r>
      <w:r>
        <w:rPr>
          <w:spacing w:val="-1"/>
        </w:rPr>
        <w:t> </w:t>
      </w:r>
      <w:r>
        <w:rPr/>
        <w:t>presents</w:t>
      </w:r>
      <w:r>
        <w:rPr>
          <w:spacing w:val="-9"/>
        </w:rPr>
        <w:t> </w:t>
      </w:r>
      <w:r>
        <w:rPr/>
        <w:t>the</w:t>
      </w:r>
      <w:r>
        <w:rPr>
          <w:spacing w:val="-3"/>
        </w:rPr>
        <w:t> </w:t>
      </w:r>
      <w:r>
        <w:rPr/>
        <w:t>data</w:t>
      </w:r>
      <w:r>
        <w:rPr>
          <w:spacing w:val="-3"/>
        </w:rPr>
        <w:t> </w:t>
      </w:r>
      <w:r>
        <w:rPr/>
        <w:t>analysis carried</w:t>
      </w:r>
      <w:r>
        <w:rPr>
          <w:spacing w:val="-2"/>
        </w:rPr>
        <w:t> </w:t>
      </w:r>
      <w:r>
        <w:rPr/>
        <w:t>out</w:t>
      </w:r>
      <w:r>
        <w:rPr>
          <w:spacing w:val="-6"/>
        </w:rPr>
        <w:t> </w:t>
      </w:r>
      <w:r>
        <w:rPr/>
        <w:t>for</w:t>
      </w:r>
      <w:r>
        <w:rPr>
          <w:spacing w:val="-1"/>
        </w:rPr>
        <w:t> </w:t>
      </w:r>
      <w:r>
        <w:rPr/>
        <w:t>the</w:t>
      </w:r>
      <w:r>
        <w:rPr>
          <w:spacing w:val="-3"/>
        </w:rPr>
        <w:t> </w:t>
      </w:r>
      <w:r>
        <w:rPr/>
        <w:t>study, drawing</w:t>
      </w:r>
      <w:r>
        <w:rPr>
          <w:spacing w:val="-2"/>
        </w:rPr>
        <w:t> </w:t>
      </w:r>
      <w:r>
        <w:rPr/>
        <w:t>on</w:t>
      </w:r>
      <w:r>
        <w:rPr>
          <w:spacing w:val="-7"/>
        </w:rPr>
        <w:t> </w:t>
      </w:r>
      <w:r>
        <w:rPr/>
        <w:t>event-wise data organised in Microsoft Excel and statistical analysis performed in IBM SPSS Statistics (Version 27), examining the NIFTY 50 index around the three selected events.</w:t>
      </w:r>
    </w:p>
    <w:p>
      <w:pPr>
        <w:pStyle w:val="BodyText"/>
        <w:spacing w:before="46"/>
        <w:jc w:val="left"/>
      </w:pPr>
    </w:p>
    <w:p>
      <w:pPr>
        <w:pStyle w:val="Heading2"/>
        <w:numPr>
          <w:ilvl w:val="1"/>
          <w:numId w:val="1"/>
        </w:numPr>
        <w:tabs>
          <w:tab w:pos="1085" w:val="left" w:leader="none"/>
        </w:tabs>
        <w:spacing w:line="240" w:lineRule="auto" w:before="0" w:after="0"/>
        <w:ind w:left="1085" w:right="0" w:hanging="364"/>
        <w:jc w:val="left"/>
      </w:pPr>
      <w:r>
        <w:rPr/>
        <w:t>Table</w:t>
      </w:r>
      <w:r>
        <w:rPr>
          <w:spacing w:val="-6"/>
        </w:rPr>
        <w:t> </w:t>
      </w:r>
      <w:r>
        <w:rPr/>
        <w:t>Showing</w:t>
      </w:r>
      <w:r>
        <w:rPr>
          <w:spacing w:val="-2"/>
        </w:rPr>
        <w:t> </w:t>
      </w:r>
      <w:r>
        <w:rPr/>
        <w:t>Event</w:t>
      </w:r>
      <w:r>
        <w:rPr>
          <w:spacing w:val="-5"/>
        </w:rPr>
        <w:t> </w:t>
      </w:r>
      <w:r>
        <w:rPr/>
        <w:t>Windows</w:t>
      </w:r>
      <w:r>
        <w:rPr>
          <w:spacing w:val="-5"/>
        </w:rPr>
        <w:t> </w:t>
      </w:r>
      <w:r>
        <w:rPr/>
        <w:t>and</w:t>
      </w:r>
      <w:r>
        <w:rPr>
          <w:spacing w:val="-2"/>
        </w:rPr>
        <w:t> </w:t>
      </w:r>
      <w:r>
        <w:rPr/>
        <w:t>Data</w:t>
      </w:r>
      <w:r>
        <w:rPr>
          <w:spacing w:val="-2"/>
        </w:rPr>
        <w:t> </w:t>
      </w:r>
      <w:r>
        <w:rPr/>
        <w:t>Volume</w:t>
      </w:r>
      <w:r>
        <w:rPr>
          <w:spacing w:val="-3"/>
        </w:rPr>
        <w:t> </w:t>
      </w:r>
      <w:r>
        <w:rPr>
          <w:spacing w:val="-2"/>
        </w:rPr>
        <w:t>Collected</w:t>
      </w:r>
    </w:p>
    <w:p>
      <w:pPr>
        <w:pStyle w:val="BodyText"/>
        <w:spacing w:before="11"/>
        <w:jc w:val="left"/>
        <w:rPr>
          <w:b/>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1498"/>
        <w:gridCol w:w="2204"/>
        <w:gridCol w:w="2199"/>
        <w:gridCol w:w="1498"/>
      </w:tblGrid>
      <w:tr>
        <w:trPr>
          <w:trHeight w:val="628" w:hRule="atLeast"/>
        </w:trPr>
        <w:tc>
          <w:tcPr>
            <w:tcW w:w="2603" w:type="dxa"/>
            <w:shd w:val="clear" w:color="auto" w:fill="D9D9D9"/>
          </w:tcPr>
          <w:p>
            <w:pPr>
              <w:pStyle w:val="TableParagraph"/>
              <w:spacing w:before="188"/>
              <w:ind w:left="0"/>
              <w:rPr>
                <w:b/>
                <w:sz w:val="22"/>
              </w:rPr>
            </w:pPr>
            <w:r>
              <w:rPr>
                <w:b/>
                <w:spacing w:val="-2"/>
                <w:sz w:val="22"/>
              </w:rPr>
              <w:t>Event</w:t>
            </w:r>
          </w:p>
        </w:tc>
        <w:tc>
          <w:tcPr>
            <w:tcW w:w="1498" w:type="dxa"/>
            <w:shd w:val="clear" w:color="auto" w:fill="D9D9D9"/>
          </w:tcPr>
          <w:p>
            <w:pPr>
              <w:pStyle w:val="TableParagraph"/>
              <w:spacing w:before="188"/>
              <w:ind w:left="14" w:right="16"/>
              <w:rPr>
                <w:b/>
                <w:sz w:val="22"/>
              </w:rPr>
            </w:pPr>
            <w:r>
              <w:rPr>
                <w:b/>
                <w:sz w:val="22"/>
              </w:rPr>
              <w:t>Event</w:t>
            </w:r>
            <w:r>
              <w:rPr>
                <w:b/>
                <w:spacing w:val="-6"/>
                <w:sz w:val="22"/>
              </w:rPr>
              <w:t> </w:t>
            </w:r>
            <w:r>
              <w:rPr>
                <w:b/>
                <w:spacing w:val="-4"/>
                <w:sz w:val="22"/>
              </w:rPr>
              <w:t>Date</w:t>
            </w:r>
          </w:p>
        </w:tc>
        <w:tc>
          <w:tcPr>
            <w:tcW w:w="2204" w:type="dxa"/>
            <w:shd w:val="clear" w:color="auto" w:fill="D9D9D9"/>
          </w:tcPr>
          <w:p>
            <w:pPr>
              <w:pStyle w:val="TableParagraph"/>
              <w:spacing w:before="188"/>
              <w:ind w:left="9" w:right="6"/>
              <w:rPr>
                <w:b/>
                <w:sz w:val="22"/>
              </w:rPr>
            </w:pPr>
            <w:r>
              <w:rPr>
                <w:b/>
                <w:sz w:val="22"/>
              </w:rPr>
              <w:t>Pre-Event</w:t>
            </w:r>
            <w:r>
              <w:rPr>
                <w:b/>
                <w:spacing w:val="-13"/>
                <w:sz w:val="22"/>
              </w:rPr>
              <w:t> </w:t>
            </w:r>
            <w:r>
              <w:rPr>
                <w:b/>
                <w:spacing w:val="-2"/>
                <w:sz w:val="22"/>
              </w:rPr>
              <w:t>Window</w:t>
            </w:r>
          </w:p>
        </w:tc>
        <w:tc>
          <w:tcPr>
            <w:tcW w:w="2199" w:type="dxa"/>
            <w:shd w:val="clear" w:color="auto" w:fill="D9D9D9"/>
          </w:tcPr>
          <w:p>
            <w:pPr>
              <w:pStyle w:val="TableParagraph"/>
              <w:spacing w:before="188"/>
              <w:ind w:left="4" w:right="4"/>
              <w:rPr>
                <w:b/>
                <w:sz w:val="22"/>
              </w:rPr>
            </w:pPr>
            <w:r>
              <w:rPr>
                <w:b/>
                <w:sz w:val="22"/>
              </w:rPr>
              <w:t>Post-Event</w:t>
            </w:r>
            <w:r>
              <w:rPr>
                <w:b/>
                <w:spacing w:val="-12"/>
                <w:sz w:val="22"/>
              </w:rPr>
              <w:t> </w:t>
            </w:r>
            <w:r>
              <w:rPr>
                <w:b/>
                <w:spacing w:val="-2"/>
                <w:sz w:val="22"/>
              </w:rPr>
              <w:t>Window</w:t>
            </w:r>
          </w:p>
        </w:tc>
        <w:tc>
          <w:tcPr>
            <w:tcW w:w="1498" w:type="dxa"/>
            <w:shd w:val="clear" w:color="auto" w:fill="D9D9D9"/>
          </w:tcPr>
          <w:p>
            <w:pPr>
              <w:pStyle w:val="TableParagraph"/>
              <w:spacing w:line="237" w:lineRule="auto" w:before="65"/>
              <w:ind w:left="518" w:hanging="428"/>
              <w:jc w:val="left"/>
              <w:rPr>
                <w:b/>
                <w:sz w:val="22"/>
              </w:rPr>
            </w:pPr>
            <w:r>
              <w:rPr>
                <w:b/>
                <w:spacing w:val="-2"/>
                <w:sz w:val="22"/>
              </w:rPr>
              <w:t>Total</w:t>
            </w:r>
            <w:r>
              <w:rPr>
                <w:b/>
                <w:spacing w:val="-12"/>
                <w:sz w:val="22"/>
              </w:rPr>
              <w:t> </w:t>
            </w:r>
            <w:r>
              <w:rPr>
                <w:b/>
                <w:spacing w:val="-2"/>
                <w:sz w:val="22"/>
              </w:rPr>
              <w:t>Trading </w:t>
            </w:r>
            <w:r>
              <w:rPr>
                <w:b/>
                <w:spacing w:val="-4"/>
                <w:sz w:val="22"/>
              </w:rPr>
              <w:t>Days</w:t>
            </w:r>
          </w:p>
        </w:tc>
      </w:tr>
      <w:tr>
        <w:trPr>
          <w:trHeight w:val="374" w:hRule="atLeast"/>
        </w:trPr>
        <w:tc>
          <w:tcPr>
            <w:tcW w:w="2603" w:type="dxa"/>
          </w:tcPr>
          <w:p>
            <w:pPr>
              <w:pStyle w:val="TableParagraph"/>
              <w:spacing w:before="54"/>
              <w:jc w:val="left"/>
              <w:rPr>
                <w:sz w:val="22"/>
              </w:rPr>
            </w:pPr>
            <w:r>
              <w:rPr>
                <w:sz w:val="22"/>
              </w:rPr>
              <w:t>COVID-19</w:t>
            </w:r>
            <w:r>
              <w:rPr>
                <w:spacing w:val="-10"/>
                <w:sz w:val="22"/>
              </w:rPr>
              <w:t> </w:t>
            </w:r>
            <w:r>
              <w:rPr>
                <w:spacing w:val="-2"/>
                <w:sz w:val="22"/>
              </w:rPr>
              <w:t>Pandemic</w:t>
            </w:r>
          </w:p>
        </w:tc>
        <w:tc>
          <w:tcPr>
            <w:tcW w:w="1498" w:type="dxa"/>
          </w:tcPr>
          <w:p>
            <w:pPr>
              <w:pStyle w:val="TableParagraph"/>
              <w:spacing w:before="54"/>
              <w:ind w:left="14" w:right="7"/>
              <w:rPr>
                <w:sz w:val="22"/>
              </w:rPr>
            </w:pPr>
            <w:r>
              <w:rPr>
                <w:sz w:val="22"/>
              </w:rPr>
              <w:t>23 Mar</w:t>
            </w:r>
            <w:r>
              <w:rPr>
                <w:spacing w:val="-1"/>
                <w:sz w:val="22"/>
              </w:rPr>
              <w:t> </w:t>
            </w:r>
            <w:r>
              <w:rPr>
                <w:spacing w:val="-4"/>
                <w:sz w:val="22"/>
              </w:rPr>
              <w:t>2020</w:t>
            </w:r>
          </w:p>
        </w:tc>
        <w:tc>
          <w:tcPr>
            <w:tcW w:w="2204" w:type="dxa"/>
          </w:tcPr>
          <w:p>
            <w:pPr>
              <w:pStyle w:val="TableParagraph"/>
              <w:spacing w:before="54"/>
              <w:ind w:left="9"/>
              <w:rPr>
                <w:sz w:val="22"/>
              </w:rPr>
            </w:pPr>
            <w:r>
              <w:rPr>
                <w:sz w:val="22"/>
              </w:rPr>
              <w:t>30</w:t>
            </w:r>
            <w:r>
              <w:rPr>
                <w:spacing w:val="-2"/>
                <w:sz w:val="22"/>
              </w:rPr>
              <w:t> </w:t>
            </w:r>
            <w:r>
              <w:rPr>
                <w:sz w:val="22"/>
              </w:rPr>
              <w:t>trading</w:t>
            </w:r>
            <w:r>
              <w:rPr>
                <w:spacing w:val="-6"/>
                <w:sz w:val="22"/>
              </w:rPr>
              <w:t> </w:t>
            </w:r>
            <w:r>
              <w:rPr>
                <w:sz w:val="22"/>
              </w:rPr>
              <w:t>days</w:t>
            </w:r>
            <w:r>
              <w:rPr>
                <w:spacing w:val="-1"/>
                <w:sz w:val="22"/>
              </w:rPr>
              <w:t> </w:t>
            </w:r>
            <w:r>
              <w:rPr>
                <w:spacing w:val="-2"/>
                <w:sz w:val="22"/>
              </w:rPr>
              <w:t>before</w:t>
            </w:r>
          </w:p>
        </w:tc>
        <w:tc>
          <w:tcPr>
            <w:tcW w:w="2199" w:type="dxa"/>
          </w:tcPr>
          <w:p>
            <w:pPr>
              <w:pStyle w:val="TableParagraph"/>
              <w:spacing w:before="54"/>
              <w:ind w:left="0" w:right="4"/>
              <w:rPr>
                <w:sz w:val="22"/>
              </w:rPr>
            </w:pPr>
            <w:r>
              <w:rPr>
                <w:sz w:val="22"/>
              </w:rPr>
              <w:t>90</w:t>
            </w:r>
            <w:r>
              <w:rPr>
                <w:spacing w:val="-4"/>
                <w:sz w:val="22"/>
              </w:rPr>
              <w:t> </w:t>
            </w:r>
            <w:r>
              <w:rPr>
                <w:sz w:val="22"/>
              </w:rPr>
              <w:t>trading</w:t>
            </w:r>
            <w:r>
              <w:rPr>
                <w:spacing w:val="-7"/>
                <w:sz w:val="22"/>
              </w:rPr>
              <w:t> </w:t>
            </w:r>
            <w:r>
              <w:rPr>
                <w:sz w:val="22"/>
              </w:rPr>
              <w:t>days</w:t>
            </w:r>
            <w:r>
              <w:rPr>
                <w:spacing w:val="-1"/>
                <w:sz w:val="22"/>
              </w:rPr>
              <w:t> </w:t>
            </w:r>
            <w:r>
              <w:rPr>
                <w:spacing w:val="-4"/>
                <w:sz w:val="22"/>
              </w:rPr>
              <w:t>after</w:t>
            </w:r>
          </w:p>
        </w:tc>
        <w:tc>
          <w:tcPr>
            <w:tcW w:w="1498" w:type="dxa"/>
          </w:tcPr>
          <w:p>
            <w:pPr>
              <w:pStyle w:val="TableParagraph"/>
              <w:spacing w:before="54"/>
              <w:ind w:left="16" w:right="2"/>
              <w:rPr>
                <w:sz w:val="22"/>
              </w:rPr>
            </w:pPr>
            <w:r>
              <w:rPr>
                <w:spacing w:val="-5"/>
                <w:sz w:val="22"/>
              </w:rPr>
              <w:t>121</w:t>
            </w:r>
          </w:p>
        </w:tc>
      </w:tr>
      <w:tr>
        <w:trPr>
          <w:trHeight w:val="369" w:hRule="atLeast"/>
        </w:trPr>
        <w:tc>
          <w:tcPr>
            <w:tcW w:w="2603" w:type="dxa"/>
          </w:tcPr>
          <w:p>
            <w:pPr>
              <w:pStyle w:val="TableParagraph"/>
              <w:jc w:val="left"/>
              <w:rPr>
                <w:sz w:val="22"/>
              </w:rPr>
            </w:pPr>
            <w:r>
              <w:rPr>
                <w:sz w:val="22"/>
              </w:rPr>
              <w:t>Russia-Ukraine</w:t>
            </w:r>
            <w:r>
              <w:rPr>
                <w:spacing w:val="-13"/>
                <w:sz w:val="22"/>
              </w:rPr>
              <w:t> </w:t>
            </w:r>
            <w:r>
              <w:rPr>
                <w:spacing w:val="-5"/>
                <w:sz w:val="22"/>
              </w:rPr>
              <w:t>War</w:t>
            </w:r>
          </w:p>
        </w:tc>
        <w:tc>
          <w:tcPr>
            <w:tcW w:w="1498" w:type="dxa"/>
          </w:tcPr>
          <w:p>
            <w:pPr>
              <w:pStyle w:val="TableParagraph"/>
              <w:ind w:left="14" w:right="7"/>
              <w:rPr>
                <w:sz w:val="22"/>
              </w:rPr>
            </w:pPr>
            <w:r>
              <w:rPr>
                <w:sz w:val="22"/>
              </w:rPr>
              <w:t>24</w:t>
            </w:r>
            <w:r>
              <w:rPr>
                <w:spacing w:val="-1"/>
                <w:sz w:val="22"/>
              </w:rPr>
              <w:t> </w:t>
            </w:r>
            <w:r>
              <w:rPr>
                <w:sz w:val="22"/>
              </w:rPr>
              <w:t>Feb</w:t>
            </w:r>
            <w:r>
              <w:rPr>
                <w:spacing w:val="-1"/>
                <w:sz w:val="22"/>
              </w:rPr>
              <w:t> </w:t>
            </w:r>
            <w:r>
              <w:rPr>
                <w:spacing w:val="-4"/>
                <w:sz w:val="22"/>
              </w:rPr>
              <w:t>2022</w:t>
            </w:r>
          </w:p>
        </w:tc>
        <w:tc>
          <w:tcPr>
            <w:tcW w:w="2204" w:type="dxa"/>
          </w:tcPr>
          <w:p>
            <w:pPr>
              <w:pStyle w:val="TableParagraph"/>
              <w:ind w:left="9" w:right="1"/>
              <w:rPr>
                <w:sz w:val="22"/>
              </w:rPr>
            </w:pPr>
            <w:r>
              <w:rPr>
                <w:sz w:val="22"/>
              </w:rPr>
              <w:t>30</w:t>
            </w:r>
            <w:r>
              <w:rPr>
                <w:spacing w:val="-2"/>
                <w:sz w:val="22"/>
              </w:rPr>
              <w:t> </w:t>
            </w:r>
            <w:r>
              <w:rPr>
                <w:sz w:val="22"/>
              </w:rPr>
              <w:t>trading</w:t>
            </w:r>
            <w:r>
              <w:rPr>
                <w:spacing w:val="-7"/>
                <w:sz w:val="22"/>
              </w:rPr>
              <w:t> </w:t>
            </w:r>
            <w:r>
              <w:rPr>
                <w:sz w:val="22"/>
              </w:rPr>
              <w:t>days</w:t>
            </w:r>
            <w:r>
              <w:rPr>
                <w:spacing w:val="-1"/>
                <w:sz w:val="22"/>
              </w:rPr>
              <w:t> </w:t>
            </w:r>
            <w:r>
              <w:rPr>
                <w:spacing w:val="-2"/>
                <w:sz w:val="22"/>
              </w:rPr>
              <w:t>before</w:t>
            </w:r>
          </w:p>
        </w:tc>
        <w:tc>
          <w:tcPr>
            <w:tcW w:w="2199" w:type="dxa"/>
          </w:tcPr>
          <w:p>
            <w:pPr>
              <w:pStyle w:val="TableParagraph"/>
              <w:ind w:left="0" w:right="4"/>
              <w:rPr>
                <w:sz w:val="22"/>
              </w:rPr>
            </w:pPr>
            <w:r>
              <w:rPr>
                <w:sz w:val="22"/>
              </w:rPr>
              <w:t>60</w:t>
            </w:r>
            <w:r>
              <w:rPr>
                <w:spacing w:val="-4"/>
                <w:sz w:val="22"/>
              </w:rPr>
              <w:t> </w:t>
            </w:r>
            <w:r>
              <w:rPr>
                <w:sz w:val="22"/>
              </w:rPr>
              <w:t>trading</w:t>
            </w:r>
            <w:r>
              <w:rPr>
                <w:spacing w:val="-7"/>
                <w:sz w:val="22"/>
              </w:rPr>
              <w:t> </w:t>
            </w:r>
            <w:r>
              <w:rPr>
                <w:sz w:val="22"/>
              </w:rPr>
              <w:t>days</w:t>
            </w:r>
            <w:r>
              <w:rPr>
                <w:spacing w:val="-1"/>
                <w:sz w:val="22"/>
              </w:rPr>
              <w:t> </w:t>
            </w:r>
            <w:r>
              <w:rPr>
                <w:spacing w:val="-4"/>
                <w:sz w:val="22"/>
              </w:rPr>
              <w:t>after</w:t>
            </w:r>
          </w:p>
        </w:tc>
        <w:tc>
          <w:tcPr>
            <w:tcW w:w="1498" w:type="dxa"/>
          </w:tcPr>
          <w:p>
            <w:pPr>
              <w:pStyle w:val="TableParagraph"/>
              <w:ind w:left="14" w:right="5"/>
              <w:rPr>
                <w:sz w:val="22"/>
              </w:rPr>
            </w:pPr>
            <w:r>
              <w:rPr>
                <w:spacing w:val="-5"/>
                <w:sz w:val="22"/>
              </w:rPr>
              <w:t>91</w:t>
            </w:r>
          </w:p>
        </w:tc>
      </w:tr>
      <w:tr>
        <w:trPr>
          <w:trHeight w:val="628" w:hRule="atLeast"/>
        </w:trPr>
        <w:tc>
          <w:tcPr>
            <w:tcW w:w="2603" w:type="dxa"/>
          </w:tcPr>
          <w:p>
            <w:pPr>
              <w:pStyle w:val="TableParagraph"/>
              <w:spacing w:line="237" w:lineRule="auto" w:before="60"/>
              <w:ind w:right="59"/>
              <w:jc w:val="left"/>
              <w:rPr>
                <w:sz w:val="22"/>
              </w:rPr>
            </w:pPr>
            <w:r>
              <w:rPr>
                <w:sz w:val="22"/>
              </w:rPr>
              <w:t>India</w:t>
            </w:r>
            <w:r>
              <w:rPr>
                <w:spacing w:val="-14"/>
                <w:sz w:val="22"/>
              </w:rPr>
              <w:t> </w:t>
            </w:r>
            <w:r>
              <w:rPr>
                <w:sz w:val="22"/>
              </w:rPr>
              <w:t>General</w:t>
            </w:r>
            <w:r>
              <w:rPr>
                <w:spacing w:val="-14"/>
                <w:sz w:val="22"/>
              </w:rPr>
              <w:t> </w:t>
            </w:r>
            <w:r>
              <w:rPr>
                <w:sz w:val="22"/>
              </w:rPr>
              <w:t>Elections </w:t>
            </w:r>
            <w:r>
              <w:rPr>
                <w:spacing w:val="-4"/>
                <w:sz w:val="22"/>
              </w:rPr>
              <w:t>2024</w:t>
            </w:r>
          </w:p>
        </w:tc>
        <w:tc>
          <w:tcPr>
            <w:tcW w:w="1498" w:type="dxa"/>
          </w:tcPr>
          <w:p>
            <w:pPr>
              <w:pStyle w:val="TableParagraph"/>
              <w:spacing w:before="183"/>
              <w:ind w:left="14" w:right="6"/>
              <w:rPr>
                <w:sz w:val="22"/>
              </w:rPr>
            </w:pPr>
            <w:r>
              <w:rPr>
                <w:sz w:val="22"/>
              </w:rPr>
              <w:t>4</w:t>
            </w:r>
            <w:r>
              <w:rPr>
                <w:spacing w:val="2"/>
                <w:sz w:val="22"/>
              </w:rPr>
              <w:t> </w:t>
            </w:r>
            <w:r>
              <w:rPr>
                <w:sz w:val="22"/>
              </w:rPr>
              <w:t>Jun</w:t>
            </w:r>
            <w:r>
              <w:rPr>
                <w:spacing w:val="-2"/>
                <w:sz w:val="22"/>
              </w:rPr>
              <w:t> </w:t>
            </w:r>
            <w:r>
              <w:rPr>
                <w:spacing w:val="-4"/>
                <w:sz w:val="22"/>
              </w:rPr>
              <w:t>2024</w:t>
            </w:r>
          </w:p>
        </w:tc>
        <w:tc>
          <w:tcPr>
            <w:tcW w:w="2204" w:type="dxa"/>
          </w:tcPr>
          <w:p>
            <w:pPr>
              <w:pStyle w:val="TableParagraph"/>
              <w:spacing w:before="183"/>
              <w:ind w:left="9" w:right="1"/>
              <w:rPr>
                <w:sz w:val="22"/>
              </w:rPr>
            </w:pPr>
            <w:r>
              <w:rPr>
                <w:sz w:val="22"/>
              </w:rPr>
              <w:t>30</w:t>
            </w:r>
            <w:r>
              <w:rPr>
                <w:spacing w:val="-2"/>
                <w:sz w:val="22"/>
              </w:rPr>
              <w:t> </w:t>
            </w:r>
            <w:r>
              <w:rPr>
                <w:sz w:val="22"/>
              </w:rPr>
              <w:t>trading</w:t>
            </w:r>
            <w:r>
              <w:rPr>
                <w:spacing w:val="-7"/>
                <w:sz w:val="22"/>
              </w:rPr>
              <w:t> </w:t>
            </w:r>
            <w:r>
              <w:rPr>
                <w:sz w:val="22"/>
              </w:rPr>
              <w:t>days</w:t>
            </w:r>
            <w:r>
              <w:rPr>
                <w:spacing w:val="-1"/>
                <w:sz w:val="22"/>
              </w:rPr>
              <w:t> </w:t>
            </w:r>
            <w:r>
              <w:rPr>
                <w:spacing w:val="-2"/>
                <w:sz w:val="22"/>
              </w:rPr>
              <w:t>before</w:t>
            </w:r>
          </w:p>
        </w:tc>
        <w:tc>
          <w:tcPr>
            <w:tcW w:w="2199" w:type="dxa"/>
          </w:tcPr>
          <w:p>
            <w:pPr>
              <w:pStyle w:val="TableParagraph"/>
              <w:spacing w:before="183"/>
              <w:ind w:left="0" w:right="4"/>
              <w:rPr>
                <w:sz w:val="22"/>
              </w:rPr>
            </w:pPr>
            <w:r>
              <w:rPr>
                <w:sz w:val="22"/>
              </w:rPr>
              <w:t>60</w:t>
            </w:r>
            <w:r>
              <w:rPr>
                <w:spacing w:val="-4"/>
                <w:sz w:val="22"/>
              </w:rPr>
              <w:t> </w:t>
            </w:r>
            <w:r>
              <w:rPr>
                <w:sz w:val="22"/>
              </w:rPr>
              <w:t>trading</w:t>
            </w:r>
            <w:r>
              <w:rPr>
                <w:spacing w:val="-7"/>
                <w:sz w:val="22"/>
              </w:rPr>
              <w:t> </w:t>
            </w:r>
            <w:r>
              <w:rPr>
                <w:sz w:val="22"/>
              </w:rPr>
              <w:t>days</w:t>
            </w:r>
            <w:r>
              <w:rPr>
                <w:spacing w:val="-1"/>
                <w:sz w:val="22"/>
              </w:rPr>
              <w:t> </w:t>
            </w:r>
            <w:r>
              <w:rPr>
                <w:spacing w:val="-4"/>
                <w:sz w:val="22"/>
              </w:rPr>
              <w:t>after</w:t>
            </w:r>
          </w:p>
        </w:tc>
        <w:tc>
          <w:tcPr>
            <w:tcW w:w="1498" w:type="dxa"/>
          </w:tcPr>
          <w:p>
            <w:pPr>
              <w:pStyle w:val="TableParagraph"/>
              <w:spacing w:before="183"/>
              <w:ind w:left="14" w:right="5"/>
              <w:rPr>
                <w:sz w:val="22"/>
              </w:rPr>
            </w:pPr>
            <w:r>
              <w:rPr>
                <w:spacing w:val="-5"/>
                <w:sz w:val="22"/>
              </w:rPr>
              <w:t>91</w:t>
            </w:r>
          </w:p>
        </w:tc>
      </w:tr>
    </w:tbl>
    <w:p>
      <w:pPr>
        <w:spacing w:before="59"/>
        <w:ind w:left="721" w:right="0" w:firstLine="0"/>
        <w:jc w:val="both"/>
        <w:rPr>
          <w:i/>
          <w:sz w:val="20"/>
        </w:rPr>
      </w:pPr>
      <w:r>
        <w:rPr>
          <w:i/>
          <w:sz w:val="20"/>
        </w:rPr>
        <w:t>Source:</w:t>
      </w:r>
      <w:r>
        <w:rPr>
          <w:i/>
          <w:spacing w:val="-8"/>
          <w:sz w:val="20"/>
        </w:rPr>
        <w:t> </w:t>
      </w:r>
      <w:r>
        <w:rPr>
          <w:i/>
          <w:sz w:val="20"/>
        </w:rPr>
        <w:t>NSE</w:t>
      </w:r>
      <w:r>
        <w:rPr>
          <w:i/>
          <w:spacing w:val="-6"/>
          <w:sz w:val="20"/>
        </w:rPr>
        <w:t> </w:t>
      </w:r>
      <w:r>
        <w:rPr>
          <w:i/>
          <w:sz w:val="20"/>
        </w:rPr>
        <w:t>India</w:t>
      </w:r>
      <w:r>
        <w:rPr>
          <w:i/>
          <w:spacing w:val="-2"/>
          <w:sz w:val="20"/>
        </w:rPr>
        <w:t> </w:t>
      </w:r>
      <w:r>
        <w:rPr>
          <w:i/>
          <w:sz w:val="20"/>
        </w:rPr>
        <w:t>historical</w:t>
      </w:r>
      <w:r>
        <w:rPr>
          <w:i/>
          <w:spacing w:val="-6"/>
          <w:sz w:val="20"/>
        </w:rPr>
        <w:t> </w:t>
      </w:r>
      <w:r>
        <w:rPr>
          <w:i/>
          <w:sz w:val="20"/>
        </w:rPr>
        <w:t>data</w:t>
      </w:r>
      <w:r>
        <w:rPr>
          <w:i/>
          <w:spacing w:val="-7"/>
          <w:sz w:val="20"/>
        </w:rPr>
        <w:t> </w:t>
      </w:r>
      <w:r>
        <w:rPr>
          <w:i/>
          <w:spacing w:val="-2"/>
          <w:sz w:val="20"/>
        </w:rPr>
        <w:t>portal</w:t>
      </w:r>
    </w:p>
    <w:p>
      <w:pPr>
        <w:pStyle w:val="BodyText"/>
        <w:spacing w:before="88"/>
        <w:jc w:val="left"/>
        <w:rPr>
          <w:i/>
          <w:sz w:val="20"/>
        </w:rPr>
      </w:pPr>
    </w:p>
    <w:p>
      <w:pPr>
        <w:pStyle w:val="Heading2"/>
        <w:numPr>
          <w:ilvl w:val="1"/>
          <w:numId w:val="1"/>
        </w:numPr>
        <w:tabs>
          <w:tab w:pos="1085" w:val="left" w:leader="none"/>
        </w:tabs>
        <w:spacing w:line="240" w:lineRule="auto" w:before="1" w:after="0"/>
        <w:ind w:left="1085" w:right="0" w:hanging="364"/>
        <w:jc w:val="left"/>
      </w:pPr>
      <w:r>
        <w:rPr/>
        <w:t>Table</w:t>
      </w:r>
      <w:r>
        <w:rPr>
          <w:spacing w:val="-5"/>
        </w:rPr>
        <w:t> </w:t>
      </w:r>
      <w:r>
        <w:rPr/>
        <w:t>Showing</w:t>
      </w:r>
      <w:r>
        <w:rPr>
          <w:spacing w:val="-2"/>
        </w:rPr>
        <w:t> </w:t>
      </w:r>
      <w:r>
        <w:rPr/>
        <w:t>Descriptive</w:t>
      </w:r>
      <w:r>
        <w:rPr>
          <w:spacing w:val="-2"/>
        </w:rPr>
        <w:t> </w:t>
      </w:r>
      <w:r>
        <w:rPr/>
        <w:t>Statistics</w:t>
      </w:r>
      <w:r>
        <w:rPr>
          <w:spacing w:val="-5"/>
        </w:rPr>
        <w:t> </w:t>
      </w:r>
      <w:r>
        <w:rPr/>
        <w:t>of</w:t>
      </w:r>
      <w:r>
        <w:rPr>
          <w:spacing w:val="-4"/>
        </w:rPr>
        <w:t> </w:t>
      </w:r>
      <w:r>
        <w:rPr/>
        <w:t>NIFTY</w:t>
      </w:r>
      <w:r>
        <w:rPr>
          <w:spacing w:val="-3"/>
        </w:rPr>
        <w:t> </w:t>
      </w:r>
      <w:r>
        <w:rPr/>
        <w:t>50</w:t>
      </w:r>
      <w:r>
        <w:rPr>
          <w:spacing w:val="-2"/>
        </w:rPr>
        <w:t> </w:t>
      </w:r>
      <w:r>
        <w:rPr/>
        <w:t>Daily</w:t>
      </w:r>
      <w:r>
        <w:rPr>
          <w:spacing w:val="-1"/>
        </w:rPr>
        <w:t> </w:t>
      </w:r>
      <w:r>
        <w:rPr>
          <w:spacing w:val="-2"/>
        </w:rPr>
        <w:t>Returns</w:t>
      </w:r>
    </w:p>
    <w:p>
      <w:pPr>
        <w:pStyle w:val="Heading2"/>
        <w:spacing w:after="0" w:line="240" w:lineRule="auto"/>
        <w:jc w:val="left"/>
        <w:sectPr>
          <w:pgSz w:w="12240" w:h="15840"/>
          <w:pgMar w:top="1820" w:bottom="280" w:left="1440" w:right="0"/>
        </w:sectPr>
      </w:pPr>
    </w:p>
    <w:p>
      <w:pPr>
        <w:pStyle w:val="BodyText"/>
        <w:spacing w:before="110"/>
        <w:jc w:val="left"/>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1902"/>
        <w:gridCol w:w="1898"/>
        <w:gridCol w:w="1902"/>
        <w:gridCol w:w="1701"/>
      </w:tblGrid>
      <w:tr>
        <w:trPr>
          <w:trHeight w:val="624" w:hRule="atLeast"/>
        </w:trPr>
        <w:tc>
          <w:tcPr>
            <w:tcW w:w="2603" w:type="dxa"/>
            <w:shd w:val="clear" w:color="auto" w:fill="D9D9D9"/>
          </w:tcPr>
          <w:p>
            <w:pPr>
              <w:pStyle w:val="TableParagraph"/>
              <w:spacing w:before="188"/>
              <w:ind w:left="0"/>
              <w:rPr>
                <w:b/>
                <w:sz w:val="22"/>
              </w:rPr>
            </w:pPr>
            <w:r>
              <w:rPr>
                <w:b/>
                <w:spacing w:val="-2"/>
                <w:sz w:val="22"/>
              </w:rPr>
              <w:t>Event</w:t>
            </w:r>
          </w:p>
        </w:tc>
        <w:tc>
          <w:tcPr>
            <w:tcW w:w="1902" w:type="dxa"/>
            <w:shd w:val="clear" w:color="auto" w:fill="D9D9D9"/>
          </w:tcPr>
          <w:p>
            <w:pPr>
              <w:pStyle w:val="TableParagraph"/>
              <w:spacing w:line="242" w:lineRule="auto" w:before="58"/>
              <w:ind w:left="397" w:right="164" w:hanging="221"/>
              <w:jc w:val="left"/>
              <w:rPr>
                <w:b/>
                <w:sz w:val="22"/>
              </w:rPr>
            </w:pPr>
            <w:r>
              <w:rPr>
                <w:b/>
                <w:sz w:val="22"/>
              </w:rPr>
              <w:t>Pre-Event</w:t>
            </w:r>
            <w:r>
              <w:rPr>
                <w:b/>
                <w:spacing w:val="-14"/>
                <w:sz w:val="22"/>
              </w:rPr>
              <w:t> </w:t>
            </w:r>
            <w:r>
              <w:rPr>
                <w:b/>
                <w:sz w:val="22"/>
              </w:rPr>
              <w:t>Mean Return (%)</w:t>
            </w:r>
          </w:p>
        </w:tc>
        <w:tc>
          <w:tcPr>
            <w:tcW w:w="1898" w:type="dxa"/>
            <w:shd w:val="clear" w:color="auto" w:fill="D9D9D9"/>
          </w:tcPr>
          <w:p>
            <w:pPr>
              <w:pStyle w:val="TableParagraph"/>
              <w:spacing w:before="58"/>
              <w:ind w:left="6" w:right="4"/>
              <w:rPr>
                <w:b/>
                <w:sz w:val="22"/>
              </w:rPr>
            </w:pPr>
            <w:r>
              <w:rPr>
                <w:b/>
                <w:sz w:val="22"/>
              </w:rPr>
              <w:t>Pre-Event</w:t>
            </w:r>
            <w:r>
              <w:rPr>
                <w:b/>
                <w:spacing w:val="-13"/>
                <w:sz w:val="22"/>
              </w:rPr>
              <w:t> </w:t>
            </w:r>
            <w:r>
              <w:rPr>
                <w:b/>
                <w:spacing w:val="-4"/>
                <w:sz w:val="22"/>
              </w:rPr>
              <w:t>Std.</w:t>
            </w:r>
          </w:p>
          <w:p>
            <w:pPr>
              <w:pStyle w:val="TableParagraph"/>
              <w:spacing w:before="2"/>
              <w:ind w:left="6"/>
              <w:rPr>
                <w:b/>
                <w:sz w:val="22"/>
              </w:rPr>
            </w:pPr>
            <w:r>
              <w:rPr>
                <w:b/>
                <w:sz w:val="22"/>
              </w:rPr>
              <w:t>Dev. </w:t>
            </w:r>
            <w:r>
              <w:rPr>
                <w:b/>
                <w:spacing w:val="-5"/>
                <w:sz w:val="22"/>
              </w:rPr>
              <w:t>(%)</w:t>
            </w:r>
          </w:p>
        </w:tc>
        <w:tc>
          <w:tcPr>
            <w:tcW w:w="1902" w:type="dxa"/>
            <w:shd w:val="clear" w:color="auto" w:fill="D9D9D9"/>
          </w:tcPr>
          <w:p>
            <w:pPr>
              <w:pStyle w:val="TableParagraph"/>
              <w:spacing w:line="242" w:lineRule="auto" w:before="58"/>
              <w:ind w:left="400" w:right="126" w:hanging="260"/>
              <w:jc w:val="left"/>
              <w:rPr>
                <w:b/>
                <w:sz w:val="22"/>
              </w:rPr>
            </w:pPr>
            <w:r>
              <w:rPr>
                <w:b/>
                <w:sz w:val="22"/>
              </w:rPr>
              <w:t>Post-Event</w:t>
            </w:r>
            <w:r>
              <w:rPr>
                <w:b/>
                <w:spacing w:val="-14"/>
                <w:sz w:val="22"/>
              </w:rPr>
              <w:t> </w:t>
            </w:r>
            <w:r>
              <w:rPr>
                <w:b/>
                <w:sz w:val="22"/>
              </w:rPr>
              <w:t>Mean Return (%)</w:t>
            </w:r>
          </w:p>
        </w:tc>
        <w:tc>
          <w:tcPr>
            <w:tcW w:w="1701" w:type="dxa"/>
            <w:shd w:val="clear" w:color="auto" w:fill="D9D9D9"/>
          </w:tcPr>
          <w:p>
            <w:pPr>
              <w:pStyle w:val="TableParagraph"/>
              <w:spacing w:before="58"/>
              <w:ind w:left="7" w:right="4"/>
              <w:rPr>
                <w:b/>
                <w:sz w:val="22"/>
              </w:rPr>
            </w:pPr>
            <w:r>
              <w:rPr>
                <w:b/>
                <w:sz w:val="22"/>
              </w:rPr>
              <w:t>Post-Event</w:t>
            </w:r>
            <w:r>
              <w:rPr>
                <w:b/>
                <w:spacing w:val="-11"/>
                <w:sz w:val="22"/>
              </w:rPr>
              <w:t> </w:t>
            </w:r>
            <w:r>
              <w:rPr>
                <w:b/>
                <w:spacing w:val="-4"/>
                <w:sz w:val="22"/>
              </w:rPr>
              <w:t>Std.</w:t>
            </w:r>
          </w:p>
          <w:p>
            <w:pPr>
              <w:pStyle w:val="TableParagraph"/>
              <w:spacing w:before="2"/>
              <w:ind w:left="7"/>
              <w:rPr>
                <w:b/>
                <w:sz w:val="22"/>
              </w:rPr>
            </w:pPr>
            <w:r>
              <w:rPr>
                <w:b/>
                <w:sz w:val="22"/>
              </w:rPr>
              <w:t>Dev. </w:t>
            </w:r>
            <w:r>
              <w:rPr>
                <w:b/>
                <w:spacing w:val="-5"/>
                <w:sz w:val="22"/>
              </w:rPr>
              <w:t>(%)</w:t>
            </w:r>
          </w:p>
        </w:tc>
      </w:tr>
      <w:tr>
        <w:trPr>
          <w:trHeight w:val="373" w:hRule="atLeast"/>
        </w:trPr>
        <w:tc>
          <w:tcPr>
            <w:tcW w:w="2603" w:type="dxa"/>
          </w:tcPr>
          <w:p>
            <w:pPr>
              <w:pStyle w:val="TableParagraph"/>
              <w:spacing w:before="58"/>
              <w:jc w:val="left"/>
              <w:rPr>
                <w:sz w:val="22"/>
              </w:rPr>
            </w:pPr>
            <w:r>
              <w:rPr>
                <w:sz w:val="22"/>
              </w:rPr>
              <w:t>COVID-19</w:t>
            </w:r>
            <w:r>
              <w:rPr>
                <w:spacing w:val="-10"/>
                <w:sz w:val="22"/>
              </w:rPr>
              <w:t> </w:t>
            </w:r>
            <w:r>
              <w:rPr>
                <w:spacing w:val="-2"/>
                <w:sz w:val="22"/>
              </w:rPr>
              <w:t>Pandemic</w:t>
            </w:r>
          </w:p>
        </w:tc>
        <w:tc>
          <w:tcPr>
            <w:tcW w:w="1902" w:type="dxa"/>
          </w:tcPr>
          <w:p>
            <w:pPr>
              <w:pStyle w:val="TableParagraph"/>
              <w:spacing w:before="58"/>
              <w:ind w:left="7"/>
              <w:rPr>
                <w:sz w:val="22"/>
              </w:rPr>
            </w:pPr>
            <w:r>
              <w:rPr>
                <w:spacing w:val="-2"/>
                <w:sz w:val="22"/>
              </w:rPr>
              <w:t>-</w:t>
            </w:r>
            <w:r>
              <w:rPr>
                <w:spacing w:val="-4"/>
                <w:sz w:val="22"/>
              </w:rPr>
              <w:t>0.18</w:t>
            </w:r>
          </w:p>
        </w:tc>
        <w:tc>
          <w:tcPr>
            <w:tcW w:w="1898" w:type="dxa"/>
          </w:tcPr>
          <w:p>
            <w:pPr>
              <w:pStyle w:val="TableParagraph"/>
              <w:spacing w:before="58"/>
              <w:ind w:left="6" w:right="1"/>
              <w:rPr>
                <w:sz w:val="22"/>
              </w:rPr>
            </w:pPr>
            <w:r>
              <w:rPr>
                <w:spacing w:val="-4"/>
                <w:sz w:val="22"/>
              </w:rPr>
              <w:t>1.12</w:t>
            </w:r>
          </w:p>
        </w:tc>
        <w:tc>
          <w:tcPr>
            <w:tcW w:w="1902" w:type="dxa"/>
          </w:tcPr>
          <w:p>
            <w:pPr>
              <w:pStyle w:val="TableParagraph"/>
              <w:spacing w:before="58"/>
              <w:ind w:left="8"/>
              <w:rPr>
                <w:sz w:val="22"/>
              </w:rPr>
            </w:pPr>
            <w:r>
              <w:rPr>
                <w:spacing w:val="-4"/>
                <w:sz w:val="22"/>
              </w:rPr>
              <w:t>0.46</w:t>
            </w:r>
          </w:p>
        </w:tc>
        <w:tc>
          <w:tcPr>
            <w:tcW w:w="1701" w:type="dxa"/>
          </w:tcPr>
          <w:p>
            <w:pPr>
              <w:pStyle w:val="TableParagraph"/>
              <w:spacing w:before="58"/>
              <w:ind w:left="7"/>
              <w:rPr>
                <w:sz w:val="22"/>
              </w:rPr>
            </w:pPr>
            <w:r>
              <w:rPr>
                <w:spacing w:val="-4"/>
                <w:sz w:val="22"/>
              </w:rPr>
              <w:t>2.87</w:t>
            </w:r>
          </w:p>
        </w:tc>
      </w:tr>
      <w:tr>
        <w:trPr>
          <w:trHeight w:val="374" w:hRule="atLeast"/>
        </w:trPr>
        <w:tc>
          <w:tcPr>
            <w:tcW w:w="2603" w:type="dxa"/>
          </w:tcPr>
          <w:p>
            <w:pPr>
              <w:pStyle w:val="TableParagraph"/>
              <w:spacing w:before="58"/>
              <w:jc w:val="left"/>
              <w:rPr>
                <w:sz w:val="22"/>
              </w:rPr>
            </w:pPr>
            <w:r>
              <w:rPr>
                <w:sz w:val="22"/>
              </w:rPr>
              <w:t>Russia-Ukraine</w:t>
            </w:r>
            <w:r>
              <w:rPr>
                <w:spacing w:val="-13"/>
                <w:sz w:val="22"/>
              </w:rPr>
              <w:t> </w:t>
            </w:r>
            <w:r>
              <w:rPr>
                <w:spacing w:val="-5"/>
                <w:sz w:val="22"/>
              </w:rPr>
              <w:t>War</w:t>
            </w:r>
          </w:p>
        </w:tc>
        <w:tc>
          <w:tcPr>
            <w:tcW w:w="1902" w:type="dxa"/>
          </w:tcPr>
          <w:p>
            <w:pPr>
              <w:pStyle w:val="TableParagraph"/>
              <w:spacing w:before="58"/>
              <w:ind w:left="2"/>
              <w:rPr>
                <w:sz w:val="22"/>
              </w:rPr>
            </w:pPr>
            <w:r>
              <w:rPr>
                <w:spacing w:val="-4"/>
                <w:sz w:val="22"/>
              </w:rPr>
              <w:t>0.04</w:t>
            </w:r>
          </w:p>
        </w:tc>
        <w:tc>
          <w:tcPr>
            <w:tcW w:w="1898" w:type="dxa"/>
          </w:tcPr>
          <w:p>
            <w:pPr>
              <w:pStyle w:val="TableParagraph"/>
              <w:spacing w:before="58"/>
              <w:ind w:left="6" w:right="1"/>
              <w:rPr>
                <w:sz w:val="22"/>
              </w:rPr>
            </w:pPr>
            <w:r>
              <w:rPr>
                <w:spacing w:val="-4"/>
                <w:sz w:val="22"/>
              </w:rPr>
              <w:t>0.68</w:t>
            </w:r>
          </w:p>
        </w:tc>
        <w:tc>
          <w:tcPr>
            <w:tcW w:w="1902" w:type="dxa"/>
          </w:tcPr>
          <w:p>
            <w:pPr>
              <w:pStyle w:val="TableParagraph"/>
              <w:spacing w:before="58"/>
              <w:ind w:left="8"/>
              <w:rPr>
                <w:sz w:val="22"/>
              </w:rPr>
            </w:pPr>
            <w:r>
              <w:rPr>
                <w:spacing w:val="-4"/>
                <w:sz w:val="22"/>
              </w:rPr>
              <w:t>0.21</w:t>
            </w:r>
          </w:p>
        </w:tc>
        <w:tc>
          <w:tcPr>
            <w:tcW w:w="1701" w:type="dxa"/>
          </w:tcPr>
          <w:p>
            <w:pPr>
              <w:pStyle w:val="TableParagraph"/>
              <w:spacing w:before="58"/>
              <w:ind w:left="7"/>
              <w:rPr>
                <w:sz w:val="22"/>
              </w:rPr>
            </w:pPr>
            <w:r>
              <w:rPr>
                <w:spacing w:val="-4"/>
                <w:sz w:val="22"/>
              </w:rPr>
              <w:t>1.09</w:t>
            </w:r>
          </w:p>
        </w:tc>
      </w:tr>
      <w:tr>
        <w:trPr>
          <w:trHeight w:val="628" w:hRule="atLeast"/>
        </w:trPr>
        <w:tc>
          <w:tcPr>
            <w:tcW w:w="2603" w:type="dxa"/>
          </w:tcPr>
          <w:p>
            <w:pPr>
              <w:pStyle w:val="TableParagraph"/>
              <w:ind w:right="59"/>
              <w:jc w:val="left"/>
              <w:rPr>
                <w:sz w:val="22"/>
              </w:rPr>
            </w:pPr>
            <w:r>
              <w:rPr>
                <w:sz w:val="22"/>
              </w:rPr>
              <w:t>India</w:t>
            </w:r>
            <w:r>
              <w:rPr>
                <w:spacing w:val="-14"/>
                <w:sz w:val="22"/>
              </w:rPr>
              <w:t> </w:t>
            </w:r>
            <w:r>
              <w:rPr>
                <w:sz w:val="22"/>
              </w:rPr>
              <w:t>General</w:t>
            </w:r>
            <w:r>
              <w:rPr>
                <w:spacing w:val="-14"/>
                <w:sz w:val="22"/>
              </w:rPr>
              <w:t> </w:t>
            </w:r>
            <w:r>
              <w:rPr>
                <w:sz w:val="22"/>
              </w:rPr>
              <w:t>Elections </w:t>
            </w:r>
            <w:r>
              <w:rPr>
                <w:spacing w:val="-4"/>
                <w:sz w:val="22"/>
              </w:rPr>
              <w:t>2024</w:t>
            </w:r>
          </w:p>
        </w:tc>
        <w:tc>
          <w:tcPr>
            <w:tcW w:w="1902" w:type="dxa"/>
          </w:tcPr>
          <w:p>
            <w:pPr>
              <w:pStyle w:val="TableParagraph"/>
              <w:spacing w:before="183"/>
              <w:ind w:left="2"/>
              <w:rPr>
                <w:sz w:val="22"/>
              </w:rPr>
            </w:pPr>
            <w:r>
              <w:rPr>
                <w:spacing w:val="-4"/>
                <w:sz w:val="22"/>
              </w:rPr>
              <w:t>0.11</w:t>
            </w:r>
          </w:p>
        </w:tc>
        <w:tc>
          <w:tcPr>
            <w:tcW w:w="1898" w:type="dxa"/>
          </w:tcPr>
          <w:p>
            <w:pPr>
              <w:pStyle w:val="TableParagraph"/>
              <w:spacing w:before="183"/>
              <w:ind w:left="6" w:right="1"/>
              <w:rPr>
                <w:sz w:val="22"/>
              </w:rPr>
            </w:pPr>
            <w:r>
              <w:rPr>
                <w:spacing w:val="-4"/>
                <w:sz w:val="22"/>
              </w:rPr>
              <w:t>0.61</w:t>
            </w:r>
          </w:p>
        </w:tc>
        <w:tc>
          <w:tcPr>
            <w:tcW w:w="1902" w:type="dxa"/>
          </w:tcPr>
          <w:p>
            <w:pPr>
              <w:pStyle w:val="TableParagraph"/>
              <w:spacing w:before="183"/>
              <w:ind w:left="8"/>
              <w:rPr>
                <w:sz w:val="22"/>
              </w:rPr>
            </w:pPr>
            <w:r>
              <w:rPr>
                <w:spacing w:val="-4"/>
                <w:sz w:val="22"/>
              </w:rPr>
              <w:t>0.24</w:t>
            </w:r>
          </w:p>
        </w:tc>
        <w:tc>
          <w:tcPr>
            <w:tcW w:w="1701" w:type="dxa"/>
          </w:tcPr>
          <w:p>
            <w:pPr>
              <w:pStyle w:val="TableParagraph"/>
              <w:spacing w:before="183"/>
              <w:ind w:left="7"/>
              <w:rPr>
                <w:sz w:val="22"/>
              </w:rPr>
            </w:pPr>
            <w:r>
              <w:rPr>
                <w:spacing w:val="-4"/>
                <w:sz w:val="22"/>
              </w:rPr>
              <w:t>0.98</w:t>
            </w:r>
          </w:p>
        </w:tc>
      </w:tr>
    </w:tbl>
    <w:p>
      <w:pPr>
        <w:pStyle w:val="BodyText"/>
        <w:spacing w:line="360" w:lineRule="auto"/>
        <w:ind w:left="721" w:right="2158"/>
      </w:pPr>
      <w:r>
        <w:rPr/>
        <w:t>The standard deviation of daily returns rose sharply in the post-event window for all three events, indicating a clear increase in market volatility immediately following</w:t>
      </w:r>
      <w:r>
        <w:rPr>
          <w:spacing w:val="-9"/>
        </w:rPr>
        <w:t> </w:t>
      </w:r>
      <w:r>
        <w:rPr/>
        <w:t>each</w:t>
      </w:r>
      <w:r>
        <w:rPr>
          <w:spacing w:val="-14"/>
        </w:rPr>
        <w:t> </w:t>
      </w:r>
      <w:r>
        <w:rPr/>
        <w:t>event</w:t>
      </w:r>
      <w:r>
        <w:rPr>
          <w:spacing w:val="-2"/>
        </w:rPr>
        <w:t> </w:t>
      </w:r>
      <w:r>
        <w:rPr/>
        <w:t>—</w:t>
      </w:r>
      <w:r>
        <w:rPr>
          <w:spacing w:val="-8"/>
        </w:rPr>
        <w:t> </w:t>
      </w:r>
      <w:r>
        <w:rPr/>
        <w:t>most</w:t>
      </w:r>
      <w:r>
        <w:rPr>
          <w:spacing w:val="-5"/>
        </w:rPr>
        <w:t> </w:t>
      </w:r>
      <w:r>
        <w:rPr/>
        <w:t>pronounced</w:t>
      </w:r>
      <w:r>
        <w:rPr>
          <w:spacing w:val="-5"/>
        </w:rPr>
        <w:t> </w:t>
      </w:r>
      <w:r>
        <w:rPr/>
        <w:t>for</w:t>
      </w:r>
      <w:r>
        <w:rPr>
          <w:spacing w:val="-7"/>
        </w:rPr>
        <w:t> </w:t>
      </w:r>
      <w:r>
        <w:rPr/>
        <w:t>the</w:t>
      </w:r>
      <w:r>
        <w:rPr>
          <w:spacing w:val="-10"/>
        </w:rPr>
        <w:t> </w:t>
      </w:r>
      <w:r>
        <w:rPr/>
        <w:t>COVID-19</w:t>
      </w:r>
      <w:r>
        <w:rPr>
          <w:spacing w:val="-9"/>
        </w:rPr>
        <w:t> </w:t>
      </w:r>
      <w:r>
        <w:rPr/>
        <w:t>Pandemic,</w:t>
      </w:r>
      <w:r>
        <w:rPr>
          <w:spacing w:val="-7"/>
        </w:rPr>
        <w:t> </w:t>
      </w:r>
      <w:r>
        <w:rPr/>
        <w:t>consistent with the literature reviewed in Chapter 3.</w:t>
      </w:r>
    </w:p>
    <w:p>
      <w:pPr>
        <w:pStyle w:val="BodyText"/>
        <w:spacing w:before="39"/>
        <w:jc w:val="left"/>
      </w:pPr>
    </w:p>
    <w:p>
      <w:pPr>
        <w:pStyle w:val="Heading2"/>
        <w:numPr>
          <w:ilvl w:val="1"/>
          <w:numId w:val="1"/>
        </w:numPr>
        <w:tabs>
          <w:tab w:pos="1085" w:val="left" w:leader="none"/>
        </w:tabs>
        <w:spacing w:line="240" w:lineRule="auto" w:before="1" w:after="0"/>
        <w:ind w:left="1085" w:right="0" w:hanging="364"/>
        <w:jc w:val="left"/>
      </w:pPr>
      <w:r>
        <w:rPr/>
        <w:t>Table</w:t>
      </w:r>
      <w:r>
        <w:rPr>
          <w:spacing w:val="-3"/>
        </w:rPr>
        <w:t> </w:t>
      </w:r>
      <w:r>
        <w:rPr/>
        <w:t>Showing</w:t>
      </w:r>
      <w:r>
        <w:rPr>
          <w:spacing w:val="-2"/>
        </w:rPr>
        <w:t> </w:t>
      </w:r>
      <w:r>
        <w:rPr/>
        <w:t>Event-Day</w:t>
      </w:r>
      <w:r>
        <w:rPr>
          <w:spacing w:val="-3"/>
        </w:rPr>
        <w:t> </w:t>
      </w:r>
      <w:r>
        <w:rPr/>
        <w:t>Percentage</w:t>
      </w:r>
      <w:r>
        <w:rPr>
          <w:spacing w:val="-3"/>
        </w:rPr>
        <w:t> </w:t>
      </w:r>
      <w:r>
        <w:rPr/>
        <w:t>Change</w:t>
      </w:r>
      <w:r>
        <w:rPr>
          <w:spacing w:val="-3"/>
        </w:rPr>
        <w:t> </w:t>
      </w:r>
      <w:r>
        <w:rPr/>
        <w:t>in</w:t>
      </w:r>
      <w:r>
        <w:rPr>
          <w:spacing w:val="-2"/>
        </w:rPr>
        <w:t> </w:t>
      </w:r>
      <w:r>
        <w:rPr/>
        <w:t>NIFTY</w:t>
      </w:r>
      <w:r>
        <w:rPr>
          <w:spacing w:val="-2"/>
        </w:rPr>
        <w:t> </w:t>
      </w:r>
      <w:r>
        <w:rPr>
          <w:spacing w:val="-5"/>
        </w:rPr>
        <w:t>50</w:t>
      </w:r>
    </w:p>
    <w:p>
      <w:pPr>
        <w:pStyle w:val="BodyText"/>
        <w:spacing w:before="10"/>
        <w:jc w:val="left"/>
        <w:rPr>
          <w:b/>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1"/>
        <w:gridCol w:w="2401"/>
        <w:gridCol w:w="2401"/>
        <w:gridCol w:w="1599"/>
      </w:tblGrid>
      <w:tr>
        <w:trPr>
          <w:trHeight w:val="628" w:hRule="atLeast"/>
        </w:trPr>
        <w:tc>
          <w:tcPr>
            <w:tcW w:w="3601" w:type="dxa"/>
            <w:shd w:val="clear" w:color="auto" w:fill="D9D9D9"/>
          </w:tcPr>
          <w:p>
            <w:pPr>
              <w:pStyle w:val="TableParagraph"/>
              <w:spacing w:before="188"/>
              <w:ind w:left="10"/>
              <w:rPr>
                <w:b/>
                <w:sz w:val="22"/>
              </w:rPr>
            </w:pPr>
            <w:r>
              <w:rPr>
                <w:b/>
                <w:spacing w:val="-2"/>
                <w:sz w:val="22"/>
              </w:rPr>
              <w:t>Event</w:t>
            </w:r>
          </w:p>
        </w:tc>
        <w:tc>
          <w:tcPr>
            <w:tcW w:w="2401" w:type="dxa"/>
            <w:shd w:val="clear" w:color="auto" w:fill="D9D9D9"/>
          </w:tcPr>
          <w:p>
            <w:pPr>
              <w:pStyle w:val="TableParagraph"/>
              <w:spacing w:line="237" w:lineRule="auto" w:before="65"/>
              <w:ind w:left="801" w:right="322" w:hanging="456"/>
              <w:jc w:val="left"/>
              <w:rPr>
                <w:b/>
                <w:sz w:val="22"/>
              </w:rPr>
            </w:pPr>
            <w:r>
              <w:rPr>
                <w:b/>
                <w:sz w:val="22"/>
              </w:rPr>
              <w:t>Pre-Event</w:t>
            </w:r>
            <w:r>
              <w:rPr>
                <w:b/>
                <w:spacing w:val="-14"/>
                <w:sz w:val="22"/>
              </w:rPr>
              <w:t> </w:t>
            </w:r>
            <w:r>
              <w:rPr>
                <w:b/>
                <w:sz w:val="22"/>
              </w:rPr>
              <w:t>Closing Price (₹)</w:t>
            </w:r>
          </w:p>
        </w:tc>
        <w:tc>
          <w:tcPr>
            <w:tcW w:w="2401" w:type="dxa"/>
            <w:shd w:val="clear" w:color="auto" w:fill="D9D9D9"/>
          </w:tcPr>
          <w:p>
            <w:pPr>
              <w:pStyle w:val="TableParagraph"/>
              <w:spacing w:line="237" w:lineRule="auto" w:before="65"/>
              <w:ind w:left="801" w:right="297" w:hanging="480"/>
              <w:jc w:val="left"/>
              <w:rPr>
                <w:b/>
                <w:sz w:val="22"/>
              </w:rPr>
            </w:pPr>
            <w:r>
              <w:rPr>
                <w:b/>
                <w:sz w:val="22"/>
              </w:rPr>
              <w:t>Event-Day</w:t>
            </w:r>
            <w:r>
              <w:rPr>
                <w:b/>
                <w:spacing w:val="-14"/>
                <w:sz w:val="22"/>
              </w:rPr>
              <w:t> </w:t>
            </w:r>
            <w:r>
              <w:rPr>
                <w:b/>
                <w:sz w:val="22"/>
              </w:rPr>
              <w:t>Closing Price (₹)</w:t>
            </w:r>
          </w:p>
        </w:tc>
        <w:tc>
          <w:tcPr>
            <w:tcW w:w="1599" w:type="dxa"/>
            <w:shd w:val="clear" w:color="auto" w:fill="D9D9D9"/>
          </w:tcPr>
          <w:p>
            <w:pPr>
              <w:pStyle w:val="TableParagraph"/>
              <w:spacing w:line="237" w:lineRule="auto" w:before="65"/>
              <w:ind w:left="441" w:right="143" w:hanging="279"/>
              <w:jc w:val="left"/>
              <w:rPr>
                <w:b/>
                <w:sz w:val="22"/>
              </w:rPr>
            </w:pPr>
            <w:r>
              <w:rPr>
                <w:b/>
                <w:sz w:val="22"/>
              </w:rPr>
              <w:t>Event-Day</w:t>
            </w:r>
            <w:r>
              <w:rPr>
                <w:b/>
                <w:spacing w:val="-14"/>
                <w:sz w:val="22"/>
              </w:rPr>
              <w:t> </w:t>
            </w:r>
            <w:r>
              <w:rPr>
                <w:b/>
                <w:sz w:val="22"/>
              </w:rPr>
              <w:t>% </w:t>
            </w:r>
            <w:r>
              <w:rPr>
                <w:b/>
                <w:spacing w:val="-2"/>
                <w:sz w:val="22"/>
              </w:rPr>
              <w:t>Change</w:t>
            </w:r>
          </w:p>
        </w:tc>
      </w:tr>
      <w:tr>
        <w:trPr>
          <w:trHeight w:val="374" w:hRule="atLeast"/>
        </w:trPr>
        <w:tc>
          <w:tcPr>
            <w:tcW w:w="3601" w:type="dxa"/>
          </w:tcPr>
          <w:p>
            <w:pPr>
              <w:pStyle w:val="TableParagraph"/>
              <w:spacing w:before="54"/>
              <w:jc w:val="left"/>
              <w:rPr>
                <w:sz w:val="22"/>
              </w:rPr>
            </w:pPr>
            <w:r>
              <w:rPr>
                <w:sz w:val="22"/>
              </w:rPr>
              <w:t>COVID-19</w:t>
            </w:r>
            <w:r>
              <w:rPr>
                <w:spacing w:val="-3"/>
                <w:sz w:val="22"/>
              </w:rPr>
              <w:t> </w:t>
            </w:r>
            <w:r>
              <w:rPr>
                <w:sz w:val="22"/>
              </w:rPr>
              <w:t>Pandemic</w:t>
            </w:r>
            <w:r>
              <w:rPr>
                <w:spacing w:val="-5"/>
                <w:sz w:val="22"/>
              </w:rPr>
              <w:t> </w:t>
            </w:r>
            <w:r>
              <w:rPr>
                <w:sz w:val="22"/>
              </w:rPr>
              <w:t>(23</w:t>
            </w:r>
            <w:r>
              <w:rPr>
                <w:spacing w:val="-3"/>
                <w:sz w:val="22"/>
              </w:rPr>
              <w:t> </w:t>
            </w:r>
            <w:r>
              <w:rPr>
                <w:sz w:val="22"/>
              </w:rPr>
              <w:t>Mar</w:t>
            </w:r>
            <w:r>
              <w:rPr>
                <w:spacing w:val="-4"/>
                <w:sz w:val="22"/>
              </w:rPr>
              <w:t> </w:t>
            </w:r>
            <w:r>
              <w:rPr>
                <w:spacing w:val="-2"/>
                <w:sz w:val="22"/>
              </w:rPr>
              <w:t>2020)</w:t>
            </w:r>
          </w:p>
        </w:tc>
        <w:tc>
          <w:tcPr>
            <w:tcW w:w="2401" w:type="dxa"/>
          </w:tcPr>
          <w:p>
            <w:pPr>
              <w:pStyle w:val="TableParagraph"/>
              <w:spacing w:before="54"/>
              <w:ind w:left="18" w:right="5"/>
              <w:rPr>
                <w:sz w:val="22"/>
              </w:rPr>
            </w:pPr>
            <w:r>
              <w:rPr>
                <w:spacing w:val="-2"/>
                <w:sz w:val="22"/>
              </w:rPr>
              <w:t>8,281.10</w:t>
            </w:r>
          </w:p>
        </w:tc>
        <w:tc>
          <w:tcPr>
            <w:tcW w:w="2401" w:type="dxa"/>
          </w:tcPr>
          <w:p>
            <w:pPr>
              <w:pStyle w:val="TableParagraph"/>
              <w:spacing w:before="54"/>
              <w:ind w:left="18" w:right="5"/>
              <w:rPr>
                <w:sz w:val="22"/>
              </w:rPr>
            </w:pPr>
            <w:r>
              <w:rPr>
                <w:spacing w:val="-2"/>
                <w:sz w:val="22"/>
              </w:rPr>
              <w:t>7,610.25</w:t>
            </w:r>
          </w:p>
        </w:tc>
        <w:tc>
          <w:tcPr>
            <w:tcW w:w="1599" w:type="dxa"/>
          </w:tcPr>
          <w:p>
            <w:pPr>
              <w:pStyle w:val="TableParagraph"/>
              <w:spacing w:before="54"/>
              <w:ind w:left="11"/>
              <w:rPr>
                <w:sz w:val="22"/>
              </w:rPr>
            </w:pPr>
            <w:r>
              <w:rPr>
                <w:spacing w:val="-2"/>
                <w:sz w:val="22"/>
              </w:rPr>
              <w:t>-12.98%</w:t>
            </w:r>
          </w:p>
        </w:tc>
      </w:tr>
      <w:tr>
        <w:trPr>
          <w:trHeight w:val="369" w:hRule="atLeast"/>
        </w:trPr>
        <w:tc>
          <w:tcPr>
            <w:tcW w:w="3601" w:type="dxa"/>
          </w:tcPr>
          <w:p>
            <w:pPr>
              <w:pStyle w:val="TableParagraph"/>
              <w:jc w:val="left"/>
              <w:rPr>
                <w:sz w:val="22"/>
              </w:rPr>
            </w:pPr>
            <w:r>
              <w:rPr>
                <w:sz w:val="22"/>
              </w:rPr>
              <w:t>Russia-Ukraine</w:t>
            </w:r>
            <w:r>
              <w:rPr>
                <w:spacing w:val="-9"/>
                <w:sz w:val="22"/>
              </w:rPr>
              <w:t> </w:t>
            </w:r>
            <w:r>
              <w:rPr>
                <w:sz w:val="22"/>
              </w:rPr>
              <w:t>War (24</w:t>
            </w:r>
            <w:r>
              <w:rPr>
                <w:spacing w:val="-6"/>
                <w:sz w:val="22"/>
              </w:rPr>
              <w:t> </w:t>
            </w:r>
            <w:r>
              <w:rPr>
                <w:sz w:val="22"/>
              </w:rPr>
              <w:t>Feb</w:t>
            </w:r>
            <w:r>
              <w:rPr>
                <w:spacing w:val="-2"/>
                <w:sz w:val="22"/>
              </w:rPr>
              <w:t> 2022)</w:t>
            </w:r>
          </w:p>
        </w:tc>
        <w:tc>
          <w:tcPr>
            <w:tcW w:w="2401" w:type="dxa"/>
          </w:tcPr>
          <w:p>
            <w:pPr>
              <w:pStyle w:val="TableParagraph"/>
              <w:ind w:left="18"/>
              <w:rPr>
                <w:sz w:val="22"/>
              </w:rPr>
            </w:pPr>
            <w:r>
              <w:rPr>
                <w:spacing w:val="-2"/>
                <w:sz w:val="22"/>
              </w:rPr>
              <w:t>17,063.25</w:t>
            </w:r>
          </w:p>
        </w:tc>
        <w:tc>
          <w:tcPr>
            <w:tcW w:w="2401" w:type="dxa"/>
          </w:tcPr>
          <w:p>
            <w:pPr>
              <w:pStyle w:val="TableParagraph"/>
              <w:ind w:left="18"/>
              <w:rPr>
                <w:sz w:val="22"/>
              </w:rPr>
            </w:pPr>
            <w:r>
              <w:rPr>
                <w:spacing w:val="-2"/>
                <w:sz w:val="22"/>
              </w:rPr>
              <w:t>16,247.95</w:t>
            </w:r>
          </w:p>
        </w:tc>
        <w:tc>
          <w:tcPr>
            <w:tcW w:w="1599" w:type="dxa"/>
          </w:tcPr>
          <w:p>
            <w:pPr>
              <w:pStyle w:val="TableParagraph"/>
              <w:ind w:left="15"/>
              <w:rPr>
                <w:sz w:val="22"/>
              </w:rPr>
            </w:pPr>
            <w:r>
              <w:rPr>
                <w:spacing w:val="-2"/>
                <w:sz w:val="22"/>
              </w:rPr>
              <w:t>-</w:t>
            </w:r>
            <w:r>
              <w:rPr>
                <w:spacing w:val="-4"/>
                <w:sz w:val="22"/>
              </w:rPr>
              <w:t>4.78%</w:t>
            </w:r>
          </w:p>
        </w:tc>
      </w:tr>
      <w:tr>
        <w:trPr>
          <w:trHeight w:val="628" w:hRule="atLeast"/>
        </w:trPr>
        <w:tc>
          <w:tcPr>
            <w:tcW w:w="3601" w:type="dxa"/>
          </w:tcPr>
          <w:p>
            <w:pPr>
              <w:pStyle w:val="TableParagraph"/>
              <w:spacing w:line="251" w:lineRule="exact" w:before="58"/>
              <w:jc w:val="left"/>
              <w:rPr>
                <w:sz w:val="22"/>
              </w:rPr>
            </w:pPr>
            <w:r>
              <w:rPr>
                <w:sz w:val="22"/>
              </w:rPr>
              <w:t>India General</w:t>
            </w:r>
            <w:r>
              <w:rPr>
                <w:spacing w:val="-7"/>
                <w:sz w:val="22"/>
              </w:rPr>
              <w:t> </w:t>
            </w:r>
            <w:r>
              <w:rPr>
                <w:sz w:val="22"/>
              </w:rPr>
              <w:t>Elections</w:t>
            </w:r>
            <w:r>
              <w:rPr>
                <w:spacing w:val="-2"/>
                <w:sz w:val="22"/>
              </w:rPr>
              <w:t> </w:t>
            </w:r>
            <w:r>
              <w:rPr>
                <w:sz w:val="22"/>
              </w:rPr>
              <w:t>2024</w:t>
            </w:r>
            <w:r>
              <w:rPr>
                <w:spacing w:val="-3"/>
                <w:sz w:val="22"/>
              </w:rPr>
              <w:t> </w:t>
            </w:r>
            <w:r>
              <w:rPr>
                <w:sz w:val="22"/>
              </w:rPr>
              <w:t>(4</w:t>
            </w:r>
            <w:r>
              <w:rPr>
                <w:spacing w:val="-2"/>
                <w:sz w:val="22"/>
              </w:rPr>
              <w:t> </w:t>
            </w:r>
            <w:r>
              <w:rPr>
                <w:spacing w:val="-5"/>
                <w:sz w:val="22"/>
              </w:rPr>
              <w:t>Jun</w:t>
            </w:r>
          </w:p>
          <w:p>
            <w:pPr>
              <w:pStyle w:val="TableParagraph"/>
              <w:spacing w:line="251" w:lineRule="exact" w:before="0"/>
              <w:jc w:val="left"/>
              <w:rPr>
                <w:sz w:val="22"/>
              </w:rPr>
            </w:pPr>
            <w:r>
              <w:rPr>
                <w:spacing w:val="-2"/>
                <w:sz w:val="22"/>
              </w:rPr>
              <w:t>2024)</w:t>
            </w:r>
          </w:p>
        </w:tc>
        <w:tc>
          <w:tcPr>
            <w:tcW w:w="2401" w:type="dxa"/>
          </w:tcPr>
          <w:p>
            <w:pPr>
              <w:pStyle w:val="TableParagraph"/>
              <w:spacing w:before="183"/>
              <w:ind w:left="18"/>
              <w:rPr>
                <w:sz w:val="22"/>
              </w:rPr>
            </w:pPr>
            <w:r>
              <w:rPr>
                <w:spacing w:val="-2"/>
                <w:sz w:val="22"/>
              </w:rPr>
              <w:t>23,263.90</w:t>
            </w:r>
          </w:p>
        </w:tc>
        <w:tc>
          <w:tcPr>
            <w:tcW w:w="2401" w:type="dxa"/>
          </w:tcPr>
          <w:p>
            <w:pPr>
              <w:pStyle w:val="TableParagraph"/>
              <w:spacing w:before="183"/>
              <w:ind w:left="18"/>
              <w:rPr>
                <w:sz w:val="22"/>
              </w:rPr>
            </w:pPr>
            <w:r>
              <w:rPr>
                <w:spacing w:val="-2"/>
                <w:sz w:val="22"/>
              </w:rPr>
              <w:t>21,884.50</w:t>
            </w:r>
          </w:p>
        </w:tc>
        <w:tc>
          <w:tcPr>
            <w:tcW w:w="1599" w:type="dxa"/>
          </w:tcPr>
          <w:p>
            <w:pPr>
              <w:pStyle w:val="TableParagraph"/>
              <w:spacing w:before="183"/>
              <w:ind w:left="15"/>
              <w:rPr>
                <w:sz w:val="22"/>
              </w:rPr>
            </w:pPr>
            <w:r>
              <w:rPr>
                <w:spacing w:val="-2"/>
                <w:sz w:val="22"/>
              </w:rPr>
              <w:t>-</w:t>
            </w:r>
            <w:r>
              <w:rPr>
                <w:spacing w:val="-4"/>
                <w:sz w:val="22"/>
              </w:rPr>
              <w:t>5.93%</w:t>
            </w:r>
          </w:p>
        </w:tc>
      </w:tr>
    </w:tbl>
    <w:p>
      <w:pPr>
        <w:pStyle w:val="BodyText"/>
        <w:spacing w:line="360" w:lineRule="auto"/>
        <w:ind w:left="721" w:right="2168"/>
      </w:pPr>
      <w:r>
        <w:rPr/>
        <w:t>All three events show a statistically meaningful negative movement on the event day, providing initial evidence against the Null Hypothesis (H0) framed for Objective 1.</w:t>
      </w:r>
    </w:p>
    <w:p>
      <w:pPr>
        <w:pStyle w:val="BodyText"/>
        <w:spacing w:before="40"/>
        <w:jc w:val="left"/>
      </w:pPr>
    </w:p>
    <w:p>
      <w:pPr>
        <w:pStyle w:val="Heading2"/>
        <w:numPr>
          <w:ilvl w:val="1"/>
          <w:numId w:val="1"/>
        </w:numPr>
        <w:tabs>
          <w:tab w:pos="1085" w:val="left" w:leader="none"/>
        </w:tabs>
        <w:spacing w:line="240" w:lineRule="auto" w:before="0" w:after="0"/>
        <w:ind w:left="1085" w:right="0" w:hanging="364"/>
        <w:jc w:val="left"/>
      </w:pPr>
      <w:r>
        <w:rPr/>
        <w:t>Table</w:t>
      </w:r>
      <w:r>
        <w:rPr>
          <w:spacing w:val="-5"/>
        </w:rPr>
        <w:t> </w:t>
      </w:r>
      <w:r>
        <w:rPr/>
        <w:t>Showing</w:t>
      </w:r>
      <w:r>
        <w:rPr>
          <w:spacing w:val="-4"/>
        </w:rPr>
        <w:t> </w:t>
      </w:r>
      <w:r>
        <w:rPr/>
        <w:t>Recovery</w:t>
      </w:r>
      <w:r>
        <w:rPr>
          <w:spacing w:val="-4"/>
        </w:rPr>
        <w:t> </w:t>
      </w:r>
      <w:r>
        <w:rPr/>
        <w:t>Period</w:t>
      </w:r>
      <w:r>
        <w:rPr>
          <w:spacing w:val="-2"/>
        </w:rPr>
        <w:t> Comparison</w:t>
      </w:r>
    </w:p>
    <w:p>
      <w:pPr>
        <w:pStyle w:val="BodyText"/>
        <w:spacing w:before="11"/>
        <w:jc w:val="left"/>
        <w:rPr>
          <w:b/>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2400"/>
        <w:gridCol w:w="2602"/>
        <w:gridCol w:w="2198"/>
      </w:tblGrid>
      <w:tr>
        <w:trPr>
          <w:trHeight w:val="628" w:hRule="atLeast"/>
        </w:trPr>
        <w:tc>
          <w:tcPr>
            <w:tcW w:w="2799" w:type="dxa"/>
            <w:shd w:val="clear" w:color="auto" w:fill="D9D9D9"/>
          </w:tcPr>
          <w:p>
            <w:pPr>
              <w:pStyle w:val="TableParagraph"/>
              <w:spacing w:before="188"/>
              <w:ind w:left="6"/>
              <w:rPr>
                <w:b/>
                <w:sz w:val="22"/>
              </w:rPr>
            </w:pPr>
            <w:r>
              <w:rPr>
                <w:b/>
                <w:spacing w:val="-2"/>
                <w:sz w:val="22"/>
              </w:rPr>
              <w:t>Event</w:t>
            </w:r>
          </w:p>
        </w:tc>
        <w:tc>
          <w:tcPr>
            <w:tcW w:w="2400" w:type="dxa"/>
            <w:shd w:val="clear" w:color="auto" w:fill="D9D9D9"/>
          </w:tcPr>
          <w:p>
            <w:pPr>
              <w:pStyle w:val="TableParagraph"/>
              <w:spacing w:before="188"/>
              <w:ind w:left="9"/>
              <w:rPr>
                <w:b/>
                <w:sz w:val="22"/>
              </w:rPr>
            </w:pPr>
            <w:r>
              <w:rPr>
                <w:b/>
                <w:sz w:val="22"/>
              </w:rPr>
              <w:t>Event</w:t>
            </w:r>
            <w:r>
              <w:rPr>
                <w:b/>
                <w:spacing w:val="-4"/>
                <w:sz w:val="22"/>
              </w:rPr>
              <w:t> </w:t>
            </w:r>
            <w:r>
              <w:rPr>
                <w:b/>
                <w:spacing w:val="-2"/>
                <w:sz w:val="22"/>
              </w:rPr>
              <w:t>Category</w:t>
            </w:r>
          </w:p>
        </w:tc>
        <w:tc>
          <w:tcPr>
            <w:tcW w:w="2602" w:type="dxa"/>
            <w:shd w:val="clear" w:color="auto" w:fill="D9D9D9"/>
          </w:tcPr>
          <w:p>
            <w:pPr>
              <w:pStyle w:val="TableParagraph"/>
              <w:spacing w:before="188"/>
              <w:ind w:left="16" w:right="14"/>
              <w:rPr>
                <w:b/>
                <w:sz w:val="22"/>
              </w:rPr>
            </w:pPr>
            <w:r>
              <w:rPr>
                <w:b/>
                <w:sz w:val="22"/>
              </w:rPr>
              <w:t>Post-Event</w:t>
            </w:r>
            <w:r>
              <w:rPr>
                <w:b/>
                <w:spacing w:val="-4"/>
                <w:sz w:val="22"/>
              </w:rPr>
              <w:t> </w:t>
            </w:r>
            <w:r>
              <w:rPr>
                <w:b/>
                <w:sz w:val="22"/>
              </w:rPr>
              <w:t>Low</w:t>
            </w:r>
            <w:r>
              <w:rPr>
                <w:b/>
                <w:spacing w:val="-4"/>
                <w:sz w:val="22"/>
              </w:rPr>
              <w:t> </w:t>
            </w:r>
            <w:r>
              <w:rPr>
                <w:b/>
                <w:sz w:val="22"/>
              </w:rPr>
              <w:t>(₹,</w:t>
            </w:r>
            <w:r>
              <w:rPr>
                <w:b/>
                <w:spacing w:val="-4"/>
                <w:sz w:val="22"/>
              </w:rPr>
              <w:t> Date)</w:t>
            </w:r>
          </w:p>
        </w:tc>
        <w:tc>
          <w:tcPr>
            <w:tcW w:w="2198" w:type="dxa"/>
            <w:shd w:val="clear" w:color="auto" w:fill="D9D9D9"/>
          </w:tcPr>
          <w:p>
            <w:pPr>
              <w:pStyle w:val="TableParagraph"/>
              <w:spacing w:line="237" w:lineRule="auto" w:before="66"/>
              <w:ind w:left="716" w:hanging="380"/>
              <w:jc w:val="left"/>
              <w:rPr>
                <w:b/>
                <w:sz w:val="22"/>
              </w:rPr>
            </w:pPr>
            <w:r>
              <w:rPr>
                <w:b/>
                <w:sz w:val="22"/>
              </w:rPr>
              <w:t>Trading</w:t>
            </w:r>
            <w:r>
              <w:rPr>
                <w:b/>
                <w:spacing w:val="-14"/>
                <w:sz w:val="22"/>
              </w:rPr>
              <w:t> </w:t>
            </w:r>
            <w:r>
              <w:rPr>
                <w:b/>
                <w:sz w:val="22"/>
              </w:rPr>
              <w:t>Days</w:t>
            </w:r>
            <w:r>
              <w:rPr>
                <w:b/>
                <w:spacing w:val="-14"/>
                <w:sz w:val="22"/>
              </w:rPr>
              <w:t> </w:t>
            </w:r>
            <w:r>
              <w:rPr>
                <w:b/>
                <w:sz w:val="22"/>
              </w:rPr>
              <w:t>to </w:t>
            </w:r>
            <w:r>
              <w:rPr>
                <w:b/>
                <w:spacing w:val="-2"/>
                <w:sz w:val="22"/>
              </w:rPr>
              <w:t>Recover</w:t>
            </w:r>
          </w:p>
        </w:tc>
      </w:tr>
      <w:tr>
        <w:trPr>
          <w:trHeight w:val="373" w:hRule="atLeast"/>
        </w:trPr>
        <w:tc>
          <w:tcPr>
            <w:tcW w:w="2799" w:type="dxa"/>
          </w:tcPr>
          <w:p>
            <w:pPr>
              <w:pStyle w:val="TableParagraph"/>
              <w:jc w:val="left"/>
              <w:rPr>
                <w:sz w:val="22"/>
              </w:rPr>
            </w:pPr>
            <w:r>
              <w:rPr>
                <w:sz w:val="22"/>
              </w:rPr>
              <w:t>COVID-19</w:t>
            </w:r>
            <w:r>
              <w:rPr>
                <w:spacing w:val="-10"/>
                <w:sz w:val="22"/>
              </w:rPr>
              <w:t> </w:t>
            </w:r>
            <w:r>
              <w:rPr>
                <w:spacing w:val="-2"/>
                <w:sz w:val="22"/>
              </w:rPr>
              <w:t>Pandemic</w:t>
            </w:r>
          </w:p>
        </w:tc>
        <w:tc>
          <w:tcPr>
            <w:tcW w:w="2400" w:type="dxa"/>
          </w:tcPr>
          <w:p>
            <w:pPr>
              <w:pStyle w:val="TableParagraph"/>
              <w:ind w:left="9" w:right="2"/>
              <w:rPr>
                <w:sz w:val="22"/>
              </w:rPr>
            </w:pPr>
            <w:r>
              <w:rPr>
                <w:sz w:val="22"/>
              </w:rPr>
              <w:t>Health</w:t>
            </w:r>
            <w:r>
              <w:rPr>
                <w:spacing w:val="-10"/>
                <w:sz w:val="22"/>
              </w:rPr>
              <w:t> </w:t>
            </w:r>
            <w:r>
              <w:rPr>
                <w:sz w:val="22"/>
              </w:rPr>
              <w:t>Crisis</w:t>
            </w:r>
            <w:r>
              <w:rPr>
                <w:spacing w:val="-3"/>
                <w:sz w:val="22"/>
              </w:rPr>
              <w:t> </w:t>
            </w:r>
            <w:r>
              <w:rPr>
                <w:spacing w:val="-4"/>
                <w:sz w:val="22"/>
              </w:rPr>
              <w:t>Event</w:t>
            </w:r>
          </w:p>
        </w:tc>
        <w:tc>
          <w:tcPr>
            <w:tcW w:w="2602" w:type="dxa"/>
          </w:tcPr>
          <w:p>
            <w:pPr>
              <w:pStyle w:val="TableParagraph"/>
              <w:ind w:left="16" w:right="4"/>
              <w:rPr>
                <w:sz w:val="22"/>
              </w:rPr>
            </w:pPr>
            <w:r>
              <w:rPr>
                <w:sz w:val="22"/>
              </w:rPr>
              <w:t>7,610.25</w:t>
            </w:r>
            <w:r>
              <w:rPr>
                <w:spacing w:val="-1"/>
                <w:sz w:val="22"/>
              </w:rPr>
              <w:t> </w:t>
            </w:r>
            <w:r>
              <w:rPr>
                <w:sz w:val="22"/>
              </w:rPr>
              <w:t>(23</w:t>
            </w:r>
            <w:r>
              <w:rPr>
                <w:spacing w:val="-4"/>
                <w:sz w:val="22"/>
              </w:rPr>
              <w:t> </w:t>
            </w:r>
            <w:r>
              <w:rPr>
                <w:sz w:val="22"/>
              </w:rPr>
              <w:t>Mar</w:t>
            </w:r>
            <w:r>
              <w:rPr>
                <w:spacing w:val="-2"/>
                <w:sz w:val="22"/>
              </w:rPr>
              <w:t> 2020)</w:t>
            </w:r>
          </w:p>
        </w:tc>
        <w:tc>
          <w:tcPr>
            <w:tcW w:w="2198" w:type="dxa"/>
          </w:tcPr>
          <w:p>
            <w:pPr>
              <w:pStyle w:val="TableParagraph"/>
              <w:ind w:left="11" w:right="3"/>
              <w:rPr>
                <w:sz w:val="22"/>
              </w:rPr>
            </w:pPr>
            <w:r>
              <w:rPr>
                <w:sz w:val="22"/>
              </w:rPr>
              <w:t>9</w:t>
            </w:r>
            <w:r>
              <w:rPr>
                <w:spacing w:val="-4"/>
                <w:sz w:val="22"/>
              </w:rPr>
              <w:t> </w:t>
            </w:r>
            <w:r>
              <w:rPr>
                <w:sz w:val="22"/>
              </w:rPr>
              <w:t>trading</w:t>
            </w:r>
            <w:r>
              <w:rPr>
                <w:spacing w:val="-1"/>
                <w:sz w:val="22"/>
              </w:rPr>
              <w:t> </w:t>
            </w:r>
            <w:r>
              <w:rPr>
                <w:spacing w:val="-4"/>
                <w:sz w:val="22"/>
              </w:rPr>
              <w:t>days</w:t>
            </w:r>
          </w:p>
        </w:tc>
      </w:tr>
      <w:tr>
        <w:trPr>
          <w:trHeight w:val="369" w:hRule="atLeast"/>
        </w:trPr>
        <w:tc>
          <w:tcPr>
            <w:tcW w:w="2799" w:type="dxa"/>
          </w:tcPr>
          <w:p>
            <w:pPr>
              <w:pStyle w:val="TableParagraph"/>
              <w:jc w:val="left"/>
              <w:rPr>
                <w:sz w:val="22"/>
              </w:rPr>
            </w:pPr>
            <w:r>
              <w:rPr>
                <w:sz w:val="22"/>
              </w:rPr>
              <w:t>Russia-Ukraine</w:t>
            </w:r>
            <w:r>
              <w:rPr>
                <w:spacing w:val="-13"/>
                <w:sz w:val="22"/>
              </w:rPr>
              <w:t> </w:t>
            </w:r>
            <w:r>
              <w:rPr>
                <w:spacing w:val="-5"/>
                <w:sz w:val="22"/>
              </w:rPr>
              <w:t>War</w:t>
            </w:r>
          </w:p>
        </w:tc>
        <w:tc>
          <w:tcPr>
            <w:tcW w:w="2400" w:type="dxa"/>
          </w:tcPr>
          <w:p>
            <w:pPr>
              <w:pStyle w:val="TableParagraph"/>
              <w:ind w:left="9" w:right="1"/>
              <w:rPr>
                <w:sz w:val="22"/>
              </w:rPr>
            </w:pPr>
            <w:r>
              <w:rPr>
                <w:sz w:val="22"/>
              </w:rPr>
              <w:t>Geopolitical</w:t>
            </w:r>
            <w:r>
              <w:rPr>
                <w:spacing w:val="-10"/>
                <w:sz w:val="22"/>
              </w:rPr>
              <w:t> </w:t>
            </w:r>
            <w:r>
              <w:rPr>
                <w:spacing w:val="-2"/>
                <w:sz w:val="22"/>
              </w:rPr>
              <w:t>Event</w:t>
            </w:r>
          </w:p>
        </w:tc>
        <w:tc>
          <w:tcPr>
            <w:tcW w:w="2602" w:type="dxa"/>
          </w:tcPr>
          <w:p>
            <w:pPr>
              <w:pStyle w:val="TableParagraph"/>
              <w:ind w:left="16"/>
              <w:rPr>
                <w:sz w:val="22"/>
              </w:rPr>
            </w:pPr>
            <w:r>
              <w:rPr>
                <w:sz w:val="22"/>
              </w:rPr>
              <w:t>16,247.95</w:t>
            </w:r>
            <w:r>
              <w:rPr>
                <w:spacing w:val="-2"/>
                <w:sz w:val="22"/>
              </w:rPr>
              <w:t> </w:t>
            </w:r>
            <w:r>
              <w:rPr>
                <w:sz w:val="22"/>
              </w:rPr>
              <w:t>(24</w:t>
            </w:r>
            <w:r>
              <w:rPr>
                <w:spacing w:val="-5"/>
                <w:sz w:val="22"/>
              </w:rPr>
              <w:t> </w:t>
            </w:r>
            <w:r>
              <w:rPr>
                <w:sz w:val="22"/>
              </w:rPr>
              <w:t>Feb</w:t>
            </w:r>
            <w:r>
              <w:rPr>
                <w:spacing w:val="-1"/>
                <w:sz w:val="22"/>
              </w:rPr>
              <w:t> </w:t>
            </w:r>
            <w:r>
              <w:rPr>
                <w:spacing w:val="-2"/>
                <w:sz w:val="22"/>
              </w:rPr>
              <w:t>2022)</w:t>
            </w:r>
          </w:p>
        </w:tc>
        <w:tc>
          <w:tcPr>
            <w:tcW w:w="2198" w:type="dxa"/>
          </w:tcPr>
          <w:p>
            <w:pPr>
              <w:pStyle w:val="TableParagraph"/>
              <w:ind w:left="11"/>
              <w:rPr>
                <w:sz w:val="22"/>
              </w:rPr>
            </w:pPr>
            <w:r>
              <w:rPr>
                <w:sz w:val="22"/>
              </w:rPr>
              <w:t>14</w:t>
            </w:r>
            <w:r>
              <w:rPr>
                <w:spacing w:val="-5"/>
                <w:sz w:val="22"/>
              </w:rPr>
              <w:t> </w:t>
            </w:r>
            <w:r>
              <w:rPr>
                <w:sz w:val="22"/>
              </w:rPr>
              <w:t>trading</w:t>
            </w:r>
            <w:r>
              <w:rPr>
                <w:spacing w:val="-6"/>
                <w:sz w:val="22"/>
              </w:rPr>
              <w:t> </w:t>
            </w:r>
            <w:r>
              <w:rPr>
                <w:spacing w:val="-4"/>
                <w:sz w:val="22"/>
              </w:rPr>
              <w:t>days</w:t>
            </w:r>
          </w:p>
        </w:tc>
      </w:tr>
      <w:tr>
        <w:trPr>
          <w:trHeight w:val="373" w:hRule="atLeast"/>
        </w:trPr>
        <w:tc>
          <w:tcPr>
            <w:tcW w:w="2799" w:type="dxa"/>
          </w:tcPr>
          <w:p>
            <w:pPr>
              <w:pStyle w:val="TableParagraph"/>
              <w:spacing w:before="58"/>
              <w:jc w:val="left"/>
              <w:rPr>
                <w:sz w:val="22"/>
              </w:rPr>
            </w:pPr>
            <w:r>
              <w:rPr>
                <w:sz w:val="22"/>
              </w:rPr>
              <w:t>India</w:t>
            </w:r>
            <w:r>
              <w:rPr>
                <w:spacing w:val="-3"/>
                <w:sz w:val="22"/>
              </w:rPr>
              <w:t> </w:t>
            </w:r>
            <w:r>
              <w:rPr>
                <w:sz w:val="22"/>
              </w:rPr>
              <w:t>General</w:t>
            </w:r>
            <w:r>
              <w:rPr>
                <w:spacing w:val="-8"/>
                <w:sz w:val="22"/>
              </w:rPr>
              <w:t> </w:t>
            </w:r>
            <w:r>
              <w:rPr>
                <w:sz w:val="22"/>
              </w:rPr>
              <w:t>Elections</w:t>
            </w:r>
            <w:r>
              <w:rPr>
                <w:spacing w:val="-5"/>
                <w:sz w:val="22"/>
              </w:rPr>
              <w:t> </w:t>
            </w:r>
            <w:r>
              <w:rPr>
                <w:spacing w:val="-4"/>
                <w:sz w:val="22"/>
              </w:rPr>
              <w:t>2024</w:t>
            </w:r>
          </w:p>
        </w:tc>
        <w:tc>
          <w:tcPr>
            <w:tcW w:w="2400" w:type="dxa"/>
          </w:tcPr>
          <w:p>
            <w:pPr>
              <w:pStyle w:val="TableParagraph"/>
              <w:spacing w:before="58"/>
              <w:ind w:left="9" w:right="6"/>
              <w:rPr>
                <w:sz w:val="22"/>
              </w:rPr>
            </w:pPr>
            <w:r>
              <w:rPr>
                <w:spacing w:val="-2"/>
                <w:sz w:val="22"/>
              </w:rPr>
              <w:t>Political-Electoral</w:t>
            </w:r>
            <w:r>
              <w:rPr>
                <w:spacing w:val="22"/>
                <w:sz w:val="22"/>
              </w:rPr>
              <w:t> </w:t>
            </w:r>
            <w:r>
              <w:rPr>
                <w:spacing w:val="-4"/>
                <w:sz w:val="22"/>
              </w:rPr>
              <w:t>Event</w:t>
            </w:r>
          </w:p>
        </w:tc>
        <w:tc>
          <w:tcPr>
            <w:tcW w:w="2602" w:type="dxa"/>
          </w:tcPr>
          <w:p>
            <w:pPr>
              <w:pStyle w:val="TableParagraph"/>
              <w:spacing w:before="58"/>
              <w:ind w:left="16"/>
              <w:rPr>
                <w:sz w:val="22"/>
              </w:rPr>
            </w:pPr>
            <w:r>
              <w:rPr>
                <w:sz w:val="22"/>
              </w:rPr>
              <w:t>21,884.50 (4</w:t>
            </w:r>
            <w:r>
              <w:rPr>
                <w:spacing w:val="-4"/>
                <w:sz w:val="22"/>
              </w:rPr>
              <w:t> </w:t>
            </w:r>
            <w:r>
              <w:rPr>
                <w:sz w:val="22"/>
              </w:rPr>
              <w:t>Jun</w:t>
            </w:r>
            <w:r>
              <w:rPr>
                <w:spacing w:val="-2"/>
                <w:sz w:val="22"/>
              </w:rPr>
              <w:t> 2024)</w:t>
            </w:r>
          </w:p>
        </w:tc>
        <w:tc>
          <w:tcPr>
            <w:tcW w:w="2198" w:type="dxa"/>
          </w:tcPr>
          <w:p>
            <w:pPr>
              <w:pStyle w:val="TableParagraph"/>
              <w:spacing w:before="58"/>
              <w:ind w:left="11" w:right="4"/>
              <w:rPr>
                <w:sz w:val="22"/>
              </w:rPr>
            </w:pPr>
            <w:r>
              <w:rPr>
                <w:sz w:val="22"/>
              </w:rPr>
              <w:t>3</w:t>
            </w:r>
            <w:r>
              <w:rPr>
                <w:spacing w:val="-4"/>
                <w:sz w:val="22"/>
              </w:rPr>
              <w:t> </w:t>
            </w:r>
            <w:r>
              <w:rPr>
                <w:sz w:val="22"/>
              </w:rPr>
              <w:t>trading</w:t>
            </w:r>
            <w:r>
              <w:rPr>
                <w:spacing w:val="-2"/>
                <w:sz w:val="22"/>
              </w:rPr>
              <w:t> </w:t>
            </w:r>
            <w:r>
              <w:rPr>
                <w:spacing w:val="-4"/>
                <w:sz w:val="22"/>
              </w:rPr>
              <w:t>days</w:t>
            </w:r>
          </w:p>
        </w:tc>
      </w:tr>
    </w:tbl>
    <w:p>
      <w:pPr>
        <w:pStyle w:val="BodyText"/>
        <w:spacing w:line="360" w:lineRule="auto"/>
        <w:ind w:left="721" w:right="2157"/>
      </w:pPr>
      <w:r>
        <w:rPr/>
        <w:t>The</w:t>
      </w:r>
      <w:r>
        <w:rPr>
          <w:spacing w:val="-15"/>
        </w:rPr>
        <w:t> </w:t>
      </w:r>
      <w:r>
        <w:rPr/>
        <w:t>recovery</w:t>
      </w:r>
      <w:r>
        <w:rPr>
          <w:spacing w:val="-15"/>
        </w:rPr>
        <w:t> </w:t>
      </w:r>
      <w:r>
        <w:rPr/>
        <w:t>period</w:t>
      </w:r>
      <w:r>
        <w:rPr>
          <w:spacing w:val="-15"/>
        </w:rPr>
        <w:t> </w:t>
      </w:r>
      <w:r>
        <w:rPr/>
        <w:t>ranges</w:t>
      </w:r>
      <w:r>
        <w:rPr>
          <w:spacing w:val="-8"/>
        </w:rPr>
        <w:t> </w:t>
      </w:r>
      <w:r>
        <w:rPr/>
        <w:t>from</w:t>
      </w:r>
      <w:r>
        <w:rPr>
          <w:spacing w:val="-15"/>
        </w:rPr>
        <w:t> </w:t>
      </w:r>
      <w:r>
        <w:rPr/>
        <w:t>3</w:t>
      </w:r>
      <w:r>
        <w:rPr>
          <w:spacing w:val="-11"/>
        </w:rPr>
        <w:t> </w:t>
      </w:r>
      <w:r>
        <w:rPr/>
        <w:t>trading</w:t>
      </w:r>
      <w:r>
        <w:rPr>
          <w:spacing w:val="-11"/>
        </w:rPr>
        <w:t> </w:t>
      </w:r>
      <w:r>
        <w:rPr/>
        <w:t>days</w:t>
      </w:r>
      <w:r>
        <w:rPr>
          <w:spacing w:val="-8"/>
        </w:rPr>
        <w:t> </w:t>
      </w:r>
      <w:r>
        <w:rPr/>
        <w:t>(Elections</w:t>
      </w:r>
      <w:r>
        <w:rPr>
          <w:spacing w:val="-13"/>
        </w:rPr>
        <w:t> </w:t>
      </w:r>
      <w:r>
        <w:rPr/>
        <w:t>2024)</w:t>
      </w:r>
      <w:r>
        <w:rPr>
          <w:spacing w:val="-9"/>
        </w:rPr>
        <w:t> </w:t>
      </w:r>
      <w:r>
        <w:rPr/>
        <w:t>to</w:t>
      </w:r>
      <w:r>
        <w:rPr>
          <w:spacing w:val="-6"/>
        </w:rPr>
        <w:t> </w:t>
      </w:r>
      <w:r>
        <w:rPr/>
        <w:t>14</w:t>
      </w:r>
      <w:r>
        <w:rPr>
          <w:spacing w:val="-15"/>
        </w:rPr>
        <w:t> </w:t>
      </w:r>
      <w:r>
        <w:rPr/>
        <w:t>trading</w:t>
      </w:r>
      <w:r>
        <w:rPr>
          <w:spacing w:val="-2"/>
        </w:rPr>
        <w:t> </w:t>
      </w:r>
      <w:r>
        <w:rPr/>
        <w:t>days (Russia-Ukraine</w:t>
      </w:r>
      <w:r>
        <w:rPr>
          <w:spacing w:val="-15"/>
        </w:rPr>
        <w:t> </w:t>
      </w:r>
      <w:r>
        <w:rPr/>
        <w:t>War),</w:t>
      </w:r>
      <w:r>
        <w:rPr>
          <w:spacing w:val="-15"/>
        </w:rPr>
        <w:t> </w:t>
      </w:r>
      <w:r>
        <w:rPr/>
        <w:t>supporting</w:t>
      </w:r>
      <w:r>
        <w:rPr>
          <w:spacing w:val="-12"/>
        </w:rPr>
        <w:t> </w:t>
      </w:r>
      <w:r>
        <w:rPr/>
        <w:t>the</w:t>
      </w:r>
      <w:r>
        <w:rPr>
          <w:spacing w:val="-13"/>
        </w:rPr>
        <w:t> </w:t>
      </w:r>
      <w:r>
        <w:rPr/>
        <w:t>rejection</w:t>
      </w:r>
      <w:r>
        <w:rPr>
          <w:spacing w:val="-15"/>
        </w:rPr>
        <w:t> </w:t>
      </w:r>
      <w:r>
        <w:rPr/>
        <w:t>of</w:t>
      </w:r>
      <w:r>
        <w:rPr>
          <w:spacing w:val="-15"/>
        </w:rPr>
        <w:t> </w:t>
      </w:r>
      <w:r>
        <w:rPr/>
        <w:t>the</w:t>
      </w:r>
      <w:r>
        <w:rPr>
          <w:spacing w:val="-13"/>
        </w:rPr>
        <w:t> </w:t>
      </w:r>
      <w:r>
        <w:rPr/>
        <w:t>Null</w:t>
      </w:r>
      <w:r>
        <w:rPr>
          <w:spacing w:val="-15"/>
        </w:rPr>
        <w:t> </w:t>
      </w:r>
      <w:r>
        <w:rPr/>
        <w:t>Hypothesis</w:t>
      </w:r>
      <w:r>
        <w:rPr>
          <w:spacing w:val="-14"/>
        </w:rPr>
        <w:t> </w:t>
      </w:r>
      <w:r>
        <w:rPr/>
        <w:t>(H0)</w:t>
      </w:r>
      <w:r>
        <w:rPr>
          <w:spacing w:val="-11"/>
        </w:rPr>
        <w:t> </w:t>
      </w:r>
      <w:r>
        <w:rPr/>
        <w:t>framed for Objective 2.</w:t>
      </w:r>
    </w:p>
    <w:p>
      <w:pPr>
        <w:pStyle w:val="BodyText"/>
        <w:spacing w:after="0" w:line="360" w:lineRule="auto"/>
        <w:sectPr>
          <w:pgSz w:w="12240" w:h="15840"/>
          <w:pgMar w:top="1820" w:bottom="280" w:left="1440" w:right="0"/>
        </w:sectPr>
      </w:pPr>
    </w:p>
    <w:p>
      <w:pPr>
        <w:pStyle w:val="BodyText"/>
        <w:spacing w:before="61"/>
        <w:jc w:val="left"/>
      </w:pPr>
    </w:p>
    <w:p>
      <w:pPr>
        <w:pStyle w:val="Heading2"/>
        <w:numPr>
          <w:ilvl w:val="1"/>
          <w:numId w:val="1"/>
        </w:numPr>
        <w:tabs>
          <w:tab w:pos="1085" w:val="left" w:leader="none"/>
        </w:tabs>
        <w:spacing w:line="240" w:lineRule="auto" w:before="0" w:after="0"/>
        <w:ind w:left="1085" w:right="0" w:hanging="364"/>
        <w:jc w:val="left"/>
      </w:pPr>
      <w:r>
        <w:rPr/>
        <w:t>SPSS</w:t>
      </w:r>
      <w:r>
        <w:rPr>
          <w:spacing w:val="-9"/>
        </w:rPr>
        <w:t> </w:t>
      </w:r>
      <w:r>
        <w:rPr/>
        <w:t>Descriptive</w:t>
      </w:r>
      <w:r>
        <w:rPr>
          <w:spacing w:val="-3"/>
        </w:rPr>
        <w:t> </w:t>
      </w:r>
      <w:r>
        <w:rPr/>
        <w:t>Statistics</w:t>
      </w:r>
      <w:r>
        <w:rPr>
          <w:spacing w:val="-1"/>
        </w:rPr>
        <w:t> </w:t>
      </w:r>
      <w:r>
        <w:rPr/>
        <w:t>—</w:t>
      </w:r>
      <w:r>
        <w:rPr>
          <w:spacing w:val="-3"/>
        </w:rPr>
        <w:t> </w:t>
      </w:r>
      <w:r>
        <w:rPr/>
        <w:t>Pre-Event</w:t>
      </w:r>
      <w:r>
        <w:rPr>
          <w:spacing w:val="-1"/>
        </w:rPr>
        <w:t> </w:t>
      </w:r>
      <w:r>
        <w:rPr/>
        <w:t>vs</w:t>
      </w:r>
      <w:r>
        <w:rPr>
          <w:spacing w:val="-4"/>
        </w:rPr>
        <w:t> </w:t>
      </w:r>
      <w:r>
        <w:rPr/>
        <w:t>Post-Event</w:t>
      </w:r>
      <w:r>
        <w:rPr>
          <w:spacing w:val="-1"/>
        </w:rPr>
        <w:t> </w:t>
      </w:r>
      <w:r>
        <w:rPr>
          <w:spacing w:val="-2"/>
        </w:rPr>
        <w:t>Volatility</w:t>
      </w:r>
    </w:p>
    <w:p>
      <w:pPr>
        <w:pStyle w:val="BodyText"/>
        <w:jc w:val="left"/>
        <w:rPr>
          <w:b/>
          <w:sz w:val="16"/>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3"/>
        <w:gridCol w:w="1801"/>
        <w:gridCol w:w="1200"/>
        <w:gridCol w:w="1801"/>
        <w:gridCol w:w="1997"/>
      </w:tblGrid>
      <w:tr>
        <w:trPr>
          <w:trHeight w:val="373" w:hRule="atLeast"/>
        </w:trPr>
        <w:tc>
          <w:tcPr>
            <w:tcW w:w="3203" w:type="dxa"/>
            <w:shd w:val="clear" w:color="auto" w:fill="D9D9D9"/>
          </w:tcPr>
          <w:p>
            <w:pPr>
              <w:pStyle w:val="TableParagraph"/>
              <w:spacing w:before="58"/>
              <w:ind w:left="5"/>
              <w:rPr>
                <w:b/>
                <w:sz w:val="22"/>
              </w:rPr>
            </w:pPr>
            <w:r>
              <w:rPr>
                <w:b/>
                <w:spacing w:val="-2"/>
                <w:sz w:val="22"/>
              </w:rPr>
              <w:t>Event</w:t>
            </w:r>
          </w:p>
        </w:tc>
        <w:tc>
          <w:tcPr>
            <w:tcW w:w="1801" w:type="dxa"/>
            <w:shd w:val="clear" w:color="auto" w:fill="D9D9D9"/>
          </w:tcPr>
          <w:p>
            <w:pPr>
              <w:pStyle w:val="TableParagraph"/>
              <w:spacing w:before="58"/>
              <w:ind w:left="19" w:right="19"/>
              <w:rPr>
                <w:b/>
                <w:sz w:val="22"/>
              </w:rPr>
            </w:pPr>
            <w:r>
              <w:rPr>
                <w:b/>
                <w:spacing w:val="-2"/>
                <w:sz w:val="22"/>
              </w:rPr>
              <w:t>Window</w:t>
            </w:r>
          </w:p>
        </w:tc>
        <w:tc>
          <w:tcPr>
            <w:tcW w:w="1200" w:type="dxa"/>
            <w:shd w:val="clear" w:color="auto" w:fill="D9D9D9"/>
          </w:tcPr>
          <w:p>
            <w:pPr>
              <w:pStyle w:val="TableParagraph"/>
              <w:spacing w:before="58"/>
              <w:ind w:left="5" w:right="1"/>
              <w:rPr>
                <w:b/>
                <w:sz w:val="22"/>
              </w:rPr>
            </w:pPr>
            <w:r>
              <w:rPr>
                <w:b/>
                <w:spacing w:val="-10"/>
                <w:sz w:val="22"/>
              </w:rPr>
              <w:t>N</w:t>
            </w:r>
          </w:p>
        </w:tc>
        <w:tc>
          <w:tcPr>
            <w:tcW w:w="1801" w:type="dxa"/>
            <w:shd w:val="clear" w:color="auto" w:fill="D9D9D9"/>
          </w:tcPr>
          <w:p>
            <w:pPr>
              <w:pStyle w:val="TableParagraph"/>
              <w:spacing w:before="58"/>
              <w:ind w:left="19" w:right="10"/>
              <w:rPr>
                <w:b/>
                <w:sz w:val="22"/>
              </w:rPr>
            </w:pPr>
            <w:r>
              <w:rPr>
                <w:b/>
                <w:sz w:val="22"/>
              </w:rPr>
              <w:t>Mean</w:t>
            </w:r>
            <w:r>
              <w:rPr>
                <w:b/>
                <w:spacing w:val="-6"/>
                <w:sz w:val="22"/>
              </w:rPr>
              <w:t> </w:t>
            </w:r>
            <w:r>
              <w:rPr>
                <w:b/>
                <w:spacing w:val="-5"/>
                <w:sz w:val="22"/>
              </w:rPr>
              <w:t>(%)</w:t>
            </w:r>
          </w:p>
        </w:tc>
        <w:tc>
          <w:tcPr>
            <w:tcW w:w="1997" w:type="dxa"/>
            <w:shd w:val="clear" w:color="auto" w:fill="D9D9D9"/>
          </w:tcPr>
          <w:p>
            <w:pPr>
              <w:pStyle w:val="TableParagraph"/>
              <w:spacing w:before="58"/>
              <w:ind w:left="8"/>
              <w:rPr>
                <w:b/>
                <w:sz w:val="22"/>
              </w:rPr>
            </w:pPr>
            <w:r>
              <w:rPr>
                <w:b/>
                <w:sz w:val="22"/>
              </w:rPr>
              <w:t>Std.</w:t>
            </w:r>
            <w:r>
              <w:rPr>
                <w:b/>
                <w:spacing w:val="-4"/>
                <w:sz w:val="22"/>
              </w:rPr>
              <w:t> </w:t>
            </w:r>
            <w:r>
              <w:rPr>
                <w:b/>
                <w:sz w:val="22"/>
              </w:rPr>
              <w:t>Deviation</w:t>
            </w:r>
            <w:r>
              <w:rPr>
                <w:b/>
                <w:spacing w:val="-12"/>
                <w:sz w:val="22"/>
              </w:rPr>
              <w:t> </w:t>
            </w:r>
            <w:r>
              <w:rPr>
                <w:b/>
                <w:spacing w:val="-5"/>
                <w:sz w:val="22"/>
              </w:rPr>
              <w:t>(%)</w:t>
            </w:r>
          </w:p>
        </w:tc>
      </w:tr>
      <w:tr>
        <w:trPr>
          <w:trHeight w:val="374" w:hRule="atLeast"/>
        </w:trPr>
        <w:tc>
          <w:tcPr>
            <w:tcW w:w="3203" w:type="dxa"/>
          </w:tcPr>
          <w:p>
            <w:pPr>
              <w:pStyle w:val="TableParagraph"/>
              <w:jc w:val="left"/>
              <w:rPr>
                <w:sz w:val="22"/>
              </w:rPr>
            </w:pPr>
            <w:r>
              <w:rPr>
                <w:sz w:val="22"/>
              </w:rPr>
              <w:t>COVID-19</w:t>
            </w:r>
            <w:r>
              <w:rPr>
                <w:spacing w:val="-10"/>
                <w:sz w:val="22"/>
              </w:rPr>
              <w:t> </w:t>
            </w:r>
            <w:r>
              <w:rPr>
                <w:spacing w:val="-2"/>
                <w:sz w:val="22"/>
              </w:rPr>
              <w:t>Pandemic</w:t>
            </w:r>
          </w:p>
        </w:tc>
        <w:tc>
          <w:tcPr>
            <w:tcW w:w="1801" w:type="dxa"/>
          </w:tcPr>
          <w:p>
            <w:pPr>
              <w:pStyle w:val="TableParagraph"/>
              <w:ind w:left="19" w:right="24"/>
              <w:rPr>
                <w:sz w:val="22"/>
              </w:rPr>
            </w:pPr>
            <w:r>
              <w:rPr>
                <w:spacing w:val="-2"/>
                <w:sz w:val="22"/>
              </w:rPr>
              <w:t>Pre-Event</w:t>
            </w:r>
          </w:p>
        </w:tc>
        <w:tc>
          <w:tcPr>
            <w:tcW w:w="1200" w:type="dxa"/>
          </w:tcPr>
          <w:p>
            <w:pPr>
              <w:pStyle w:val="TableParagraph"/>
              <w:ind w:left="4" w:right="5"/>
              <w:rPr>
                <w:sz w:val="22"/>
              </w:rPr>
            </w:pPr>
            <w:r>
              <w:rPr>
                <w:spacing w:val="-5"/>
                <w:sz w:val="22"/>
              </w:rPr>
              <w:t>30</w:t>
            </w:r>
          </w:p>
        </w:tc>
        <w:tc>
          <w:tcPr>
            <w:tcW w:w="1801" w:type="dxa"/>
          </w:tcPr>
          <w:p>
            <w:pPr>
              <w:pStyle w:val="TableParagraph"/>
              <w:ind w:left="19" w:right="11"/>
              <w:rPr>
                <w:sz w:val="22"/>
              </w:rPr>
            </w:pPr>
            <w:r>
              <w:rPr>
                <w:spacing w:val="-4"/>
                <w:sz w:val="22"/>
              </w:rPr>
              <w:t>0.95</w:t>
            </w:r>
          </w:p>
        </w:tc>
        <w:tc>
          <w:tcPr>
            <w:tcW w:w="1997" w:type="dxa"/>
          </w:tcPr>
          <w:p>
            <w:pPr>
              <w:pStyle w:val="TableParagraph"/>
              <w:ind w:left="8" w:right="4"/>
              <w:rPr>
                <w:sz w:val="22"/>
              </w:rPr>
            </w:pPr>
            <w:r>
              <w:rPr>
                <w:spacing w:val="-4"/>
                <w:sz w:val="22"/>
              </w:rPr>
              <w:t>0.71</w:t>
            </w:r>
          </w:p>
        </w:tc>
      </w:tr>
      <w:tr>
        <w:trPr>
          <w:trHeight w:val="369" w:hRule="atLeast"/>
        </w:trPr>
        <w:tc>
          <w:tcPr>
            <w:tcW w:w="3203" w:type="dxa"/>
          </w:tcPr>
          <w:p>
            <w:pPr>
              <w:pStyle w:val="TableParagraph"/>
              <w:jc w:val="left"/>
              <w:rPr>
                <w:sz w:val="22"/>
              </w:rPr>
            </w:pPr>
            <w:r>
              <w:rPr>
                <w:sz w:val="22"/>
              </w:rPr>
              <w:t>COVID-19</w:t>
            </w:r>
            <w:r>
              <w:rPr>
                <w:spacing w:val="-10"/>
                <w:sz w:val="22"/>
              </w:rPr>
              <w:t> </w:t>
            </w:r>
            <w:r>
              <w:rPr>
                <w:spacing w:val="-2"/>
                <w:sz w:val="22"/>
              </w:rPr>
              <w:t>Pandemic</w:t>
            </w:r>
          </w:p>
        </w:tc>
        <w:tc>
          <w:tcPr>
            <w:tcW w:w="1801" w:type="dxa"/>
          </w:tcPr>
          <w:p>
            <w:pPr>
              <w:pStyle w:val="TableParagraph"/>
              <w:ind w:left="19" w:right="24"/>
              <w:rPr>
                <w:sz w:val="22"/>
              </w:rPr>
            </w:pPr>
            <w:r>
              <w:rPr>
                <w:spacing w:val="-2"/>
                <w:sz w:val="22"/>
              </w:rPr>
              <w:t>Post-Event</w:t>
            </w:r>
          </w:p>
        </w:tc>
        <w:tc>
          <w:tcPr>
            <w:tcW w:w="1200" w:type="dxa"/>
          </w:tcPr>
          <w:p>
            <w:pPr>
              <w:pStyle w:val="TableParagraph"/>
              <w:ind w:left="4" w:right="5"/>
              <w:rPr>
                <w:sz w:val="22"/>
              </w:rPr>
            </w:pPr>
            <w:r>
              <w:rPr>
                <w:spacing w:val="-5"/>
                <w:sz w:val="22"/>
              </w:rPr>
              <w:t>30</w:t>
            </w:r>
          </w:p>
        </w:tc>
        <w:tc>
          <w:tcPr>
            <w:tcW w:w="1801" w:type="dxa"/>
          </w:tcPr>
          <w:p>
            <w:pPr>
              <w:pStyle w:val="TableParagraph"/>
              <w:ind w:left="19" w:right="11"/>
              <w:rPr>
                <w:sz w:val="22"/>
              </w:rPr>
            </w:pPr>
            <w:r>
              <w:rPr>
                <w:spacing w:val="-4"/>
                <w:sz w:val="22"/>
              </w:rPr>
              <w:t>2.10</w:t>
            </w:r>
          </w:p>
        </w:tc>
        <w:tc>
          <w:tcPr>
            <w:tcW w:w="1997" w:type="dxa"/>
          </w:tcPr>
          <w:p>
            <w:pPr>
              <w:pStyle w:val="TableParagraph"/>
              <w:ind w:left="8" w:right="4"/>
              <w:rPr>
                <w:sz w:val="22"/>
              </w:rPr>
            </w:pPr>
            <w:r>
              <w:rPr>
                <w:spacing w:val="-4"/>
                <w:sz w:val="22"/>
              </w:rPr>
              <w:t>1.85</w:t>
            </w:r>
          </w:p>
        </w:tc>
      </w:tr>
      <w:tr>
        <w:trPr>
          <w:trHeight w:val="374" w:hRule="atLeast"/>
        </w:trPr>
        <w:tc>
          <w:tcPr>
            <w:tcW w:w="3203" w:type="dxa"/>
          </w:tcPr>
          <w:p>
            <w:pPr>
              <w:pStyle w:val="TableParagraph"/>
              <w:spacing w:before="58"/>
              <w:jc w:val="left"/>
              <w:rPr>
                <w:sz w:val="22"/>
              </w:rPr>
            </w:pPr>
            <w:r>
              <w:rPr>
                <w:sz w:val="22"/>
              </w:rPr>
              <w:t>Russia-Ukraine</w:t>
            </w:r>
            <w:r>
              <w:rPr>
                <w:spacing w:val="-13"/>
                <w:sz w:val="22"/>
              </w:rPr>
              <w:t> </w:t>
            </w:r>
            <w:r>
              <w:rPr>
                <w:spacing w:val="-5"/>
                <w:sz w:val="22"/>
              </w:rPr>
              <w:t>War</w:t>
            </w:r>
          </w:p>
        </w:tc>
        <w:tc>
          <w:tcPr>
            <w:tcW w:w="1801" w:type="dxa"/>
          </w:tcPr>
          <w:p>
            <w:pPr>
              <w:pStyle w:val="TableParagraph"/>
              <w:spacing w:before="58"/>
              <w:ind w:left="19" w:right="24"/>
              <w:rPr>
                <w:sz w:val="22"/>
              </w:rPr>
            </w:pPr>
            <w:r>
              <w:rPr>
                <w:spacing w:val="-2"/>
                <w:sz w:val="22"/>
              </w:rPr>
              <w:t>Pre-Event</w:t>
            </w:r>
          </w:p>
        </w:tc>
        <w:tc>
          <w:tcPr>
            <w:tcW w:w="1200" w:type="dxa"/>
          </w:tcPr>
          <w:p>
            <w:pPr>
              <w:pStyle w:val="TableParagraph"/>
              <w:spacing w:before="58"/>
              <w:ind w:left="4" w:right="5"/>
              <w:rPr>
                <w:sz w:val="22"/>
              </w:rPr>
            </w:pPr>
            <w:r>
              <w:rPr>
                <w:spacing w:val="-5"/>
                <w:sz w:val="22"/>
              </w:rPr>
              <w:t>30</w:t>
            </w:r>
          </w:p>
        </w:tc>
        <w:tc>
          <w:tcPr>
            <w:tcW w:w="1801" w:type="dxa"/>
          </w:tcPr>
          <w:p>
            <w:pPr>
              <w:pStyle w:val="TableParagraph"/>
              <w:spacing w:before="58"/>
              <w:ind w:left="19" w:right="11"/>
              <w:rPr>
                <w:sz w:val="22"/>
              </w:rPr>
            </w:pPr>
            <w:r>
              <w:rPr>
                <w:spacing w:val="-4"/>
                <w:sz w:val="22"/>
              </w:rPr>
              <w:t>0.55</w:t>
            </w:r>
          </w:p>
        </w:tc>
        <w:tc>
          <w:tcPr>
            <w:tcW w:w="1997" w:type="dxa"/>
          </w:tcPr>
          <w:p>
            <w:pPr>
              <w:pStyle w:val="TableParagraph"/>
              <w:spacing w:before="58"/>
              <w:ind w:left="8" w:right="4"/>
              <w:rPr>
                <w:sz w:val="22"/>
              </w:rPr>
            </w:pPr>
            <w:r>
              <w:rPr>
                <w:spacing w:val="-4"/>
                <w:sz w:val="22"/>
              </w:rPr>
              <w:t>0.42</w:t>
            </w:r>
          </w:p>
        </w:tc>
      </w:tr>
      <w:tr>
        <w:trPr>
          <w:trHeight w:val="374" w:hRule="atLeast"/>
        </w:trPr>
        <w:tc>
          <w:tcPr>
            <w:tcW w:w="3203" w:type="dxa"/>
          </w:tcPr>
          <w:p>
            <w:pPr>
              <w:pStyle w:val="TableParagraph"/>
              <w:jc w:val="left"/>
              <w:rPr>
                <w:sz w:val="22"/>
              </w:rPr>
            </w:pPr>
            <w:r>
              <w:rPr>
                <w:sz w:val="22"/>
              </w:rPr>
              <w:t>Russia-Ukraine</w:t>
            </w:r>
            <w:r>
              <w:rPr>
                <w:spacing w:val="-13"/>
                <w:sz w:val="22"/>
              </w:rPr>
              <w:t> </w:t>
            </w:r>
            <w:r>
              <w:rPr>
                <w:spacing w:val="-5"/>
                <w:sz w:val="22"/>
              </w:rPr>
              <w:t>War</w:t>
            </w:r>
          </w:p>
        </w:tc>
        <w:tc>
          <w:tcPr>
            <w:tcW w:w="1801" w:type="dxa"/>
          </w:tcPr>
          <w:p>
            <w:pPr>
              <w:pStyle w:val="TableParagraph"/>
              <w:ind w:left="19" w:right="24"/>
              <w:rPr>
                <w:sz w:val="22"/>
              </w:rPr>
            </w:pPr>
            <w:r>
              <w:rPr>
                <w:spacing w:val="-2"/>
                <w:sz w:val="22"/>
              </w:rPr>
              <w:t>Post-Event</w:t>
            </w:r>
          </w:p>
        </w:tc>
        <w:tc>
          <w:tcPr>
            <w:tcW w:w="1200" w:type="dxa"/>
          </w:tcPr>
          <w:p>
            <w:pPr>
              <w:pStyle w:val="TableParagraph"/>
              <w:ind w:left="4" w:right="5"/>
              <w:rPr>
                <w:sz w:val="22"/>
              </w:rPr>
            </w:pPr>
            <w:r>
              <w:rPr>
                <w:spacing w:val="-5"/>
                <w:sz w:val="22"/>
              </w:rPr>
              <w:t>30</w:t>
            </w:r>
          </w:p>
        </w:tc>
        <w:tc>
          <w:tcPr>
            <w:tcW w:w="1801" w:type="dxa"/>
          </w:tcPr>
          <w:p>
            <w:pPr>
              <w:pStyle w:val="TableParagraph"/>
              <w:ind w:left="19" w:right="11"/>
              <w:rPr>
                <w:sz w:val="22"/>
              </w:rPr>
            </w:pPr>
            <w:r>
              <w:rPr>
                <w:spacing w:val="-4"/>
                <w:sz w:val="22"/>
              </w:rPr>
              <w:t>0.88</w:t>
            </w:r>
          </w:p>
        </w:tc>
        <w:tc>
          <w:tcPr>
            <w:tcW w:w="1997" w:type="dxa"/>
          </w:tcPr>
          <w:p>
            <w:pPr>
              <w:pStyle w:val="TableParagraph"/>
              <w:ind w:left="8" w:right="4"/>
              <w:rPr>
                <w:sz w:val="22"/>
              </w:rPr>
            </w:pPr>
            <w:r>
              <w:rPr>
                <w:spacing w:val="-4"/>
                <w:sz w:val="22"/>
              </w:rPr>
              <w:t>0.61</w:t>
            </w:r>
          </w:p>
        </w:tc>
      </w:tr>
      <w:tr>
        <w:trPr>
          <w:trHeight w:val="373" w:hRule="atLeast"/>
        </w:trPr>
        <w:tc>
          <w:tcPr>
            <w:tcW w:w="3203" w:type="dxa"/>
          </w:tcPr>
          <w:p>
            <w:pPr>
              <w:pStyle w:val="TableParagraph"/>
              <w:jc w:val="left"/>
              <w:rPr>
                <w:sz w:val="22"/>
              </w:rPr>
            </w:pPr>
            <w:r>
              <w:rPr>
                <w:sz w:val="22"/>
              </w:rPr>
              <w:t>India</w:t>
            </w:r>
            <w:r>
              <w:rPr>
                <w:spacing w:val="-3"/>
                <w:sz w:val="22"/>
              </w:rPr>
              <w:t> </w:t>
            </w:r>
            <w:r>
              <w:rPr>
                <w:sz w:val="22"/>
              </w:rPr>
              <w:t>General</w:t>
            </w:r>
            <w:r>
              <w:rPr>
                <w:spacing w:val="-8"/>
                <w:sz w:val="22"/>
              </w:rPr>
              <w:t> </w:t>
            </w:r>
            <w:r>
              <w:rPr>
                <w:sz w:val="22"/>
              </w:rPr>
              <w:t>Elections</w:t>
            </w:r>
            <w:r>
              <w:rPr>
                <w:spacing w:val="-5"/>
                <w:sz w:val="22"/>
              </w:rPr>
              <w:t> </w:t>
            </w:r>
            <w:r>
              <w:rPr>
                <w:spacing w:val="-4"/>
                <w:sz w:val="22"/>
              </w:rPr>
              <w:t>2024</w:t>
            </w:r>
          </w:p>
        </w:tc>
        <w:tc>
          <w:tcPr>
            <w:tcW w:w="1801" w:type="dxa"/>
          </w:tcPr>
          <w:p>
            <w:pPr>
              <w:pStyle w:val="TableParagraph"/>
              <w:ind w:left="19" w:right="24"/>
              <w:rPr>
                <w:sz w:val="22"/>
              </w:rPr>
            </w:pPr>
            <w:r>
              <w:rPr>
                <w:spacing w:val="-2"/>
                <w:sz w:val="22"/>
              </w:rPr>
              <w:t>Pre-Event</w:t>
            </w:r>
          </w:p>
        </w:tc>
        <w:tc>
          <w:tcPr>
            <w:tcW w:w="1200" w:type="dxa"/>
          </w:tcPr>
          <w:p>
            <w:pPr>
              <w:pStyle w:val="TableParagraph"/>
              <w:ind w:left="4" w:right="5"/>
              <w:rPr>
                <w:sz w:val="22"/>
              </w:rPr>
            </w:pPr>
            <w:r>
              <w:rPr>
                <w:spacing w:val="-5"/>
                <w:sz w:val="22"/>
              </w:rPr>
              <w:t>30</w:t>
            </w:r>
          </w:p>
        </w:tc>
        <w:tc>
          <w:tcPr>
            <w:tcW w:w="1801" w:type="dxa"/>
          </w:tcPr>
          <w:p>
            <w:pPr>
              <w:pStyle w:val="TableParagraph"/>
              <w:ind w:left="19" w:right="11"/>
              <w:rPr>
                <w:sz w:val="22"/>
              </w:rPr>
            </w:pPr>
            <w:r>
              <w:rPr>
                <w:spacing w:val="-4"/>
                <w:sz w:val="22"/>
              </w:rPr>
              <w:t>0.48</w:t>
            </w:r>
          </w:p>
        </w:tc>
        <w:tc>
          <w:tcPr>
            <w:tcW w:w="1997" w:type="dxa"/>
          </w:tcPr>
          <w:p>
            <w:pPr>
              <w:pStyle w:val="TableParagraph"/>
              <w:ind w:left="8" w:right="4"/>
              <w:rPr>
                <w:sz w:val="22"/>
              </w:rPr>
            </w:pPr>
            <w:r>
              <w:rPr>
                <w:spacing w:val="-4"/>
                <w:sz w:val="22"/>
              </w:rPr>
              <w:t>0.37</w:t>
            </w:r>
          </w:p>
        </w:tc>
      </w:tr>
      <w:tr>
        <w:trPr>
          <w:trHeight w:val="374" w:hRule="atLeast"/>
        </w:trPr>
        <w:tc>
          <w:tcPr>
            <w:tcW w:w="3203" w:type="dxa"/>
          </w:tcPr>
          <w:p>
            <w:pPr>
              <w:pStyle w:val="TableParagraph"/>
              <w:jc w:val="left"/>
              <w:rPr>
                <w:sz w:val="22"/>
              </w:rPr>
            </w:pPr>
            <w:r>
              <w:rPr>
                <w:sz w:val="22"/>
              </w:rPr>
              <w:t>India</w:t>
            </w:r>
            <w:r>
              <w:rPr>
                <w:spacing w:val="-3"/>
                <w:sz w:val="22"/>
              </w:rPr>
              <w:t> </w:t>
            </w:r>
            <w:r>
              <w:rPr>
                <w:sz w:val="22"/>
              </w:rPr>
              <w:t>General</w:t>
            </w:r>
            <w:r>
              <w:rPr>
                <w:spacing w:val="-8"/>
                <w:sz w:val="22"/>
              </w:rPr>
              <w:t> </w:t>
            </w:r>
            <w:r>
              <w:rPr>
                <w:sz w:val="22"/>
              </w:rPr>
              <w:t>Elections</w:t>
            </w:r>
            <w:r>
              <w:rPr>
                <w:spacing w:val="-5"/>
                <w:sz w:val="22"/>
              </w:rPr>
              <w:t> </w:t>
            </w:r>
            <w:r>
              <w:rPr>
                <w:spacing w:val="-4"/>
                <w:sz w:val="22"/>
              </w:rPr>
              <w:t>2024</w:t>
            </w:r>
          </w:p>
        </w:tc>
        <w:tc>
          <w:tcPr>
            <w:tcW w:w="1801" w:type="dxa"/>
          </w:tcPr>
          <w:p>
            <w:pPr>
              <w:pStyle w:val="TableParagraph"/>
              <w:ind w:left="19" w:right="24"/>
              <w:rPr>
                <w:sz w:val="22"/>
              </w:rPr>
            </w:pPr>
            <w:r>
              <w:rPr>
                <w:spacing w:val="-2"/>
                <w:sz w:val="22"/>
              </w:rPr>
              <w:t>Post-Event</w:t>
            </w:r>
          </w:p>
        </w:tc>
        <w:tc>
          <w:tcPr>
            <w:tcW w:w="1200" w:type="dxa"/>
          </w:tcPr>
          <w:p>
            <w:pPr>
              <w:pStyle w:val="TableParagraph"/>
              <w:ind w:left="4" w:right="5"/>
              <w:rPr>
                <w:sz w:val="22"/>
              </w:rPr>
            </w:pPr>
            <w:r>
              <w:rPr>
                <w:spacing w:val="-5"/>
                <w:sz w:val="22"/>
              </w:rPr>
              <w:t>30</w:t>
            </w:r>
          </w:p>
        </w:tc>
        <w:tc>
          <w:tcPr>
            <w:tcW w:w="1801" w:type="dxa"/>
          </w:tcPr>
          <w:p>
            <w:pPr>
              <w:pStyle w:val="TableParagraph"/>
              <w:ind w:left="19" w:right="11"/>
              <w:rPr>
                <w:sz w:val="22"/>
              </w:rPr>
            </w:pPr>
            <w:r>
              <w:rPr>
                <w:spacing w:val="-4"/>
                <w:sz w:val="22"/>
              </w:rPr>
              <w:t>0.79</w:t>
            </w:r>
          </w:p>
        </w:tc>
        <w:tc>
          <w:tcPr>
            <w:tcW w:w="1997" w:type="dxa"/>
          </w:tcPr>
          <w:p>
            <w:pPr>
              <w:pStyle w:val="TableParagraph"/>
              <w:ind w:left="8" w:right="4"/>
              <w:rPr>
                <w:sz w:val="22"/>
              </w:rPr>
            </w:pPr>
            <w:r>
              <w:rPr>
                <w:spacing w:val="-4"/>
                <w:sz w:val="22"/>
              </w:rPr>
              <w:t>0.58</w:t>
            </w:r>
          </w:p>
        </w:tc>
      </w:tr>
    </w:tbl>
    <w:p>
      <w:pPr>
        <w:pStyle w:val="BodyText"/>
        <w:spacing w:before="45"/>
        <w:jc w:val="left"/>
        <w:rPr>
          <w:b/>
        </w:rPr>
      </w:pPr>
    </w:p>
    <w:p>
      <w:pPr>
        <w:pStyle w:val="Heading2"/>
        <w:numPr>
          <w:ilvl w:val="1"/>
          <w:numId w:val="1"/>
        </w:numPr>
        <w:tabs>
          <w:tab w:pos="1085" w:val="left" w:leader="none"/>
        </w:tabs>
        <w:spacing w:line="240" w:lineRule="auto" w:before="0" w:after="0"/>
        <w:ind w:left="1085" w:right="0" w:hanging="364"/>
        <w:jc w:val="left"/>
      </w:pPr>
      <w:r>
        <w:rPr/>
        <w:t>SPSS</w:t>
      </w:r>
      <w:r>
        <w:rPr>
          <w:spacing w:val="-8"/>
        </w:rPr>
        <w:t> </w:t>
      </w:r>
      <w:r>
        <w:rPr/>
        <w:t>Paired-Samples</w:t>
      </w:r>
      <w:r>
        <w:rPr>
          <w:spacing w:val="-4"/>
        </w:rPr>
        <w:t> </w:t>
      </w:r>
      <w:r>
        <w:rPr/>
        <w:t>Test</w:t>
      </w:r>
      <w:r>
        <w:rPr>
          <w:spacing w:val="1"/>
        </w:rPr>
        <w:t> </w:t>
      </w:r>
      <w:r>
        <w:rPr/>
        <w:t>—</w:t>
      </w:r>
      <w:r>
        <w:rPr>
          <w:spacing w:val="-3"/>
        </w:rPr>
        <w:t> </w:t>
      </w:r>
      <w:r>
        <w:rPr/>
        <w:t>Pre-Event</w:t>
      </w:r>
      <w:r>
        <w:rPr>
          <w:spacing w:val="-1"/>
        </w:rPr>
        <w:t> </w:t>
      </w:r>
      <w:r>
        <w:rPr/>
        <w:t>vs</w:t>
      </w:r>
      <w:r>
        <w:rPr>
          <w:spacing w:val="-4"/>
        </w:rPr>
        <w:t> </w:t>
      </w:r>
      <w:r>
        <w:rPr/>
        <w:t>Post-Event</w:t>
      </w:r>
      <w:r>
        <w:rPr>
          <w:spacing w:val="-1"/>
        </w:rPr>
        <w:t> </w:t>
      </w:r>
      <w:r>
        <w:rPr>
          <w:spacing w:val="-2"/>
        </w:rPr>
        <w:t>Volatility</w:t>
      </w:r>
    </w:p>
    <w:p>
      <w:pPr>
        <w:pStyle w:val="BodyText"/>
        <w:spacing w:before="6"/>
        <w:jc w:val="left"/>
        <w:rPr>
          <w:b/>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2002"/>
        <w:gridCol w:w="1801"/>
        <w:gridCol w:w="999"/>
        <w:gridCol w:w="903"/>
        <w:gridCol w:w="1499"/>
      </w:tblGrid>
      <w:tr>
        <w:trPr>
          <w:trHeight w:val="628" w:hRule="atLeast"/>
        </w:trPr>
        <w:tc>
          <w:tcPr>
            <w:tcW w:w="2799" w:type="dxa"/>
            <w:shd w:val="clear" w:color="auto" w:fill="D9D9D9"/>
          </w:tcPr>
          <w:p>
            <w:pPr>
              <w:pStyle w:val="TableParagraph"/>
              <w:spacing w:before="188"/>
              <w:ind w:left="6"/>
              <w:rPr>
                <w:b/>
                <w:sz w:val="22"/>
              </w:rPr>
            </w:pPr>
            <w:r>
              <w:rPr>
                <w:b/>
                <w:spacing w:val="-2"/>
                <w:sz w:val="22"/>
              </w:rPr>
              <w:t>Event</w:t>
            </w:r>
          </w:p>
        </w:tc>
        <w:tc>
          <w:tcPr>
            <w:tcW w:w="2002" w:type="dxa"/>
            <w:shd w:val="clear" w:color="auto" w:fill="D9D9D9"/>
          </w:tcPr>
          <w:p>
            <w:pPr>
              <w:pStyle w:val="TableParagraph"/>
              <w:spacing w:line="237" w:lineRule="auto" w:before="65"/>
              <w:ind w:left="441" w:right="201" w:hanging="226"/>
              <w:jc w:val="left"/>
              <w:rPr>
                <w:b/>
                <w:sz w:val="22"/>
              </w:rPr>
            </w:pPr>
            <w:r>
              <w:rPr>
                <w:b/>
                <w:sz w:val="22"/>
              </w:rPr>
              <w:t>Mean</w:t>
            </w:r>
            <w:r>
              <w:rPr>
                <w:b/>
                <w:spacing w:val="-14"/>
                <w:sz w:val="22"/>
              </w:rPr>
              <w:t> </w:t>
            </w:r>
            <w:r>
              <w:rPr>
                <w:b/>
                <w:sz w:val="22"/>
              </w:rPr>
              <w:t>Difference (Post − Pre)</w:t>
            </w:r>
          </w:p>
        </w:tc>
        <w:tc>
          <w:tcPr>
            <w:tcW w:w="1801" w:type="dxa"/>
            <w:shd w:val="clear" w:color="auto" w:fill="D9D9D9"/>
          </w:tcPr>
          <w:p>
            <w:pPr>
              <w:pStyle w:val="TableParagraph"/>
              <w:spacing w:line="237" w:lineRule="auto" w:before="65"/>
              <w:ind w:left="413" w:hanging="53"/>
              <w:jc w:val="left"/>
              <w:rPr>
                <w:b/>
                <w:sz w:val="22"/>
              </w:rPr>
            </w:pPr>
            <w:r>
              <w:rPr>
                <w:b/>
                <w:sz w:val="22"/>
              </w:rPr>
              <w:t>Std.</w:t>
            </w:r>
            <w:r>
              <w:rPr>
                <w:b/>
                <w:spacing w:val="-14"/>
                <w:sz w:val="22"/>
              </w:rPr>
              <w:t> </w:t>
            </w:r>
            <w:r>
              <w:rPr>
                <w:b/>
                <w:sz w:val="22"/>
              </w:rPr>
              <w:t>Dev.</w:t>
            </w:r>
            <w:r>
              <w:rPr>
                <w:b/>
                <w:spacing w:val="-14"/>
                <w:sz w:val="22"/>
              </w:rPr>
              <w:t> </w:t>
            </w:r>
            <w:r>
              <w:rPr>
                <w:b/>
                <w:sz w:val="22"/>
              </w:rPr>
              <w:t>of </w:t>
            </w:r>
            <w:r>
              <w:rPr>
                <w:b/>
                <w:spacing w:val="-2"/>
                <w:sz w:val="22"/>
              </w:rPr>
              <w:t>Difference</w:t>
            </w:r>
          </w:p>
        </w:tc>
        <w:tc>
          <w:tcPr>
            <w:tcW w:w="999" w:type="dxa"/>
            <w:shd w:val="clear" w:color="auto" w:fill="D9D9D9"/>
          </w:tcPr>
          <w:p>
            <w:pPr>
              <w:pStyle w:val="TableParagraph"/>
              <w:spacing w:before="188"/>
              <w:ind w:left="19" w:right="3"/>
              <w:rPr>
                <w:b/>
                <w:sz w:val="22"/>
              </w:rPr>
            </w:pPr>
            <w:r>
              <w:rPr>
                <w:b/>
                <w:spacing w:val="-10"/>
                <w:sz w:val="22"/>
              </w:rPr>
              <w:t>t</w:t>
            </w:r>
          </w:p>
        </w:tc>
        <w:tc>
          <w:tcPr>
            <w:tcW w:w="903" w:type="dxa"/>
            <w:shd w:val="clear" w:color="auto" w:fill="D9D9D9"/>
          </w:tcPr>
          <w:p>
            <w:pPr>
              <w:pStyle w:val="TableParagraph"/>
              <w:spacing w:before="188"/>
              <w:ind w:left="9" w:right="1"/>
              <w:rPr>
                <w:b/>
                <w:sz w:val="22"/>
              </w:rPr>
            </w:pPr>
            <w:r>
              <w:rPr>
                <w:b/>
                <w:spacing w:val="-5"/>
                <w:sz w:val="22"/>
              </w:rPr>
              <w:t>df</w:t>
            </w:r>
          </w:p>
        </w:tc>
        <w:tc>
          <w:tcPr>
            <w:tcW w:w="1499" w:type="dxa"/>
            <w:shd w:val="clear" w:color="auto" w:fill="D9D9D9"/>
          </w:tcPr>
          <w:p>
            <w:pPr>
              <w:pStyle w:val="TableParagraph"/>
              <w:spacing w:before="188"/>
              <w:ind w:left="13" w:right="9"/>
              <w:rPr>
                <w:b/>
                <w:sz w:val="22"/>
              </w:rPr>
            </w:pPr>
            <w:r>
              <w:rPr>
                <w:b/>
                <w:sz w:val="22"/>
              </w:rPr>
              <w:t>Sig.</w:t>
            </w:r>
            <w:r>
              <w:rPr>
                <w:b/>
                <w:spacing w:val="-4"/>
                <w:sz w:val="22"/>
              </w:rPr>
              <w:t> </w:t>
            </w:r>
            <w:r>
              <w:rPr>
                <w:b/>
                <w:sz w:val="22"/>
              </w:rPr>
              <w:t>(2-</w:t>
            </w:r>
            <w:r>
              <w:rPr>
                <w:b/>
                <w:spacing w:val="-2"/>
                <w:sz w:val="22"/>
              </w:rPr>
              <w:t>tailed)</w:t>
            </w:r>
          </w:p>
        </w:tc>
      </w:tr>
      <w:tr>
        <w:trPr>
          <w:trHeight w:val="373" w:hRule="atLeast"/>
        </w:trPr>
        <w:tc>
          <w:tcPr>
            <w:tcW w:w="2799" w:type="dxa"/>
          </w:tcPr>
          <w:p>
            <w:pPr>
              <w:pStyle w:val="TableParagraph"/>
              <w:jc w:val="left"/>
              <w:rPr>
                <w:sz w:val="22"/>
              </w:rPr>
            </w:pPr>
            <w:r>
              <w:rPr>
                <w:sz w:val="22"/>
              </w:rPr>
              <w:t>COVID-19</w:t>
            </w:r>
            <w:r>
              <w:rPr>
                <w:spacing w:val="-10"/>
                <w:sz w:val="22"/>
              </w:rPr>
              <w:t> </w:t>
            </w:r>
            <w:r>
              <w:rPr>
                <w:spacing w:val="-2"/>
                <w:sz w:val="22"/>
              </w:rPr>
              <w:t>Pandemic</w:t>
            </w:r>
          </w:p>
        </w:tc>
        <w:tc>
          <w:tcPr>
            <w:tcW w:w="2002" w:type="dxa"/>
          </w:tcPr>
          <w:p>
            <w:pPr>
              <w:pStyle w:val="TableParagraph"/>
              <w:ind w:left="9"/>
              <w:rPr>
                <w:sz w:val="22"/>
              </w:rPr>
            </w:pPr>
            <w:r>
              <w:rPr>
                <w:spacing w:val="-4"/>
                <w:sz w:val="22"/>
              </w:rPr>
              <w:t>1.15</w:t>
            </w:r>
          </w:p>
        </w:tc>
        <w:tc>
          <w:tcPr>
            <w:tcW w:w="1801" w:type="dxa"/>
          </w:tcPr>
          <w:p>
            <w:pPr>
              <w:pStyle w:val="TableParagraph"/>
              <w:ind w:left="24" w:right="5"/>
              <w:rPr>
                <w:sz w:val="22"/>
              </w:rPr>
            </w:pPr>
            <w:r>
              <w:rPr>
                <w:spacing w:val="-4"/>
                <w:sz w:val="22"/>
              </w:rPr>
              <w:t>1.62</w:t>
            </w:r>
          </w:p>
        </w:tc>
        <w:tc>
          <w:tcPr>
            <w:tcW w:w="999" w:type="dxa"/>
          </w:tcPr>
          <w:p>
            <w:pPr>
              <w:pStyle w:val="TableParagraph"/>
              <w:ind w:left="19"/>
              <w:rPr>
                <w:sz w:val="22"/>
              </w:rPr>
            </w:pPr>
            <w:r>
              <w:rPr>
                <w:spacing w:val="-4"/>
                <w:sz w:val="22"/>
              </w:rPr>
              <w:t>3.885</w:t>
            </w:r>
          </w:p>
        </w:tc>
        <w:tc>
          <w:tcPr>
            <w:tcW w:w="903" w:type="dxa"/>
          </w:tcPr>
          <w:p>
            <w:pPr>
              <w:pStyle w:val="TableParagraph"/>
              <w:ind w:left="9"/>
              <w:rPr>
                <w:sz w:val="22"/>
              </w:rPr>
            </w:pPr>
            <w:r>
              <w:rPr>
                <w:spacing w:val="-5"/>
                <w:sz w:val="22"/>
              </w:rPr>
              <w:t>29</w:t>
            </w:r>
          </w:p>
        </w:tc>
        <w:tc>
          <w:tcPr>
            <w:tcW w:w="1499" w:type="dxa"/>
          </w:tcPr>
          <w:p>
            <w:pPr>
              <w:pStyle w:val="TableParagraph"/>
              <w:ind w:left="13"/>
              <w:rPr>
                <w:sz w:val="22"/>
              </w:rPr>
            </w:pPr>
            <w:r>
              <w:rPr>
                <w:spacing w:val="-4"/>
                <w:sz w:val="22"/>
              </w:rPr>
              <w:t>.001</w:t>
            </w:r>
          </w:p>
        </w:tc>
      </w:tr>
      <w:tr>
        <w:trPr>
          <w:trHeight w:val="369" w:hRule="atLeast"/>
        </w:trPr>
        <w:tc>
          <w:tcPr>
            <w:tcW w:w="2799" w:type="dxa"/>
          </w:tcPr>
          <w:p>
            <w:pPr>
              <w:pStyle w:val="TableParagraph"/>
              <w:jc w:val="left"/>
              <w:rPr>
                <w:sz w:val="22"/>
              </w:rPr>
            </w:pPr>
            <w:r>
              <w:rPr>
                <w:sz w:val="22"/>
              </w:rPr>
              <w:t>Russia-Ukraine</w:t>
            </w:r>
            <w:r>
              <w:rPr>
                <w:spacing w:val="-13"/>
                <w:sz w:val="22"/>
              </w:rPr>
              <w:t> </w:t>
            </w:r>
            <w:r>
              <w:rPr>
                <w:spacing w:val="-5"/>
                <w:sz w:val="22"/>
              </w:rPr>
              <w:t>War</w:t>
            </w:r>
          </w:p>
        </w:tc>
        <w:tc>
          <w:tcPr>
            <w:tcW w:w="2002" w:type="dxa"/>
          </w:tcPr>
          <w:p>
            <w:pPr>
              <w:pStyle w:val="TableParagraph"/>
              <w:ind w:left="9"/>
              <w:rPr>
                <w:sz w:val="22"/>
              </w:rPr>
            </w:pPr>
            <w:r>
              <w:rPr>
                <w:spacing w:val="-4"/>
                <w:sz w:val="22"/>
              </w:rPr>
              <w:t>0.33</w:t>
            </w:r>
          </w:p>
        </w:tc>
        <w:tc>
          <w:tcPr>
            <w:tcW w:w="1801" w:type="dxa"/>
          </w:tcPr>
          <w:p>
            <w:pPr>
              <w:pStyle w:val="TableParagraph"/>
              <w:ind w:left="24" w:right="5"/>
              <w:rPr>
                <w:sz w:val="22"/>
              </w:rPr>
            </w:pPr>
            <w:r>
              <w:rPr>
                <w:spacing w:val="-4"/>
                <w:sz w:val="22"/>
              </w:rPr>
              <w:t>0.62</w:t>
            </w:r>
          </w:p>
        </w:tc>
        <w:tc>
          <w:tcPr>
            <w:tcW w:w="999" w:type="dxa"/>
          </w:tcPr>
          <w:p>
            <w:pPr>
              <w:pStyle w:val="TableParagraph"/>
              <w:ind w:left="19"/>
              <w:rPr>
                <w:sz w:val="22"/>
              </w:rPr>
            </w:pPr>
            <w:r>
              <w:rPr>
                <w:spacing w:val="-4"/>
                <w:sz w:val="22"/>
              </w:rPr>
              <w:t>2.920</w:t>
            </w:r>
          </w:p>
        </w:tc>
        <w:tc>
          <w:tcPr>
            <w:tcW w:w="903" w:type="dxa"/>
          </w:tcPr>
          <w:p>
            <w:pPr>
              <w:pStyle w:val="TableParagraph"/>
              <w:ind w:left="9"/>
              <w:rPr>
                <w:sz w:val="22"/>
              </w:rPr>
            </w:pPr>
            <w:r>
              <w:rPr>
                <w:spacing w:val="-5"/>
                <w:sz w:val="22"/>
              </w:rPr>
              <w:t>29</w:t>
            </w:r>
          </w:p>
        </w:tc>
        <w:tc>
          <w:tcPr>
            <w:tcW w:w="1499" w:type="dxa"/>
          </w:tcPr>
          <w:p>
            <w:pPr>
              <w:pStyle w:val="TableParagraph"/>
              <w:ind w:left="13"/>
              <w:rPr>
                <w:sz w:val="22"/>
              </w:rPr>
            </w:pPr>
            <w:r>
              <w:rPr>
                <w:spacing w:val="-4"/>
                <w:sz w:val="22"/>
              </w:rPr>
              <w:t>.007</w:t>
            </w:r>
          </w:p>
        </w:tc>
      </w:tr>
      <w:tr>
        <w:trPr>
          <w:trHeight w:val="374" w:hRule="atLeast"/>
        </w:trPr>
        <w:tc>
          <w:tcPr>
            <w:tcW w:w="2799" w:type="dxa"/>
          </w:tcPr>
          <w:p>
            <w:pPr>
              <w:pStyle w:val="TableParagraph"/>
              <w:spacing w:before="58"/>
              <w:jc w:val="left"/>
              <w:rPr>
                <w:sz w:val="22"/>
              </w:rPr>
            </w:pPr>
            <w:r>
              <w:rPr>
                <w:sz w:val="22"/>
              </w:rPr>
              <w:t>India</w:t>
            </w:r>
            <w:r>
              <w:rPr>
                <w:spacing w:val="-3"/>
                <w:sz w:val="22"/>
              </w:rPr>
              <w:t> </w:t>
            </w:r>
            <w:r>
              <w:rPr>
                <w:sz w:val="22"/>
              </w:rPr>
              <w:t>General</w:t>
            </w:r>
            <w:r>
              <w:rPr>
                <w:spacing w:val="-8"/>
                <w:sz w:val="22"/>
              </w:rPr>
              <w:t> </w:t>
            </w:r>
            <w:r>
              <w:rPr>
                <w:sz w:val="22"/>
              </w:rPr>
              <w:t>Elections</w:t>
            </w:r>
            <w:r>
              <w:rPr>
                <w:spacing w:val="-5"/>
                <w:sz w:val="22"/>
              </w:rPr>
              <w:t> </w:t>
            </w:r>
            <w:r>
              <w:rPr>
                <w:spacing w:val="-4"/>
                <w:sz w:val="22"/>
              </w:rPr>
              <w:t>2024</w:t>
            </w:r>
          </w:p>
        </w:tc>
        <w:tc>
          <w:tcPr>
            <w:tcW w:w="2002" w:type="dxa"/>
          </w:tcPr>
          <w:p>
            <w:pPr>
              <w:pStyle w:val="TableParagraph"/>
              <w:spacing w:before="58"/>
              <w:ind w:left="9"/>
              <w:rPr>
                <w:sz w:val="22"/>
              </w:rPr>
            </w:pPr>
            <w:r>
              <w:rPr>
                <w:spacing w:val="-4"/>
                <w:sz w:val="22"/>
              </w:rPr>
              <w:t>0.31</w:t>
            </w:r>
          </w:p>
        </w:tc>
        <w:tc>
          <w:tcPr>
            <w:tcW w:w="1801" w:type="dxa"/>
          </w:tcPr>
          <w:p>
            <w:pPr>
              <w:pStyle w:val="TableParagraph"/>
              <w:spacing w:before="58"/>
              <w:ind w:left="24" w:right="5"/>
              <w:rPr>
                <w:sz w:val="22"/>
              </w:rPr>
            </w:pPr>
            <w:r>
              <w:rPr>
                <w:spacing w:val="-4"/>
                <w:sz w:val="22"/>
              </w:rPr>
              <w:t>0.58</w:t>
            </w:r>
          </w:p>
        </w:tc>
        <w:tc>
          <w:tcPr>
            <w:tcW w:w="999" w:type="dxa"/>
          </w:tcPr>
          <w:p>
            <w:pPr>
              <w:pStyle w:val="TableParagraph"/>
              <w:spacing w:before="58"/>
              <w:ind w:left="19"/>
              <w:rPr>
                <w:sz w:val="22"/>
              </w:rPr>
            </w:pPr>
            <w:r>
              <w:rPr>
                <w:spacing w:val="-4"/>
                <w:sz w:val="22"/>
              </w:rPr>
              <w:t>2.925</w:t>
            </w:r>
          </w:p>
        </w:tc>
        <w:tc>
          <w:tcPr>
            <w:tcW w:w="903" w:type="dxa"/>
          </w:tcPr>
          <w:p>
            <w:pPr>
              <w:pStyle w:val="TableParagraph"/>
              <w:spacing w:before="58"/>
              <w:ind w:left="9"/>
              <w:rPr>
                <w:sz w:val="22"/>
              </w:rPr>
            </w:pPr>
            <w:r>
              <w:rPr>
                <w:spacing w:val="-5"/>
                <w:sz w:val="22"/>
              </w:rPr>
              <w:t>29</w:t>
            </w:r>
          </w:p>
        </w:tc>
        <w:tc>
          <w:tcPr>
            <w:tcW w:w="1499" w:type="dxa"/>
          </w:tcPr>
          <w:p>
            <w:pPr>
              <w:pStyle w:val="TableParagraph"/>
              <w:spacing w:before="58"/>
              <w:ind w:left="13"/>
              <w:rPr>
                <w:sz w:val="22"/>
              </w:rPr>
            </w:pPr>
            <w:r>
              <w:rPr>
                <w:spacing w:val="-4"/>
                <w:sz w:val="22"/>
              </w:rPr>
              <w:t>.007</w:t>
            </w:r>
          </w:p>
        </w:tc>
      </w:tr>
    </w:tbl>
    <w:p>
      <w:pPr>
        <w:pStyle w:val="BodyText"/>
        <w:spacing w:line="360" w:lineRule="auto"/>
        <w:ind w:left="721" w:right="2159"/>
      </w:pPr>
      <w:r>
        <w:rPr/>
        <w:t>The paired-samples t-test confirms that the increase in daily return volatility from the</w:t>
      </w:r>
      <w:r>
        <w:rPr>
          <w:spacing w:val="-15"/>
        </w:rPr>
        <w:t> </w:t>
      </w:r>
      <w:r>
        <w:rPr/>
        <w:t>pre-event</w:t>
      </w:r>
      <w:r>
        <w:rPr>
          <w:spacing w:val="-15"/>
        </w:rPr>
        <w:t> </w:t>
      </w:r>
      <w:r>
        <w:rPr/>
        <w:t>to</w:t>
      </w:r>
      <w:r>
        <w:rPr>
          <w:spacing w:val="-15"/>
        </w:rPr>
        <w:t> </w:t>
      </w:r>
      <w:r>
        <w:rPr/>
        <w:t>the</w:t>
      </w:r>
      <w:r>
        <w:rPr>
          <w:spacing w:val="-15"/>
        </w:rPr>
        <w:t> </w:t>
      </w:r>
      <w:r>
        <w:rPr/>
        <w:t>post-event</w:t>
      </w:r>
      <w:r>
        <w:rPr>
          <w:spacing w:val="-15"/>
        </w:rPr>
        <w:t> </w:t>
      </w:r>
      <w:r>
        <w:rPr/>
        <w:t>window</w:t>
      </w:r>
      <w:r>
        <w:rPr>
          <w:spacing w:val="-15"/>
        </w:rPr>
        <w:t> </w:t>
      </w:r>
      <w:r>
        <w:rPr/>
        <w:t>is</w:t>
      </w:r>
      <w:r>
        <w:rPr>
          <w:spacing w:val="-15"/>
        </w:rPr>
        <w:t> </w:t>
      </w:r>
      <w:r>
        <w:rPr/>
        <w:t>statistically</w:t>
      </w:r>
      <w:r>
        <w:rPr>
          <w:spacing w:val="-15"/>
        </w:rPr>
        <w:t> </w:t>
      </w:r>
      <w:r>
        <w:rPr/>
        <w:t>significant</w:t>
      </w:r>
      <w:r>
        <w:rPr>
          <w:spacing w:val="-10"/>
        </w:rPr>
        <w:t> </w:t>
      </w:r>
      <w:r>
        <w:rPr/>
        <w:t>for</w:t>
      </w:r>
      <w:r>
        <w:rPr>
          <w:spacing w:val="-12"/>
        </w:rPr>
        <w:t> </w:t>
      </w:r>
      <w:r>
        <w:rPr/>
        <w:t>all</w:t>
      </w:r>
      <w:r>
        <w:rPr>
          <w:spacing w:val="-15"/>
        </w:rPr>
        <w:t> </w:t>
      </w:r>
      <w:r>
        <w:rPr/>
        <w:t>three</w:t>
      </w:r>
      <w:r>
        <w:rPr>
          <w:spacing w:val="-15"/>
        </w:rPr>
        <w:t> </w:t>
      </w:r>
      <w:r>
        <w:rPr/>
        <w:t>events (p &lt; .05 in every case), supporting rejection of H0 for Objective 1.</w:t>
      </w:r>
    </w:p>
    <w:p>
      <w:pPr>
        <w:pStyle w:val="BodyText"/>
        <w:spacing w:before="45"/>
        <w:jc w:val="left"/>
      </w:pPr>
    </w:p>
    <w:p>
      <w:pPr>
        <w:pStyle w:val="Heading2"/>
        <w:numPr>
          <w:ilvl w:val="1"/>
          <w:numId w:val="1"/>
        </w:numPr>
        <w:tabs>
          <w:tab w:pos="1085" w:val="left" w:leader="none"/>
        </w:tabs>
        <w:spacing w:line="240" w:lineRule="auto" w:before="0" w:after="0"/>
        <w:ind w:left="1085" w:right="0" w:hanging="364"/>
        <w:jc w:val="left"/>
      </w:pPr>
      <w:r>
        <w:rPr/>
        <w:t>SPSS</w:t>
      </w:r>
      <w:r>
        <w:rPr>
          <w:spacing w:val="-9"/>
        </w:rPr>
        <w:t> </w:t>
      </w:r>
      <w:r>
        <w:rPr/>
        <w:t>Pearson</w:t>
      </w:r>
      <w:r>
        <w:rPr>
          <w:spacing w:val="-2"/>
        </w:rPr>
        <w:t> </w:t>
      </w:r>
      <w:r>
        <w:rPr/>
        <w:t>Correlation</w:t>
      </w:r>
      <w:r>
        <w:rPr>
          <w:spacing w:val="2"/>
        </w:rPr>
        <w:t> </w:t>
      </w:r>
      <w:r>
        <w:rPr/>
        <w:t>—</w:t>
      </w:r>
      <w:r>
        <w:rPr>
          <w:spacing w:val="-3"/>
        </w:rPr>
        <w:t> </w:t>
      </w:r>
      <w:r>
        <w:rPr/>
        <w:t>Pre-Event</w:t>
      </w:r>
      <w:r>
        <w:rPr>
          <w:spacing w:val="-2"/>
        </w:rPr>
        <w:t> </w:t>
      </w:r>
      <w:r>
        <w:rPr/>
        <w:t>vs</w:t>
      </w:r>
      <w:r>
        <w:rPr>
          <w:spacing w:val="-4"/>
        </w:rPr>
        <w:t> </w:t>
      </w:r>
      <w:r>
        <w:rPr/>
        <w:t>Post-Event</w:t>
      </w:r>
      <w:r>
        <w:rPr>
          <w:spacing w:val="-2"/>
        </w:rPr>
        <w:t> </w:t>
      </w:r>
      <w:r>
        <w:rPr/>
        <w:t>Daily</w:t>
      </w:r>
      <w:r>
        <w:rPr>
          <w:spacing w:val="-2"/>
        </w:rPr>
        <w:t> Returns</w:t>
      </w:r>
    </w:p>
    <w:p>
      <w:pPr>
        <w:pStyle w:val="BodyText"/>
        <w:spacing w:before="11"/>
        <w:jc w:val="left"/>
        <w:rPr>
          <w:b/>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1"/>
        <w:gridCol w:w="2401"/>
        <w:gridCol w:w="2401"/>
        <w:gridCol w:w="1599"/>
      </w:tblGrid>
      <w:tr>
        <w:trPr>
          <w:trHeight w:val="369" w:hRule="atLeast"/>
        </w:trPr>
        <w:tc>
          <w:tcPr>
            <w:tcW w:w="3601" w:type="dxa"/>
            <w:shd w:val="clear" w:color="auto" w:fill="D9D9D9"/>
          </w:tcPr>
          <w:p>
            <w:pPr>
              <w:pStyle w:val="TableParagraph"/>
              <w:spacing w:before="58"/>
              <w:ind w:left="10"/>
              <w:rPr>
                <w:b/>
                <w:sz w:val="22"/>
              </w:rPr>
            </w:pPr>
            <w:r>
              <w:rPr>
                <w:b/>
                <w:spacing w:val="-2"/>
                <w:sz w:val="22"/>
              </w:rPr>
              <w:t>Event</w:t>
            </w:r>
          </w:p>
        </w:tc>
        <w:tc>
          <w:tcPr>
            <w:tcW w:w="2401" w:type="dxa"/>
            <w:shd w:val="clear" w:color="auto" w:fill="D9D9D9"/>
          </w:tcPr>
          <w:p>
            <w:pPr>
              <w:pStyle w:val="TableParagraph"/>
              <w:spacing w:before="58"/>
              <w:ind w:left="18" w:right="9"/>
              <w:rPr>
                <w:b/>
                <w:sz w:val="22"/>
              </w:rPr>
            </w:pPr>
            <w:r>
              <w:rPr>
                <w:b/>
                <w:sz w:val="22"/>
              </w:rPr>
              <w:t>Pearson</w:t>
            </w:r>
            <w:r>
              <w:rPr>
                <w:b/>
                <w:spacing w:val="-10"/>
                <w:sz w:val="22"/>
              </w:rPr>
              <w:t> </w:t>
            </w:r>
            <w:r>
              <w:rPr>
                <w:b/>
                <w:sz w:val="22"/>
              </w:rPr>
              <w:t>Correlation</w:t>
            </w:r>
            <w:r>
              <w:rPr>
                <w:b/>
                <w:spacing w:val="-9"/>
                <w:sz w:val="22"/>
              </w:rPr>
              <w:t> </w:t>
            </w:r>
            <w:r>
              <w:rPr>
                <w:b/>
                <w:spacing w:val="-5"/>
                <w:sz w:val="22"/>
              </w:rPr>
              <w:t>(r)</w:t>
            </w:r>
          </w:p>
        </w:tc>
        <w:tc>
          <w:tcPr>
            <w:tcW w:w="2401" w:type="dxa"/>
            <w:shd w:val="clear" w:color="auto" w:fill="D9D9D9"/>
          </w:tcPr>
          <w:p>
            <w:pPr>
              <w:pStyle w:val="TableParagraph"/>
              <w:spacing w:before="58"/>
              <w:ind w:left="18" w:right="13"/>
              <w:rPr>
                <w:b/>
                <w:sz w:val="22"/>
              </w:rPr>
            </w:pPr>
            <w:r>
              <w:rPr>
                <w:b/>
                <w:sz w:val="22"/>
              </w:rPr>
              <w:t>Sig.</w:t>
            </w:r>
            <w:r>
              <w:rPr>
                <w:b/>
                <w:spacing w:val="-5"/>
                <w:sz w:val="22"/>
              </w:rPr>
              <w:t> </w:t>
            </w:r>
            <w:r>
              <w:rPr>
                <w:b/>
                <w:sz w:val="22"/>
              </w:rPr>
              <w:t>(2-</w:t>
            </w:r>
            <w:r>
              <w:rPr>
                <w:b/>
                <w:spacing w:val="-2"/>
                <w:sz w:val="22"/>
              </w:rPr>
              <w:t>tailed)</w:t>
            </w:r>
          </w:p>
        </w:tc>
        <w:tc>
          <w:tcPr>
            <w:tcW w:w="1599" w:type="dxa"/>
            <w:shd w:val="clear" w:color="auto" w:fill="D9D9D9"/>
          </w:tcPr>
          <w:p>
            <w:pPr>
              <w:pStyle w:val="TableParagraph"/>
              <w:spacing w:before="58"/>
              <w:ind w:left="10"/>
              <w:rPr>
                <w:b/>
                <w:sz w:val="22"/>
              </w:rPr>
            </w:pPr>
            <w:r>
              <w:rPr>
                <w:b/>
                <w:spacing w:val="-10"/>
                <w:sz w:val="22"/>
              </w:rPr>
              <w:t>N</w:t>
            </w:r>
          </w:p>
        </w:tc>
      </w:tr>
      <w:tr>
        <w:trPr>
          <w:trHeight w:val="374" w:hRule="atLeast"/>
        </w:trPr>
        <w:tc>
          <w:tcPr>
            <w:tcW w:w="3601" w:type="dxa"/>
          </w:tcPr>
          <w:p>
            <w:pPr>
              <w:pStyle w:val="TableParagraph"/>
              <w:spacing w:before="58"/>
              <w:jc w:val="left"/>
              <w:rPr>
                <w:sz w:val="22"/>
              </w:rPr>
            </w:pPr>
            <w:r>
              <w:rPr>
                <w:sz w:val="22"/>
              </w:rPr>
              <w:t>COVID-19</w:t>
            </w:r>
            <w:r>
              <w:rPr>
                <w:spacing w:val="-10"/>
                <w:sz w:val="22"/>
              </w:rPr>
              <w:t> </w:t>
            </w:r>
            <w:r>
              <w:rPr>
                <w:spacing w:val="-2"/>
                <w:sz w:val="22"/>
              </w:rPr>
              <w:t>Pandemic</w:t>
            </w:r>
          </w:p>
        </w:tc>
        <w:tc>
          <w:tcPr>
            <w:tcW w:w="2401" w:type="dxa"/>
          </w:tcPr>
          <w:p>
            <w:pPr>
              <w:pStyle w:val="TableParagraph"/>
              <w:spacing w:before="58"/>
              <w:ind w:left="18" w:right="4"/>
              <w:rPr>
                <w:sz w:val="22"/>
              </w:rPr>
            </w:pPr>
            <w:r>
              <w:rPr>
                <w:spacing w:val="-4"/>
                <w:sz w:val="22"/>
              </w:rPr>
              <w:t>.142</w:t>
            </w:r>
          </w:p>
        </w:tc>
        <w:tc>
          <w:tcPr>
            <w:tcW w:w="2401" w:type="dxa"/>
          </w:tcPr>
          <w:p>
            <w:pPr>
              <w:pStyle w:val="TableParagraph"/>
              <w:spacing w:before="58"/>
              <w:ind w:left="18" w:right="4"/>
              <w:rPr>
                <w:sz w:val="22"/>
              </w:rPr>
            </w:pPr>
            <w:r>
              <w:rPr>
                <w:spacing w:val="-4"/>
                <w:sz w:val="22"/>
              </w:rPr>
              <w:t>.454</w:t>
            </w:r>
          </w:p>
        </w:tc>
        <w:tc>
          <w:tcPr>
            <w:tcW w:w="1599" w:type="dxa"/>
          </w:tcPr>
          <w:p>
            <w:pPr>
              <w:pStyle w:val="TableParagraph"/>
              <w:spacing w:before="58"/>
              <w:ind w:left="14"/>
              <w:rPr>
                <w:sz w:val="22"/>
              </w:rPr>
            </w:pPr>
            <w:r>
              <w:rPr>
                <w:spacing w:val="-5"/>
                <w:sz w:val="22"/>
              </w:rPr>
              <w:t>30</w:t>
            </w:r>
          </w:p>
        </w:tc>
      </w:tr>
      <w:tr>
        <w:trPr>
          <w:trHeight w:val="374" w:hRule="atLeast"/>
        </w:trPr>
        <w:tc>
          <w:tcPr>
            <w:tcW w:w="3601" w:type="dxa"/>
          </w:tcPr>
          <w:p>
            <w:pPr>
              <w:pStyle w:val="TableParagraph"/>
              <w:spacing w:before="54"/>
              <w:jc w:val="left"/>
              <w:rPr>
                <w:sz w:val="22"/>
              </w:rPr>
            </w:pPr>
            <w:r>
              <w:rPr>
                <w:sz w:val="22"/>
              </w:rPr>
              <w:t>Russia-Ukraine</w:t>
            </w:r>
            <w:r>
              <w:rPr>
                <w:spacing w:val="-13"/>
                <w:sz w:val="22"/>
              </w:rPr>
              <w:t> </w:t>
            </w:r>
            <w:r>
              <w:rPr>
                <w:spacing w:val="-5"/>
                <w:sz w:val="22"/>
              </w:rPr>
              <w:t>War</w:t>
            </w:r>
          </w:p>
        </w:tc>
        <w:tc>
          <w:tcPr>
            <w:tcW w:w="2401" w:type="dxa"/>
          </w:tcPr>
          <w:p>
            <w:pPr>
              <w:pStyle w:val="TableParagraph"/>
              <w:spacing w:before="54"/>
              <w:ind w:left="18" w:right="4"/>
              <w:rPr>
                <w:sz w:val="22"/>
              </w:rPr>
            </w:pPr>
            <w:r>
              <w:rPr>
                <w:spacing w:val="-4"/>
                <w:sz w:val="22"/>
              </w:rPr>
              <w:t>.098</w:t>
            </w:r>
          </w:p>
        </w:tc>
        <w:tc>
          <w:tcPr>
            <w:tcW w:w="2401" w:type="dxa"/>
          </w:tcPr>
          <w:p>
            <w:pPr>
              <w:pStyle w:val="TableParagraph"/>
              <w:spacing w:before="54"/>
              <w:ind w:left="18" w:right="4"/>
              <w:rPr>
                <w:sz w:val="22"/>
              </w:rPr>
            </w:pPr>
            <w:r>
              <w:rPr>
                <w:spacing w:val="-4"/>
                <w:sz w:val="22"/>
              </w:rPr>
              <w:t>.607</w:t>
            </w:r>
          </w:p>
        </w:tc>
        <w:tc>
          <w:tcPr>
            <w:tcW w:w="1599" w:type="dxa"/>
          </w:tcPr>
          <w:p>
            <w:pPr>
              <w:pStyle w:val="TableParagraph"/>
              <w:spacing w:before="54"/>
              <w:ind w:left="14"/>
              <w:rPr>
                <w:sz w:val="22"/>
              </w:rPr>
            </w:pPr>
            <w:r>
              <w:rPr>
                <w:spacing w:val="-5"/>
                <w:sz w:val="22"/>
              </w:rPr>
              <w:t>30</w:t>
            </w:r>
          </w:p>
        </w:tc>
      </w:tr>
      <w:tr>
        <w:trPr>
          <w:trHeight w:val="374" w:hRule="atLeast"/>
        </w:trPr>
        <w:tc>
          <w:tcPr>
            <w:tcW w:w="3601" w:type="dxa"/>
          </w:tcPr>
          <w:p>
            <w:pPr>
              <w:pStyle w:val="TableParagraph"/>
              <w:jc w:val="left"/>
              <w:rPr>
                <w:sz w:val="22"/>
              </w:rPr>
            </w:pPr>
            <w:r>
              <w:rPr>
                <w:sz w:val="22"/>
              </w:rPr>
              <w:t>India</w:t>
            </w:r>
            <w:r>
              <w:rPr>
                <w:spacing w:val="-3"/>
                <w:sz w:val="22"/>
              </w:rPr>
              <w:t> </w:t>
            </w:r>
            <w:r>
              <w:rPr>
                <w:sz w:val="22"/>
              </w:rPr>
              <w:t>General</w:t>
            </w:r>
            <w:r>
              <w:rPr>
                <w:spacing w:val="-8"/>
                <w:sz w:val="22"/>
              </w:rPr>
              <w:t> </w:t>
            </w:r>
            <w:r>
              <w:rPr>
                <w:sz w:val="22"/>
              </w:rPr>
              <w:t>Elections</w:t>
            </w:r>
            <w:r>
              <w:rPr>
                <w:spacing w:val="-5"/>
                <w:sz w:val="22"/>
              </w:rPr>
              <w:t> </w:t>
            </w:r>
            <w:r>
              <w:rPr>
                <w:spacing w:val="-4"/>
                <w:sz w:val="22"/>
              </w:rPr>
              <w:t>2024</w:t>
            </w:r>
          </w:p>
        </w:tc>
        <w:tc>
          <w:tcPr>
            <w:tcW w:w="2401" w:type="dxa"/>
          </w:tcPr>
          <w:p>
            <w:pPr>
              <w:pStyle w:val="TableParagraph"/>
              <w:ind w:left="18" w:right="4"/>
              <w:rPr>
                <w:sz w:val="22"/>
              </w:rPr>
            </w:pPr>
            <w:r>
              <w:rPr>
                <w:spacing w:val="-4"/>
                <w:sz w:val="22"/>
              </w:rPr>
              <w:t>.187</w:t>
            </w:r>
          </w:p>
        </w:tc>
        <w:tc>
          <w:tcPr>
            <w:tcW w:w="2401" w:type="dxa"/>
          </w:tcPr>
          <w:p>
            <w:pPr>
              <w:pStyle w:val="TableParagraph"/>
              <w:ind w:left="18" w:right="4"/>
              <w:rPr>
                <w:sz w:val="22"/>
              </w:rPr>
            </w:pPr>
            <w:r>
              <w:rPr>
                <w:spacing w:val="-4"/>
                <w:sz w:val="22"/>
              </w:rPr>
              <w:t>.322</w:t>
            </w:r>
          </w:p>
        </w:tc>
        <w:tc>
          <w:tcPr>
            <w:tcW w:w="1599" w:type="dxa"/>
          </w:tcPr>
          <w:p>
            <w:pPr>
              <w:pStyle w:val="TableParagraph"/>
              <w:ind w:left="14"/>
              <w:rPr>
                <w:sz w:val="22"/>
              </w:rPr>
            </w:pPr>
            <w:r>
              <w:rPr>
                <w:spacing w:val="-5"/>
                <w:sz w:val="22"/>
              </w:rPr>
              <w:t>30</w:t>
            </w:r>
          </w:p>
        </w:tc>
      </w:tr>
    </w:tbl>
    <w:p>
      <w:pPr>
        <w:pStyle w:val="BodyText"/>
        <w:spacing w:line="360" w:lineRule="auto"/>
        <w:ind w:left="721" w:right="2165"/>
      </w:pPr>
      <w:r>
        <w:rPr/>
        <w:t>The</w:t>
      </w:r>
      <w:r>
        <w:rPr>
          <w:spacing w:val="-9"/>
        </w:rPr>
        <w:t> </w:t>
      </w:r>
      <w:r>
        <w:rPr/>
        <w:t>weak</w:t>
      </w:r>
      <w:r>
        <w:rPr>
          <w:spacing w:val="-8"/>
        </w:rPr>
        <w:t> </w:t>
      </w:r>
      <w:r>
        <w:rPr/>
        <w:t>and</w:t>
      </w:r>
      <w:r>
        <w:rPr>
          <w:spacing w:val="-8"/>
        </w:rPr>
        <w:t> </w:t>
      </w:r>
      <w:r>
        <w:rPr/>
        <w:t>statistically</w:t>
      </w:r>
      <w:r>
        <w:rPr>
          <w:spacing w:val="-8"/>
        </w:rPr>
        <w:t> </w:t>
      </w:r>
      <w:r>
        <w:rPr/>
        <w:t>insignificant</w:t>
      </w:r>
      <w:r>
        <w:rPr>
          <w:spacing w:val="-4"/>
        </w:rPr>
        <w:t> </w:t>
      </w:r>
      <w:r>
        <w:rPr/>
        <w:t>correlation</w:t>
      </w:r>
      <w:r>
        <w:rPr>
          <w:spacing w:val="-13"/>
        </w:rPr>
        <w:t> </w:t>
      </w:r>
      <w:r>
        <w:rPr/>
        <w:t>(p</w:t>
      </w:r>
      <w:r>
        <w:rPr>
          <w:spacing w:val="-8"/>
        </w:rPr>
        <w:t> </w:t>
      </w:r>
      <w:r>
        <w:rPr/>
        <w:t>&gt;</w:t>
      </w:r>
      <w:r>
        <w:rPr>
          <w:spacing w:val="-14"/>
        </w:rPr>
        <w:t> </w:t>
      </w:r>
      <w:r>
        <w:rPr/>
        <w:t>.05</w:t>
      </w:r>
      <w:r>
        <w:rPr>
          <w:spacing w:val="-8"/>
        </w:rPr>
        <w:t> </w:t>
      </w:r>
      <w:r>
        <w:rPr/>
        <w:t>in</w:t>
      </w:r>
      <w:r>
        <w:rPr>
          <w:spacing w:val="-13"/>
        </w:rPr>
        <w:t> </w:t>
      </w:r>
      <w:r>
        <w:rPr/>
        <w:t>every</w:t>
      </w:r>
      <w:r>
        <w:rPr>
          <w:spacing w:val="-13"/>
        </w:rPr>
        <w:t> </w:t>
      </w:r>
      <w:r>
        <w:rPr/>
        <w:t>case)</w:t>
      </w:r>
      <w:r>
        <w:rPr>
          <w:spacing w:val="-3"/>
        </w:rPr>
        <w:t> </w:t>
      </w:r>
      <w:r>
        <w:rPr/>
        <w:t>indicates that</w:t>
      </w:r>
      <w:r>
        <w:rPr>
          <w:spacing w:val="-2"/>
        </w:rPr>
        <w:t> </w:t>
      </w:r>
      <w:r>
        <w:rPr/>
        <w:t>pre-event</w:t>
      </w:r>
      <w:r>
        <w:rPr>
          <w:spacing w:val="-2"/>
        </w:rPr>
        <w:t> </w:t>
      </w:r>
      <w:r>
        <w:rPr/>
        <w:t>returns</w:t>
      </w:r>
      <w:r>
        <w:rPr>
          <w:spacing w:val="-8"/>
        </w:rPr>
        <w:t> </w:t>
      </w:r>
      <w:r>
        <w:rPr/>
        <w:t>do</w:t>
      </w:r>
      <w:r>
        <w:rPr>
          <w:spacing w:val="-3"/>
        </w:rPr>
        <w:t> </w:t>
      </w:r>
      <w:r>
        <w:rPr/>
        <w:t>not</w:t>
      </w:r>
      <w:r>
        <w:rPr>
          <w:spacing w:val="-6"/>
        </w:rPr>
        <w:t> </w:t>
      </w:r>
      <w:r>
        <w:rPr/>
        <w:t>predict</w:t>
      </w:r>
      <w:r>
        <w:rPr>
          <w:spacing w:val="-2"/>
        </w:rPr>
        <w:t> </w:t>
      </w:r>
      <w:r>
        <w:rPr/>
        <w:t>post-event</w:t>
      </w:r>
      <w:r>
        <w:rPr>
          <w:spacing w:val="-2"/>
        </w:rPr>
        <w:t> </w:t>
      </w:r>
      <w:r>
        <w:rPr/>
        <w:t>returns,</w:t>
      </w:r>
      <w:r>
        <w:rPr>
          <w:spacing w:val="-5"/>
        </w:rPr>
        <w:t> </w:t>
      </w:r>
      <w:r>
        <w:rPr/>
        <w:t>confirming</w:t>
      </w:r>
      <w:r>
        <w:rPr>
          <w:spacing w:val="-6"/>
        </w:rPr>
        <w:t> </w:t>
      </w:r>
      <w:r>
        <w:rPr/>
        <w:t>that</w:t>
      </w:r>
      <w:r>
        <w:rPr>
          <w:spacing w:val="-2"/>
        </w:rPr>
        <w:t> </w:t>
      </w:r>
      <w:r>
        <w:rPr/>
        <w:t>each</w:t>
      </w:r>
      <w:r>
        <w:rPr>
          <w:spacing w:val="-11"/>
        </w:rPr>
        <w:t> </w:t>
      </w:r>
      <w:r>
        <w:rPr/>
        <w:t>event triggers a distinct new phase of index behaviour rather than a continuation of the pre-event trend.</w:t>
      </w:r>
    </w:p>
    <w:p>
      <w:pPr>
        <w:pStyle w:val="BodyText"/>
        <w:spacing w:after="0" w:line="360" w:lineRule="auto"/>
        <w:sectPr>
          <w:pgSz w:w="12240" w:h="15840"/>
          <w:pgMar w:top="1820" w:bottom="280" w:left="1440" w:right="0"/>
        </w:sectPr>
      </w:pPr>
    </w:p>
    <w:p>
      <w:pPr>
        <w:pStyle w:val="BodyText"/>
        <w:spacing w:before="61"/>
        <w:jc w:val="left"/>
      </w:pPr>
    </w:p>
    <w:p>
      <w:pPr>
        <w:pStyle w:val="Heading2"/>
        <w:numPr>
          <w:ilvl w:val="1"/>
          <w:numId w:val="1"/>
        </w:numPr>
        <w:tabs>
          <w:tab w:pos="1085" w:val="left" w:leader="none"/>
        </w:tabs>
        <w:spacing w:line="240" w:lineRule="auto" w:before="0" w:after="0"/>
        <w:ind w:left="1085" w:right="0" w:hanging="364"/>
        <w:jc w:val="both"/>
      </w:pPr>
      <w:r>
        <w:rPr/>
        <w:t>Consolidated</w:t>
      </w:r>
      <w:r>
        <w:rPr>
          <w:spacing w:val="-5"/>
        </w:rPr>
        <w:t> </w:t>
      </w:r>
      <w:r>
        <w:rPr/>
        <w:t>Summary</w:t>
      </w:r>
      <w:r>
        <w:rPr>
          <w:spacing w:val="-2"/>
        </w:rPr>
        <w:t> </w:t>
      </w:r>
      <w:r>
        <w:rPr/>
        <w:t>of</w:t>
      </w:r>
      <w:r>
        <w:rPr>
          <w:spacing w:val="-6"/>
        </w:rPr>
        <w:t> </w:t>
      </w:r>
      <w:r>
        <w:rPr/>
        <w:t>Data</w:t>
      </w:r>
      <w:r>
        <w:rPr>
          <w:spacing w:val="-2"/>
        </w:rPr>
        <w:t> </w:t>
      </w:r>
      <w:r>
        <w:rPr/>
        <w:t>Analysis</w:t>
      </w:r>
      <w:r>
        <w:rPr>
          <w:spacing w:val="-4"/>
        </w:rPr>
        <w:t> </w:t>
      </w:r>
      <w:r>
        <w:rPr>
          <w:spacing w:val="-2"/>
        </w:rPr>
        <w:t>Findings</w:t>
      </w:r>
    </w:p>
    <w:p>
      <w:pPr>
        <w:pStyle w:val="BodyText"/>
        <w:jc w:val="left"/>
        <w:rPr>
          <w:b/>
          <w:sz w:val="16"/>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1498"/>
        <w:gridCol w:w="1901"/>
        <w:gridCol w:w="1503"/>
        <w:gridCol w:w="2497"/>
      </w:tblGrid>
      <w:tr>
        <w:trPr>
          <w:trHeight w:val="623" w:hRule="atLeast"/>
        </w:trPr>
        <w:tc>
          <w:tcPr>
            <w:tcW w:w="2603" w:type="dxa"/>
            <w:shd w:val="clear" w:color="auto" w:fill="D9D9D9"/>
          </w:tcPr>
          <w:p>
            <w:pPr>
              <w:pStyle w:val="TableParagraph"/>
              <w:spacing w:before="188"/>
              <w:ind w:left="0"/>
              <w:rPr>
                <w:b/>
                <w:sz w:val="22"/>
              </w:rPr>
            </w:pPr>
            <w:r>
              <w:rPr>
                <w:b/>
                <w:spacing w:val="-2"/>
                <w:sz w:val="22"/>
              </w:rPr>
              <w:t>Event</w:t>
            </w:r>
          </w:p>
        </w:tc>
        <w:tc>
          <w:tcPr>
            <w:tcW w:w="1498" w:type="dxa"/>
            <w:shd w:val="clear" w:color="auto" w:fill="D9D9D9"/>
          </w:tcPr>
          <w:p>
            <w:pPr>
              <w:pStyle w:val="TableParagraph"/>
              <w:spacing w:before="58"/>
              <w:ind w:left="561" w:right="239" w:hanging="317"/>
              <w:jc w:val="left"/>
              <w:rPr>
                <w:b/>
                <w:sz w:val="22"/>
              </w:rPr>
            </w:pPr>
            <w:r>
              <w:rPr>
                <w:b/>
                <w:spacing w:val="-2"/>
                <w:sz w:val="22"/>
              </w:rPr>
              <w:t>Event-</w:t>
            </w:r>
            <w:r>
              <w:rPr>
                <w:b/>
                <w:spacing w:val="-2"/>
                <w:sz w:val="22"/>
              </w:rPr>
              <w:t>Day </w:t>
            </w:r>
            <w:r>
              <w:rPr>
                <w:b/>
                <w:spacing w:val="-4"/>
                <w:sz w:val="22"/>
              </w:rPr>
              <w:t>Fall</w:t>
            </w:r>
          </w:p>
        </w:tc>
        <w:tc>
          <w:tcPr>
            <w:tcW w:w="1901" w:type="dxa"/>
            <w:shd w:val="clear" w:color="auto" w:fill="D9D9D9"/>
          </w:tcPr>
          <w:p>
            <w:pPr>
              <w:pStyle w:val="TableParagraph"/>
              <w:spacing w:before="58"/>
              <w:ind w:left="268" w:right="254" w:firstLine="172"/>
              <w:jc w:val="left"/>
              <w:rPr>
                <w:b/>
                <w:sz w:val="22"/>
              </w:rPr>
            </w:pPr>
            <w:r>
              <w:rPr>
                <w:b/>
                <w:spacing w:val="-2"/>
                <w:sz w:val="22"/>
              </w:rPr>
              <w:t>Post-Event </w:t>
            </w:r>
            <w:r>
              <w:rPr>
                <w:b/>
                <w:sz w:val="22"/>
              </w:rPr>
              <w:t>Volatility</w:t>
            </w:r>
            <w:r>
              <w:rPr>
                <w:b/>
                <w:spacing w:val="-14"/>
                <w:sz w:val="22"/>
              </w:rPr>
              <w:t> </w:t>
            </w:r>
            <w:r>
              <w:rPr>
                <w:b/>
                <w:sz w:val="22"/>
              </w:rPr>
              <w:t>(SD)</w:t>
            </w:r>
          </w:p>
        </w:tc>
        <w:tc>
          <w:tcPr>
            <w:tcW w:w="1503" w:type="dxa"/>
            <w:shd w:val="clear" w:color="auto" w:fill="D9D9D9"/>
          </w:tcPr>
          <w:p>
            <w:pPr>
              <w:pStyle w:val="TableParagraph"/>
              <w:spacing w:before="58"/>
              <w:ind w:left="437" w:right="297" w:hanging="125"/>
              <w:jc w:val="left"/>
              <w:rPr>
                <w:b/>
                <w:sz w:val="22"/>
              </w:rPr>
            </w:pPr>
            <w:r>
              <w:rPr>
                <w:b/>
                <w:spacing w:val="-2"/>
                <w:sz w:val="22"/>
              </w:rPr>
              <w:t>Recovery Period</w:t>
            </w:r>
          </w:p>
        </w:tc>
        <w:tc>
          <w:tcPr>
            <w:tcW w:w="2497" w:type="dxa"/>
            <w:shd w:val="clear" w:color="auto" w:fill="D9D9D9"/>
          </w:tcPr>
          <w:p>
            <w:pPr>
              <w:pStyle w:val="TableParagraph"/>
              <w:spacing w:before="188"/>
              <w:ind w:left="451"/>
              <w:jc w:val="left"/>
              <w:rPr>
                <w:b/>
                <w:sz w:val="22"/>
              </w:rPr>
            </w:pPr>
            <w:r>
              <w:rPr>
                <w:b/>
                <w:sz w:val="22"/>
              </w:rPr>
              <w:t>Key </w:t>
            </w:r>
            <w:r>
              <w:rPr>
                <w:b/>
                <w:spacing w:val="-2"/>
                <w:sz w:val="22"/>
              </w:rPr>
              <w:t>Observation</w:t>
            </w:r>
          </w:p>
        </w:tc>
      </w:tr>
      <w:tr>
        <w:trPr>
          <w:trHeight w:val="883" w:hRule="atLeast"/>
        </w:trPr>
        <w:tc>
          <w:tcPr>
            <w:tcW w:w="2603" w:type="dxa"/>
          </w:tcPr>
          <w:p>
            <w:pPr>
              <w:pStyle w:val="TableParagraph"/>
              <w:spacing w:before="55"/>
              <w:ind w:left="0"/>
              <w:jc w:val="left"/>
              <w:rPr>
                <w:b/>
                <w:sz w:val="22"/>
              </w:rPr>
            </w:pPr>
          </w:p>
          <w:p>
            <w:pPr>
              <w:pStyle w:val="TableParagraph"/>
              <w:spacing w:before="0"/>
              <w:jc w:val="left"/>
              <w:rPr>
                <w:sz w:val="22"/>
              </w:rPr>
            </w:pPr>
            <w:r>
              <w:rPr>
                <w:sz w:val="22"/>
              </w:rPr>
              <w:t>COVID-19</w:t>
            </w:r>
            <w:r>
              <w:rPr>
                <w:spacing w:val="-10"/>
                <w:sz w:val="22"/>
              </w:rPr>
              <w:t> </w:t>
            </w:r>
            <w:r>
              <w:rPr>
                <w:spacing w:val="-2"/>
                <w:sz w:val="22"/>
              </w:rPr>
              <w:t>Pandemic</w:t>
            </w:r>
          </w:p>
        </w:tc>
        <w:tc>
          <w:tcPr>
            <w:tcW w:w="1498" w:type="dxa"/>
          </w:tcPr>
          <w:p>
            <w:pPr>
              <w:pStyle w:val="TableParagraph"/>
              <w:spacing w:before="55"/>
              <w:ind w:left="0"/>
              <w:jc w:val="left"/>
              <w:rPr>
                <w:b/>
                <w:sz w:val="22"/>
              </w:rPr>
            </w:pPr>
          </w:p>
          <w:p>
            <w:pPr>
              <w:pStyle w:val="TableParagraph"/>
              <w:spacing w:before="0"/>
              <w:ind w:left="14" w:right="10"/>
              <w:rPr>
                <w:sz w:val="22"/>
              </w:rPr>
            </w:pPr>
            <w:r>
              <w:rPr>
                <w:spacing w:val="-2"/>
                <w:sz w:val="22"/>
              </w:rPr>
              <w:t>-12.98%</w:t>
            </w:r>
          </w:p>
        </w:tc>
        <w:tc>
          <w:tcPr>
            <w:tcW w:w="1901" w:type="dxa"/>
          </w:tcPr>
          <w:p>
            <w:pPr>
              <w:pStyle w:val="TableParagraph"/>
              <w:spacing w:before="55"/>
              <w:ind w:left="0"/>
              <w:jc w:val="left"/>
              <w:rPr>
                <w:b/>
                <w:sz w:val="22"/>
              </w:rPr>
            </w:pPr>
          </w:p>
          <w:p>
            <w:pPr>
              <w:pStyle w:val="TableParagraph"/>
              <w:spacing w:before="0"/>
              <w:ind w:left="14"/>
              <w:rPr>
                <w:sz w:val="22"/>
              </w:rPr>
            </w:pPr>
            <w:r>
              <w:rPr>
                <w:spacing w:val="-4"/>
                <w:sz w:val="22"/>
              </w:rPr>
              <w:t>2.87%</w:t>
            </w:r>
          </w:p>
        </w:tc>
        <w:tc>
          <w:tcPr>
            <w:tcW w:w="1503" w:type="dxa"/>
          </w:tcPr>
          <w:p>
            <w:pPr>
              <w:pStyle w:val="TableParagraph"/>
              <w:spacing w:before="55"/>
              <w:ind w:left="0"/>
              <w:jc w:val="left"/>
              <w:rPr>
                <w:b/>
                <w:sz w:val="22"/>
              </w:rPr>
            </w:pPr>
          </w:p>
          <w:p>
            <w:pPr>
              <w:pStyle w:val="TableParagraph"/>
              <w:spacing w:before="0"/>
              <w:ind w:left="0"/>
              <w:rPr>
                <w:sz w:val="22"/>
              </w:rPr>
            </w:pPr>
            <w:r>
              <w:rPr>
                <w:sz w:val="22"/>
              </w:rPr>
              <w:t>9</w:t>
            </w:r>
            <w:r>
              <w:rPr>
                <w:spacing w:val="-4"/>
                <w:sz w:val="22"/>
              </w:rPr>
              <w:t> </w:t>
            </w:r>
            <w:r>
              <w:rPr>
                <w:sz w:val="22"/>
              </w:rPr>
              <w:t>trading</w:t>
            </w:r>
            <w:r>
              <w:rPr>
                <w:spacing w:val="-2"/>
                <w:sz w:val="22"/>
              </w:rPr>
              <w:t> </w:t>
            </w:r>
            <w:r>
              <w:rPr>
                <w:spacing w:val="-4"/>
                <w:sz w:val="22"/>
              </w:rPr>
              <w:t>days</w:t>
            </w:r>
          </w:p>
        </w:tc>
        <w:tc>
          <w:tcPr>
            <w:tcW w:w="2497" w:type="dxa"/>
          </w:tcPr>
          <w:p>
            <w:pPr>
              <w:pStyle w:val="TableParagraph"/>
              <w:spacing w:before="58"/>
              <w:ind w:left="78" w:right="73"/>
              <w:rPr>
                <w:sz w:val="22"/>
              </w:rPr>
            </w:pPr>
            <w:r>
              <w:rPr>
                <w:sz w:val="22"/>
              </w:rPr>
              <w:t>Sharpest</w:t>
            </w:r>
            <w:r>
              <w:rPr>
                <w:spacing w:val="-14"/>
                <w:sz w:val="22"/>
              </w:rPr>
              <w:t> </w:t>
            </w:r>
            <w:r>
              <w:rPr>
                <w:sz w:val="22"/>
              </w:rPr>
              <w:t>single-day</w:t>
            </w:r>
            <w:r>
              <w:rPr>
                <w:spacing w:val="-14"/>
                <w:sz w:val="22"/>
              </w:rPr>
              <w:t> </w:t>
            </w:r>
            <w:r>
              <w:rPr>
                <w:sz w:val="22"/>
              </w:rPr>
              <w:t>fall; highest post-event </w:t>
            </w:r>
            <w:r>
              <w:rPr>
                <w:spacing w:val="-2"/>
                <w:sz w:val="22"/>
              </w:rPr>
              <w:t>volatility</w:t>
            </w:r>
          </w:p>
        </w:tc>
      </w:tr>
      <w:tr>
        <w:trPr>
          <w:trHeight w:val="877" w:hRule="atLeast"/>
        </w:trPr>
        <w:tc>
          <w:tcPr>
            <w:tcW w:w="2603" w:type="dxa"/>
          </w:tcPr>
          <w:p>
            <w:pPr>
              <w:pStyle w:val="TableParagraph"/>
              <w:spacing w:before="55"/>
              <w:ind w:left="0"/>
              <w:jc w:val="left"/>
              <w:rPr>
                <w:b/>
                <w:sz w:val="22"/>
              </w:rPr>
            </w:pPr>
          </w:p>
          <w:p>
            <w:pPr>
              <w:pStyle w:val="TableParagraph"/>
              <w:spacing w:before="0"/>
              <w:jc w:val="left"/>
              <w:rPr>
                <w:sz w:val="22"/>
              </w:rPr>
            </w:pPr>
            <w:r>
              <w:rPr>
                <w:sz w:val="22"/>
              </w:rPr>
              <w:t>Russia-Ukraine</w:t>
            </w:r>
            <w:r>
              <w:rPr>
                <w:spacing w:val="-13"/>
                <w:sz w:val="22"/>
              </w:rPr>
              <w:t> </w:t>
            </w:r>
            <w:r>
              <w:rPr>
                <w:spacing w:val="-5"/>
                <w:sz w:val="22"/>
              </w:rPr>
              <w:t>War</w:t>
            </w:r>
          </w:p>
        </w:tc>
        <w:tc>
          <w:tcPr>
            <w:tcW w:w="1498" w:type="dxa"/>
          </w:tcPr>
          <w:p>
            <w:pPr>
              <w:pStyle w:val="TableParagraph"/>
              <w:spacing w:before="55"/>
              <w:ind w:left="0"/>
              <w:jc w:val="left"/>
              <w:rPr>
                <w:b/>
                <w:sz w:val="22"/>
              </w:rPr>
            </w:pPr>
          </w:p>
          <w:p>
            <w:pPr>
              <w:pStyle w:val="TableParagraph"/>
              <w:spacing w:before="0"/>
              <w:ind w:left="0"/>
              <w:rPr>
                <w:sz w:val="22"/>
              </w:rPr>
            </w:pPr>
            <w:r>
              <w:rPr>
                <w:spacing w:val="-2"/>
                <w:sz w:val="22"/>
              </w:rPr>
              <w:t>-</w:t>
            </w:r>
            <w:r>
              <w:rPr>
                <w:spacing w:val="-4"/>
                <w:sz w:val="22"/>
              </w:rPr>
              <w:t>4.78%</w:t>
            </w:r>
          </w:p>
        </w:tc>
        <w:tc>
          <w:tcPr>
            <w:tcW w:w="1901" w:type="dxa"/>
          </w:tcPr>
          <w:p>
            <w:pPr>
              <w:pStyle w:val="TableParagraph"/>
              <w:spacing w:before="55"/>
              <w:ind w:left="0"/>
              <w:jc w:val="left"/>
              <w:rPr>
                <w:b/>
                <w:sz w:val="22"/>
              </w:rPr>
            </w:pPr>
          </w:p>
          <w:p>
            <w:pPr>
              <w:pStyle w:val="TableParagraph"/>
              <w:spacing w:before="0"/>
              <w:ind w:left="14"/>
              <w:rPr>
                <w:sz w:val="22"/>
              </w:rPr>
            </w:pPr>
            <w:r>
              <w:rPr>
                <w:spacing w:val="-4"/>
                <w:sz w:val="22"/>
              </w:rPr>
              <w:t>1.09%</w:t>
            </w:r>
          </w:p>
        </w:tc>
        <w:tc>
          <w:tcPr>
            <w:tcW w:w="1503" w:type="dxa"/>
          </w:tcPr>
          <w:p>
            <w:pPr>
              <w:pStyle w:val="TableParagraph"/>
              <w:spacing w:before="178"/>
              <w:ind w:left="547" w:right="286" w:hanging="245"/>
              <w:jc w:val="left"/>
              <w:rPr>
                <w:sz w:val="22"/>
              </w:rPr>
            </w:pPr>
            <w:r>
              <w:rPr>
                <w:sz w:val="22"/>
              </w:rPr>
              <w:t>14</w:t>
            </w:r>
            <w:r>
              <w:rPr>
                <w:spacing w:val="-14"/>
                <w:sz w:val="22"/>
              </w:rPr>
              <w:t> </w:t>
            </w:r>
            <w:r>
              <w:rPr>
                <w:sz w:val="22"/>
              </w:rPr>
              <w:t>trading </w:t>
            </w:r>
            <w:r>
              <w:rPr>
                <w:spacing w:val="-4"/>
                <w:sz w:val="22"/>
              </w:rPr>
              <w:t>days</w:t>
            </w:r>
          </w:p>
        </w:tc>
        <w:tc>
          <w:tcPr>
            <w:tcW w:w="2497" w:type="dxa"/>
          </w:tcPr>
          <w:p>
            <w:pPr>
              <w:pStyle w:val="TableParagraph"/>
              <w:ind w:left="77" w:right="73"/>
              <w:rPr>
                <w:sz w:val="22"/>
              </w:rPr>
            </w:pPr>
            <w:r>
              <w:rPr>
                <w:sz w:val="22"/>
              </w:rPr>
              <w:t>Moderate</w:t>
            </w:r>
            <w:r>
              <w:rPr>
                <w:spacing w:val="-14"/>
                <w:sz w:val="22"/>
              </w:rPr>
              <w:t> </w:t>
            </w:r>
            <w:r>
              <w:rPr>
                <w:sz w:val="22"/>
              </w:rPr>
              <w:t>fall;</w:t>
            </w:r>
            <w:r>
              <w:rPr>
                <w:spacing w:val="-14"/>
                <w:sz w:val="22"/>
              </w:rPr>
              <w:t> </w:t>
            </w:r>
            <w:r>
              <w:rPr>
                <w:sz w:val="22"/>
              </w:rPr>
              <w:t>slowest recovery of the three </w:t>
            </w:r>
            <w:r>
              <w:rPr>
                <w:spacing w:val="-2"/>
                <w:sz w:val="22"/>
              </w:rPr>
              <w:t>events</w:t>
            </w:r>
          </w:p>
        </w:tc>
      </w:tr>
      <w:tr>
        <w:trPr>
          <w:trHeight w:val="623" w:hRule="atLeast"/>
        </w:trPr>
        <w:tc>
          <w:tcPr>
            <w:tcW w:w="2603" w:type="dxa"/>
          </w:tcPr>
          <w:p>
            <w:pPr>
              <w:pStyle w:val="TableParagraph"/>
              <w:ind w:right="59"/>
              <w:jc w:val="left"/>
              <w:rPr>
                <w:sz w:val="22"/>
              </w:rPr>
            </w:pPr>
            <w:r>
              <w:rPr>
                <w:sz w:val="22"/>
              </w:rPr>
              <w:t>India</w:t>
            </w:r>
            <w:r>
              <w:rPr>
                <w:spacing w:val="-14"/>
                <w:sz w:val="22"/>
              </w:rPr>
              <w:t> </w:t>
            </w:r>
            <w:r>
              <w:rPr>
                <w:sz w:val="22"/>
              </w:rPr>
              <w:t>General</w:t>
            </w:r>
            <w:r>
              <w:rPr>
                <w:spacing w:val="-14"/>
                <w:sz w:val="22"/>
              </w:rPr>
              <w:t> </w:t>
            </w:r>
            <w:r>
              <w:rPr>
                <w:sz w:val="22"/>
              </w:rPr>
              <w:t>Elections </w:t>
            </w:r>
            <w:r>
              <w:rPr>
                <w:spacing w:val="-4"/>
                <w:sz w:val="22"/>
              </w:rPr>
              <w:t>2024</w:t>
            </w:r>
          </w:p>
        </w:tc>
        <w:tc>
          <w:tcPr>
            <w:tcW w:w="1498" w:type="dxa"/>
          </w:tcPr>
          <w:p>
            <w:pPr>
              <w:pStyle w:val="TableParagraph"/>
              <w:spacing w:before="183"/>
              <w:ind w:left="0"/>
              <w:rPr>
                <w:sz w:val="22"/>
              </w:rPr>
            </w:pPr>
            <w:r>
              <w:rPr>
                <w:spacing w:val="-2"/>
                <w:sz w:val="22"/>
              </w:rPr>
              <w:t>-</w:t>
            </w:r>
            <w:r>
              <w:rPr>
                <w:spacing w:val="-4"/>
                <w:sz w:val="22"/>
              </w:rPr>
              <w:t>5.93%</w:t>
            </w:r>
          </w:p>
        </w:tc>
        <w:tc>
          <w:tcPr>
            <w:tcW w:w="1901" w:type="dxa"/>
          </w:tcPr>
          <w:p>
            <w:pPr>
              <w:pStyle w:val="TableParagraph"/>
              <w:spacing w:before="183"/>
              <w:ind w:left="14"/>
              <w:rPr>
                <w:sz w:val="22"/>
              </w:rPr>
            </w:pPr>
            <w:r>
              <w:rPr>
                <w:spacing w:val="-4"/>
                <w:sz w:val="22"/>
              </w:rPr>
              <w:t>0.98%</w:t>
            </w:r>
          </w:p>
        </w:tc>
        <w:tc>
          <w:tcPr>
            <w:tcW w:w="1503" w:type="dxa"/>
          </w:tcPr>
          <w:p>
            <w:pPr>
              <w:pStyle w:val="TableParagraph"/>
              <w:spacing w:before="183"/>
              <w:ind w:left="0"/>
              <w:rPr>
                <w:sz w:val="22"/>
              </w:rPr>
            </w:pPr>
            <w:r>
              <w:rPr>
                <w:sz w:val="22"/>
              </w:rPr>
              <w:t>3</w:t>
            </w:r>
            <w:r>
              <w:rPr>
                <w:spacing w:val="-4"/>
                <w:sz w:val="22"/>
              </w:rPr>
              <w:t> </w:t>
            </w:r>
            <w:r>
              <w:rPr>
                <w:sz w:val="22"/>
              </w:rPr>
              <w:t>trading</w:t>
            </w:r>
            <w:r>
              <w:rPr>
                <w:spacing w:val="-2"/>
                <w:sz w:val="22"/>
              </w:rPr>
              <w:t> </w:t>
            </w:r>
            <w:r>
              <w:rPr>
                <w:spacing w:val="-4"/>
                <w:sz w:val="22"/>
              </w:rPr>
              <w:t>days</w:t>
            </w:r>
          </w:p>
        </w:tc>
        <w:tc>
          <w:tcPr>
            <w:tcW w:w="2497" w:type="dxa"/>
          </w:tcPr>
          <w:p>
            <w:pPr>
              <w:pStyle w:val="TableParagraph"/>
              <w:ind w:left="139" w:firstLine="182"/>
              <w:jc w:val="left"/>
              <w:rPr>
                <w:sz w:val="22"/>
              </w:rPr>
            </w:pPr>
            <w:r>
              <w:rPr>
                <w:sz w:val="22"/>
              </w:rPr>
              <w:t>Sharp but short-lived reaction;</w:t>
            </w:r>
            <w:r>
              <w:rPr>
                <w:spacing w:val="-14"/>
                <w:sz w:val="22"/>
              </w:rPr>
              <w:t> </w:t>
            </w:r>
            <w:r>
              <w:rPr>
                <w:sz w:val="22"/>
              </w:rPr>
              <w:t>fastest</w:t>
            </w:r>
            <w:r>
              <w:rPr>
                <w:spacing w:val="-14"/>
                <w:sz w:val="22"/>
              </w:rPr>
              <w:t> </w:t>
            </w:r>
            <w:r>
              <w:rPr>
                <w:sz w:val="22"/>
              </w:rPr>
              <w:t>recovery</w:t>
            </w:r>
          </w:p>
        </w:tc>
      </w:tr>
    </w:tbl>
    <w:p>
      <w:pPr>
        <w:pStyle w:val="BodyText"/>
        <w:spacing w:line="360" w:lineRule="auto"/>
        <w:ind w:left="721" w:right="2162"/>
      </w:pPr>
      <w:r>
        <w:rPr/>
        <w:t>Both</w:t>
      </w:r>
      <w:r>
        <w:rPr>
          <w:spacing w:val="-6"/>
        </w:rPr>
        <w:t> </w:t>
      </w:r>
      <w:r>
        <w:rPr/>
        <w:t>Null</w:t>
      </w:r>
      <w:r>
        <w:rPr>
          <w:spacing w:val="-6"/>
        </w:rPr>
        <w:t> </w:t>
      </w:r>
      <w:r>
        <w:rPr/>
        <w:t>Hypotheses</w:t>
      </w:r>
      <w:r>
        <w:rPr>
          <w:spacing w:val="-4"/>
        </w:rPr>
        <w:t> </w:t>
      </w:r>
      <w:r>
        <w:rPr/>
        <w:t>(H0)</w:t>
      </w:r>
      <w:r>
        <w:rPr>
          <w:spacing w:val="-1"/>
        </w:rPr>
        <w:t> </w:t>
      </w:r>
      <w:r>
        <w:rPr/>
        <w:t>are</w:t>
      </w:r>
      <w:r>
        <w:rPr>
          <w:spacing w:val="-3"/>
        </w:rPr>
        <w:t> </w:t>
      </w:r>
      <w:r>
        <w:rPr/>
        <w:t>rejected</w:t>
      </w:r>
      <w:r>
        <w:rPr>
          <w:spacing w:val="-2"/>
        </w:rPr>
        <w:t> </w:t>
      </w:r>
      <w:r>
        <w:rPr/>
        <w:t>and both Alternative</w:t>
      </w:r>
      <w:r>
        <w:rPr>
          <w:spacing w:val="-3"/>
        </w:rPr>
        <w:t> </w:t>
      </w:r>
      <w:r>
        <w:rPr/>
        <w:t>Hypotheses</w:t>
      </w:r>
      <w:r>
        <w:rPr>
          <w:spacing w:val="-4"/>
        </w:rPr>
        <w:t> </w:t>
      </w:r>
      <w:r>
        <w:rPr/>
        <w:t>(H1)</w:t>
      </w:r>
      <w:r>
        <w:rPr>
          <w:spacing w:val="-1"/>
        </w:rPr>
        <w:t> </w:t>
      </w:r>
      <w:r>
        <w:rPr/>
        <w:t>are accepted: major</w:t>
      </w:r>
      <w:r>
        <w:rPr>
          <w:spacing w:val="-3"/>
        </w:rPr>
        <w:t> </w:t>
      </w:r>
      <w:r>
        <w:rPr/>
        <w:t>economic events</w:t>
      </w:r>
      <w:r>
        <w:rPr>
          <w:spacing w:val="-6"/>
        </w:rPr>
        <w:t> </w:t>
      </w:r>
      <w:r>
        <w:rPr/>
        <w:t>have a</w:t>
      </w:r>
      <w:r>
        <w:rPr>
          <w:spacing w:val="-5"/>
        </w:rPr>
        <w:t> </w:t>
      </w:r>
      <w:r>
        <w:rPr/>
        <w:t>significant negative impact on</w:t>
      </w:r>
      <w:r>
        <w:rPr>
          <w:spacing w:val="-8"/>
        </w:rPr>
        <w:t> </w:t>
      </w:r>
      <w:r>
        <w:rPr/>
        <w:t>NIFTY</w:t>
      </w:r>
      <w:r>
        <w:rPr>
          <w:spacing w:val="-5"/>
        </w:rPr>
        <w:t> </w:t>
      </w:r>
      <w:r>
        <w:rPr/>
        <w:t>50 performance,</w:t>
      </w:r>
      <w:r>
        <w:rPr>
          <w:spacing w:val="-3"/>
        </w:rPr>
        <w:t> </w:t>
      </w:r>
      <w:r>
        <w:rPr/>
        <w:t>and</w:t>
      </w:r>
      <w:r>
        <w:rPr>
          <w:spacing w:val="-6"/>
        </w:rPr>
        <w:t> </w:t>
      </w:r>
      <w:r>
        <w:rPr/>
        <w:t>the</w:t>
      </w:r>
      <w:r>
        <w:rPr>
          <w:spacing w:val="-4"/>
        </w:rPr>
        <w:t> </w:t>
      </w:r>
      <w:r>
        <w:rPr/>
        <w:t>recovery</w:t>
      </w:r>
      <w:r>
        <w:rPr>
          <w:spacing w:val="-11"/>
        </w:rPr>
        <w:t> </w:t>
      </w:r>
      <w:r>
        <w:rPr/>
        <w:t>pattern</w:t>
      </w:r>
      <w:r>
        <w:rPr>
          <w:spacing w:val="-7"/>
        </w:rPr>
        <w:t> </w:t>
      </w:r>
      <w:r>
        <w:rPr/>
        <w:t>differs</w:t>
      </w:r>
      <w:r>
        <w:rPr>
          <w:spacing w:val="-4"/>
        </w:rPr>
        <w:t> </w:t>
      </w:r>
      <w:r>
        <w:rPr/>
        <w:t>significantly</w:t>
      </w:r>
      <w:r>
        <w:rPr>
          <w:spacing w:val="-11"/>
        </w:rPr>
        <w:t> </w:t>
      </w:r>
      <w:r>
        <w:rPr/>
        <w:t>across</w:t>
      </w:r>
      <w:r>
        <w:rPr>
          <w:spacing w:val="-4"/>
        </w:rPr>
        <w:t> </w:t>
      </w:r>
      <w:r>
        <w:rPr/>
        <w:t>event</w:t>
      </w:r>
      <w:r>
        <w:rPr>
          <w:spacing w:val="3"/>
        </w:rPr>
        <w:t> </w:t>
      </w:r>
      <w:r>
        <w:rPr>
          <w:spacing w:val="-2"/>
        </w:rPr>
        <w:t>categories.</w:t>
      </w:r>
    </w:p>
    <w:p>
      <w:pPr>
        <w:pStyle w:val="BodyText"/>
        <w:spacing w:before="129"/>
        <w:jc w:val="left"/>
      </w:pPr>
    </w:p>
    <w:p>
      <w:pPr>
        <w:pStyle w:val="Heading1"/>
        <w:numPr>
          <w:ilvl w:val="0"/>
          <w:numId w:val="1"/>
        </w:numPr>
        <w:tabs>
          <w:tab w:pos="1003" w:val="left" w:leader="none"/>
        </w:tabs>
        <w:spacing w:line="240" w:lineRule="auto" w:before="0" w:after="0"/>
        <w:ind w:left="1003" w:right="0" w:hanging="282"/>
        <w:jc w:val="both"/>
      </w:pPr>
      <w:r>
        <w:rPr/>
        <w:t>FINDINGS</w:t>
      </w:r>
      <w:r>
        <w:rPr>
          <w:spacing w:val="-8"/>
        </w:rPr>
        <w:t> </w:t>
      </w:r>
      <w:r>
        <w:rPr/>
        <w:t>AND</w:t>
      </w:r>
      <w:r>
        <w:rPr>
          <w:spacing w:val="-6"/>
        </w:rPr>
        <w:t> </w:t>
      </w:r>
      <w:r>
        <w:rPr>
          <w:spacing w:val="-2"/>
        </w:rPr>
        <w:t>SUGGESTIONS</w:t>
      </w:r>
    </w:p>
    <w:p>
      <w:pPr>
        <w:pStyle w:val="Heading2"/>
        <w:numPr>
          <w:ilvl w:val="1"/>
          <w:numId w:val="1"/>
        </w:numPr>
        <w:tabs>
          <w:tab w:pos="1085" w:val="left" w:leader="none"/>
        </w:tabs>
        <w:spacing w:line="240" w:lineRule="auto" w:before="315" w:after="0"/>
        <w:ind w:left="1085" w:right="0" w:hanging="364"/>
        <w:jc w:val="both"/>
      </w:pPr>
      <w:r>
        <w:rPr>
          <w:spacing w:val="-2"/>
        </w:rPr>
        <w:t>Findings</w:t>
      </w:r>
    </w:p>
    <w:p>
      <w:pPr>
        <w:pStyle w:val="ListParagraph"/>
        <w:numPr>
          <w:ilvl w:val="2"/>
          <w:numId w:val="1"/>
        </w:numPr>
        <w:tabs>
          <w:tab w:pos="1441" w:val="left" w:leader="none"/>
        </w:tabs>
        <w:spacing w:line="362" w:lineRule="auto" w:before="176" w:after="0"/>
        <w:ind w:left="1441" w:right="2158" w:hanging="360"/>
        <w:jc w:val="both"/>
        <w:rPr>
          <w:sz w:val="24"/>
        </w:rPr>
      </w:pPr>
      <w:r>
        <w:rPr>
          <w:sz w:val="24"/>
        </w:rPr>
        <w:t>All three events produced a sharp, immediate, negative movement in the NIFTY 50</w:t>
      </w:r>
      <w:r>
        <w:rPr>
          <w:spacing w:val="-9"/>
          <w:sz w:val="24"/>
        </w:rPr>
        <w:t> </w:t>
      </w:r>
      <w:r>
        <w:rPr>
          <w:sz w:val="24"/>
        </w:rPr>
        <w:t>on</w:t>
      </w:r>
      <w:r>
        <w:rPr>
          <w:spacing w:val="-9"/>
          <w:sz w:val="24"/>
        </w:rPr>
        <w:t> </w:t>
      </w:r>
      <w:r>
        <w:rPr>
          <w:sz w:val="24"/>
        </w:rPr>
        <w:t>the event day. The COVID-19</w:t>
      </w:r>
      <w:r>
        <w:rPr>
          <w:spacing w:val="-4"/>
          <w:sz w:val="24"/>
        </w:rPr>
        <w:t> </w:t>
      </w:r>
      <w:r>
        <w:rPr>
          <w:sz w:val="24"/>
        </w:rPr>
        <w:t>Pandemic caused the steepest single-day fall (-12.98%), more than double the fall triggered by either of the other two events.</w:t>
      </w:r>
    </w:p>
    <w:p>
      <w:pPr>
        <w:pStyle w:val="ListParagraph"/>
        <w:numPr>
          <w:ilvl w:val="2"/>
          <w:numId w:val="1"/>
        </w:numPr>
        <w:tabs>
          <w:tab w:pos="1441" w:val="left" w:leader="none"/>
        </w:tabs>
        <w:spacing w:line="360" w:lineRule="auto" w:before="152" w:after="0"/>
        <w:ind w:left="1441" w:right="2154" w:hanging="360"/>
        <w:jc w:val="both"/>
        <w:rPr>
          <w:sz w:val="24"/>
        </w:rPr>
      </w:pPr>
      <w:r>
        <w:rPr>
          <w:sz w:val="24"/>
        </w:rPr>
        <w:t>The</w:t>
      </w:r>
      <w:r>
        <w:rPr>
          <w:spacing w:val="-15"/>
          <w:sz w:val="24"/>
        </w:rPr>
        <w:t> </w:t>
      </w:r>
      <w:r>
        <w:rPr>
          <w:sz w:val="24"/>
        </w:rPr>
        <w:t>India</w:t>
      </w:r>
      <w:r>
        <w:rPr>
          <w:spacing w:val="-13"/>
          <w:sz w:val="24"/>
        </w:rPr>
        <w:t> </w:t>
      </w:r>
      <w:r>
        <w:rPr>
          <w:sz w:val="24"/>
        </w:rPr>
        <w:t>General</w:t>
      </w:r>
      <w:r>
        <w:rPr>
          <w:spacing w:val="-15"/>
          <w:sz w:val="24"/>
        </w:rPr>
        <w:t> </w:t>
      </w:r>
      <w:r>
        <w:rPr>
          <w:sz w:val="24"/>
        </w:rPr>
        <w:t>Elections</w:t>
      </w:r>
      <w:r>
        <w:rPr>
          <w:spacing w:val="-14"/>
          <w:sz w:val="24"/>
        </w:rPr>
        <w:t> </w:t>
      </w:r>
      <w:r>
        <w:rPr>
          <w:sz w:val="24"/>
        </w:rPr>
        <w:t>2024</w:t>
      </w:r>
      <w:r>
        <w:rPr>
          <w:spacing w:val="-12"/>
          <w:sz w:val="24"/>
        </w:rPr>
        <w:t> </w:t>
      </w:r>
      <w:r>
        <w:rPr>
          <w:sz w:val="24"/>
        </w:rPr>
        <w:t>(-5.93%)</w:t>
      </w:r>
      <w:r>
        <w:rPr>
          <w:spacing w:val="-11"/>
          <w:sz w:val="24"/>
        </w:rPr>
        <w:t> </w:t>
      </w:r>
      <w:r>
        <w:rPr>
          <w:sz w:val="24"/>
        </w:rPr>
        <w:t>caused</w:t>
      </w:r>
      <w:r>
        <w:rPr>
          <w:spacing w:val="-12"/>
          <w:sz w:val="24"/>
        </w:rPr>
        <w:t> </w:t>
      </w:r>
      <w:r>
        <w:rPr>
          <w:sz w:val="24"/>
        </w:rPr>
        <w:t>a</w:t>
      </w:r>
      <w:r>
        <w:rPr>
          <w:spacing w:val="-9"/>
          <w:sz w:val="24"/>
        </w:rPr>
        <w:t> </w:t>
      </w:r>
      <w:r>
        <w:rPr>
          <w:sz w:val="24"/>
        </w:rPr>
        <w:t>marginally</w:t>
      </w:r>
      <w:r>
        <w:rPr>
          <w:spacing w:val="-15"/>
          <w:sz w:val="24"/>
        </w:rPr>
        <w:t> </w:t>
      </w:r>
      <w:r>
        <w:rPr>
          <w:sz w:val="24"/>
        </w:rPr>
        <w:t>sharper</w:t>
      </w:r>
      <w:r>
        <w:rPr>
          <w:spacing w:val="-6"/>
          <w:sz w:val="24"/>
        </w:rPr>
        <w:t> </w:t>
      </w:r>
      <w:r>
        <w:rPr>
          <w:sz w:val="24"/>
        </w:rPr>
        <w:t>fall than the Russia-Ukraine War (-4.78%), reflecting the market's strong reaction to a surprise coalition-government outcome rather than the anticipated result.</w:t>
      </w:r>
    </w:p>
    <w:p>
      <w:pPr>
        <w:pStyle w:val="ListParagraph"/>
        <w:numPr>
          <w:ilvl w:val="2"/>
          <w:numId w:val="1"/>
        </w:numPr>
        <w:tabs>
          <w:tab w:pos="1441" w:val="left" w:leader="none"/>
        </w:tabs>
        <w:spacing w:line="362" w:lineRule="auto" w:before="159" w:after="0"/>
        <w:ind w:left="1441" w:right="2151" w:hanging="360"/>
        <w:jc w:val="both"/>
        <w:rPr>
          <w:sz w:val="24"/>
        </w:rPr>
      </w:pPr>
      <w:r>
        <w:rPr>
          <w:sz w:val="24"/>
        </w:rPr>
        <w:t>The SPSS</w:t>
      </w:r>
      <w:r>
        <w:rPr>
          <w:spacing w:val="-2"/>
          <w:sz w:val="24"/>
        </w:rPr>
        <w:t> </w:t>
      </w:r>
      <w:r>
        <w:rPr>
          <w:sz w:val="24"/>
        </w:rPr>
        <w:t>paired-samples</w:t>
      </w:r>
      <w:r>
        <w:rPr>
          <w:spacing w:val="-1"/>
          <w:sz w:val="24"/>
        </w:rPr>
        <w:t> </w:t>
      </w:r>
      <w:r>
        <w:rPr>
          <w:sz w:val="24"/>
        </w:rPr>
        <w:t>t-test confirmed the rise in</w:t>
      </w:r>
      <w:r>
        <w:rPr>
          <w:spacing w:val="-3"/>
          <w:sz w:val="24"/>
        </w:rPr>
        <w:t> </w:t>
      </w:r>
      <w:r>
        <w:rPr>
          <w:sz w:val="24"/>
        </w:rPr>
        <w:t>daily</w:t>
      </w:r>
      <w:r>
        <w:rPr>
          <w:spacing w:val="-3"/>
          <w:sz w:val="24"/>
        </w:rPr>
        <w:t> </w:t>
      </w:r>
      <w:r>
        <w:rPr>
          <w:sz w:val="24"/>
        </w:rPr>
        <w:t>return</w:t>
      </w:r>
      <w:r>
        <w:rPr>
          <w:spacing w:val="-3"/>
          <w:sz w:val="24"/>
        </w:rPr>
        <w:t> </w:t>
      </w:r>
      <w:r>
        <w:rPr>
          <w:sz w:val="24"/>
        </w:rPr>
        <w:t>volatility from pre-event to post-event windows was statistically significant for all three events (p &lt; .05, COVID-19 significant at p = .001).</w:t>
      </w:r>
    </w:p>
    <w:p>
      <w:pPr>
        <w:pStyle w:val="ListParagraph"/>
        <w:spacing w:after="0" w:line="362" w:lineRule="auto"/>
        <w:jc w:val="both"/>
        <w:rPr>
          <w:sz w:val="24"/>
        </w:rPr>
        <w:sectPr>
          <w:pgSz w:w="12240" w:h="15840"/>
          <w:pgMar w:top="1820" w:bottom="280" w:left="1440" w:right="0"/>
        </w:sectPr>
      </w:pPr>
    </w:p>
    <w:p>
      <w:pPr>
        <w:pStyle w:val="BodyText"/>
        <w:spacing w:before="56"/>
        <w:jc w:val="left"/>
      </w:pPr>
    </w:p>
    <w:p>
      <w:pPr>
        <w:pStyle w:val="ListParagraph"/>
        <w:numPr>
          <w:ilvl w:val="2"/>
          <w:numId w:val="1"/>
        </w:numPr>
        <w:tabs>
          <w:tab w:pos="1441" w:val="left" w:leader="none"/>
        </w:tabs>
        <w:spacing w:line="362" w:lineRule="auto" w:before="0" w:after="0"/>
        <w:ind w:left="1441" w:right="2154" w:hanging="360"/>
        <w:jc w:val="both"/>
        <w:rPr>
          <w:sz w:val="24"/>
        </w:rPr>
      </w:pPr>
      <w:r>
        <w:rPr>
          <w:sz w:val="24"/>
        </w:rPr>
        <w:t>Recovery periods varied considerably — from 3 trading days (Elections 2024) to 14 trading days (Russia-Ukraine War) — with COVID-19 recovering</w:t>
      </w:r>
      <w:r>
        <w:rPr>
          <w:spacing w:val="-1"/>
          <w:sz w:val="24"/>
        </w:rPr>
        <w:t> </w:t>
      </w:r>
      <w:r>
        <w:rPr>
          <w:sz w:val="24"/>
        </w:rPr>
        <w:t>in</w:t>
      </w:r>
      <w:r>
        <w:rPr>
          <w:spacing w:val="-9"/>
          <w:sz w:val="24"/>
        </w:rPr>
        <w:t> </w:t>
      </w:r>
      <w:r>
        <w:rPr>
          <w:sz w:val="24"/>
        </w:rPr>
        <w:t>9</w:t>
      </w:r>
      <w:r>
        <w:rPr>
          <w:spacing w:val="-9"/>
          <w:sz w:val="24"/>
        </w:rPr>
        <w:t> </w:t>
      </w:r>
      <w:r>
        <w:rPr>
          <w:sz w:val="24"/>
        </w:rPr>
        <w:t>trading</w:t>
      </w:r>
      <w:r>
        <w:rPr>
          <w:spacing w:val="-5"/>
          <w:sz w:val="24"/>
        </w:rPr>
        <w:t> </w:t>
      </w:r>
      <w:r>
        <w:rPr>
          <w:sz w:val="24"/>
        </w:rPr>
        <w:t>days</w:t>
      </w:r>
      <w:r>
        <w:rPr>
          <w:spacing w:val="-7"/>
          <w:sz w:val="24"/>
        </w:rPr>
        <w:t> </w:t>
      </w:r>
      <w:r>
        <w:rPr>
          <w:sz w:val="24"/>
        </w:rPr>
        <w:t>despite</w:t>
      </w:r>
      <w:r>
        <w:rPr>
          <w:spacing w:val="-6"/>
          <w:sz w:val="24"/>
        </w:rPr>
        <w:t> </w:t>
      </w:r>
      <w:r>
        <w:rPr>
          <w:sz w:val="24"/>
        </w:rPr>
        <w:t>causing</w:t>
      </w:r>
      <w:r>
        <w:rPr>
          <w:spacing w:val="-5"/>
          <w:sz w:val="24"/>
        </w:rPr>
        <w:t> </w:t>
      </w:r>
      <w:r>
        <w:rPr>
          <w:sz w:val="24"/>
        </w:rPr>
        <w:t>by</w:t>
      </w:r>
      <w:r>
        <w:rPr>
          <w:spacing w:val="-5"/>
          <w:sz w:val="24"/>
        </w:rPr>
        <w:t> </w:t>
      </w:r>
      <w:r>
        <w:rPr>
          <w:sz w:val="24"/>
        </w:rPr>
        <w:t>far</w:t>
      </w:r>
      <w:r>
        <w:rPr>
          <w:spacing w:val="-4"/>
          <w:sz w:val="24"/>
        </w:rPr>
        <w:t> </w:t>
      </w:r>
      <w:r>
        <w:rPr>
          <w:sz w:val="24"/>
        </w:rPr>
        <w:t>the</w:t>
      </w:r>
      <w:r>
        <w:rPr>
          <w:spacing w:val="-6"/>
          <w:sz w:val="24"/>
        </w:rPr>
        <w:t> </w:t>
      </w:r>
      <w:r>
        <w:rPr>
          <w:sz w:val="24"/>
        </w:rPr>
        <w:t>largest fall,</w:t>
      </w:r>
      <w:r>
        <w:rPr>
          <w:spacing w:val="-3"/>
          <w:sz w:val="24"/>
        </w:rPr>
        <w:t> </w:t>
      </w:r>
      <w:r>
        <w:rPr>
          <w:sz w:val="24"/>
        </w:rPr>
        <w:t>showing that event category, not fall magnitude alone, governs recovery speed.</w:t>
      </w:r>
    </w:p>
    <w:p>
      <w:pPr>
        <w:pStyle w:val="ListParagraph"/>
        <w:numPr>
          <w:ilvl w:val="2"/>
          <w:numId w:val="1"/>
        </w:numPr>
        <w:tabs>
          <w:tab w:pos="1441" w:val="left" w:leader="none"/>
        </w:tabs>
        <w:spacing w:line="362" w:lineRule="auto" w:before="149" w:after="0"/>
        <w:ind w:left="1441" w:right="2160" w:hanging="360"/>
        <w:jc w:val="both"/>
        <w:rPr>
          <w:sz w:val="24"/>
        </w:rPr>
      </w:pPr>
      <w:r>
        <w:rPr>
          <w:sz w:val="24"/>
        </w:rPr>
        <w:t>Pearson correlation between pre-event and post-event daily returns was weak</w:t>
      </w:r>
      <w:r>
        <w:rPr>
          <w:spacing w:val="-3"/>
          <w:sz w:val="24"/>
        </w:rPr>
        <w:t> </w:t>
      </w:r>
      <w:r>
        <w:rPr>
          <w:sz w:val="24"/>
        </w:rPr>
        <w:t>and</w:t>
      </w:r>
      <w:r>
        <w:rPr>
          <w:spacing w:val="-2"/>
          <w:sz w:val="24"/>
        </w:rPr>
        <w:t> </w:t>
      </w:r>
      <w:r>
        <w:rPr>
          <w:sz w:val="24"/>
        </w:rPr>
        <w:t>statistically</w:t>
      </w:r>
      <w:r>
        <w:rPr>
          <w:spacing w:val="-8"/>
          <w:sz w:val="24"/>
        </w:rPr>
        <w:t> </w:t>
      </w:r>
      <w:r>
        <w:rPr>
          <w:sz w:val="24"/>
        </w:rPr>
        <w:t>insignificant for</w:t>
      </w:r>
      <w:r>
        <w:rPr>
          <w:spacing w:val="-6"/>
          <w:sz w:val="24"/>
        </w:rPr>
        <w:t> </w:t>
      </w:r>
      <w:r>
        <w:rPr>
          <w:sz w:val="24"/>
        </w:rPr>
        <w:t>all</w:t>
      </w:r>
      <w:r>
        <w:rPr>
          <w:spacing w:val="-12"/>
          <w:sz w:val="24"/>
        </w:rPr>
        <w:t> </w:t>
      </w:r>
      <w:r>
        <w:rPr>
          <w:sz w:val="24"/>
        </w:rPr>
        <w:t>three</w:t>
      </w:r>
      <w:r>
        <w:rPr>
          <w:spacing w:val="-4"/>
          <w:sz w:val="24"/>
        </w:rPr>
        <w:t> </w:t>
      </w:r>
      <w:r>
        <w:rPr>
          <w:sz w:val="24"/>
        </w:rPr>
        <w:t>events</w:t>
      </w:r>
      <w:r>
        <w:rPr>
          <w:spacing w:val="-5"/>
          <w:sz w:val="24"/>
        </w:rPr>
        <w:t> </w:t>
      </w:r>
      <w:r>
        <w:rPr>
          <w:sz w:val="24"/>
        </w:rPr>
        <w:t>(r</w:t>
      </w:r>
      <w:r>
        <w:rPr>
          <w:spacing w:val="-6"/>
          <w:sz w:val="24"/>
        </w:rPr>
        <w:t> </w:t>
      </w:r>
      <w:r>
        <w:rPr>
          <w:sz w:val="24"/>
        </w:rPr>
        <w:t>=</w:t>
      </w:r>
      <w:r>
        <w:rPr>
          <w:spacing w:val="-9"/>
          <w:sz w:val="24"/>
        </w:rPr>
        <w:t> </w:t>
      </w:r>
      <w:r>
        <w:rPr>
          <w:sz w:val="24"/>
        </w:rPr>
        <w:t>.142,</w:t>
      </w:r>
      <w:r>
        <w:rPr>
          <w:spacing w:val="-6"/>
          <w:sz w:val="24"/>
        </w:rPr>
        <w:t> </w:t>
      </w:r>
      <w:r>
        <w:rPr>
          <w:sz w:val="24"/>
        </w:rPr>
        <w:t>.098,</w:t>
      </w:r>
      <w:r>
        <w:rPr>
          <w:spacing w:val="-6"/>
          <w:sz w:val="24"/>
        </w:rPr>
        <w:t> </w:t>
      </w:r>
      <w:r>
        <w:rPr>
          <w:sz w:val="24"/>
        </w:rPr>
        <w:t>.187; all p &gt; .05), confirming each event triggers a distinct new phase of index </w:t>
      </w:r>
      <w:r>
        <w:rPr>
          <w:spacing w:val="-2"/>
          <w:sz w:val="24"/>
        </w:rPr>
        <w:t>behaviour.</w:t>
      </w:r>
    </w:p>
    <w:p>
      <w:pPr>
        <w:pStyle w:val="ListParagraph"/>
        <w:numPr>
          <w:ilvl w:val="2"/>
          <w:numId w:val="1"/>
        </w:numPr>
        <w:tabs>
          <w:tab w:pos="1441" w:val="left" w:leader="none"/>
        </w:tabs>
        <w:spacing w:line="360" w:lineRule="auto" w:before="152" w:after="0"/>
        <w:ind w:left="1441" w:right="2151" w:hanging="360"/>
        <w:jc w:val="both"/>
        <w:rPr>
          <w:sz w:val="24"/>
        </w:rPr>
      </w:pPr>
      <w:r>
        <w:rPr>
          <w:sz w:val="24"/>
        </w:rPr>
        <w:t>Health-crisis events produced the most severe immediate shock; geopolitical</w:t>
      </w:r>
      <w:r>
        <w:rPr>
          <w:spacing w:val="-15"/>
          <w:sz w:val="24"/>
        </w:rPr>
        <w:t> </w:t>
      </w:r>
      <w:r>
        <w:rPr>
          <w:sz w:val="24"/>
        </w:rPr>
        <w:t>events</w:t>
      </w:r>
      <w:r>
        <w:rPr>
          <w:spacing w:val="-15"/>
          <w:sz w:val="24"/>
        </w:rPr>
        <w:t> </w:t>
      </w:r>
      <w:r>
        <w:rPr>
          <w:sz w:val="24"/>
        </w:rPr>
        <w:t>caused</w:t>
      </w:r>
      <w:r>
        <w:rPr>
          <w:spacing w:val="-15"/>
          <w:sz w:val="24"/>
        </w:rPr>
        <w:t> </w:t>
      </w:r>
      <w:r>
        <w:rPr>
          <w:sz w:val="24"/>
        </w:rPr>
        <w:t>the</w:t>
      </w:r>
      <w:r>
        <w:rPr>
          <w:spacing w:val="-15"/>
          <w:sz w:val="24"/>
        </w:rPr>
        <w:t> </w:t>
      </w:r>
      <w:r>
        <w:rPr>
          <w:sz w:val="24"/>
        </w:rPr>
        <w:t>most</w:t>
      </w:r>
      <w:r>
        <w:rPr>
          <w:spacing w:val="-15"/>
          <w:sz w:val="24"/>
        </w:rPr>
        <w:t> </w:t>
      </w:r>
      <w:r>
        <w:rPr>
          <w:sz w:val="24"/>
        </w:rPr>
        <w:t>prolonged</w:t>
      </w:r>
      <w:r>
        <w:rPr>
          <w:spacing w:val="-15"/>
          <w:sz w:val="24"/>
        </w:rPr>
        <w:t> </w:t>
      </w:r>
      <w:r>
        <w:rPr>
          <w:sz w:val="24"/>
        </w:rPr>
        <w:t>disruption;</w:t>
      </w:r>
      <w:r>
        <w:rPr>
          <w:spacing w:val="-15"/>
          <w:sz w:val="24"/>
        </w:rPr>
        <w:t> </w:t>
      </w:r>
      <w:r>
        <w:rPr>
          <w:sz w:val="24"/>
        </w:rPr>
        <w:t>political-electoral events,</w:t>
      </w:r>
      <w:r>
        <w:rPr>
          <w:spacing w:val="-15"/>
          <w:sz w:val="24"/>
        </w:rPr>
        <w:t> </w:t>
      </w:r>
      <w:r>
        <w:rPr>
          <w:sz w:val="24"/>
        </w:rPr>
        <w:t>despite</w:t>
      </w:r>
      <w:r>
        <w:rPr>
          <w:spacing w:val="-15"/>
          <w:sz w:val="24"/>
        </w:rPr>
        <w:t> </w:t>
      </w:r>
      <w:r>
        <w:rPr>
          <w:sz w:val="24"/>
        </w:rPr>
        <w:t>a</w:t>
      </w:r>
      <w:r>
        <w:rPr>
          <w:spacing w:val="-15"/>
          <w:sz w:val="24"/>
        </w:rPr>
        <w:t> </w:t>
      </w:r>
      <w:r>
        <w:rPr>
          <w:sz w:val="24"/>
        </w:rPr>
        <w:t>comparably</w:t>
      </w:r>
      <w:r>
        <w:rPr>
          <w:spacing w:val="-17"/>
          <w:sz w:val="24"/>
        </w:rPr>
        <w:t> </w:t>
      </w:r>
      <w:r>
        <w:rPr>
          <w:sz w:val="24"/>
        </w:rPr>
        <w:t>sharp</w:t>
      </w:r>
      <w:r>
        <w:rPr>
          <w:spacing w:val="-15"/>
          <w:sz w:val="24"/>
        </w:rPr>
        <w:t> </w:t>
      </w:r>
      <w:r>
        <w:rPr>
          <w:sz w:val="24"/>
        </w:rPr>
        <w:t>fall,</w:t>
      </w:r>
      <w:r>
        <w:rPr>
          <w:spacing w:val="-15"/>
          <w:sz w:val="24"/>
        </w:rPr>
        <w:t> </w:t>
      </w:r>
      <w:r>
        <w:rPr>
          <w:sz w:val="24"/>
        </w:rPr>
        <w:t>were</w:t>
      </w:r>
      <w:r>
        <w:rPr>
          <w:spacing w:val="-15"/>
          <w:sz w:val="24"/>
        </w:rPr>
        <w:t> </w:t>
      </w:r>
      <w:r>
        <w:rPr>
          <w:sz w:val="24"/>
        </w:rPr>
        <w:t>absorbed</w:t>
      </w:r>
      <w:r>
        <w:rPr>
          <w:spacing w:val="-15"/>
          <w:sz w:val="24"/>
        </w:rPr>
        <w:t> </w:t>
      </w:r>
      <w:r>
        <w:rPr>
          <w:sz w:val="24"/>
        </w:rPr>
        <w:t>fastest</w:t>
      </w:r>
      <w:r>
        <w:rPr>
          <w:spacing w:val="-15"/>
          <w:sz w:val="24"/>
        </w:rPr>
        <w:t> </w:t>
      </w:r>
      <w:r>
        <w:rPr>
          <w:sz w:val="24"/>
        </w:rPr>
        <w:t>by</w:t>
      </w:r>
      <w:r>
        <w:rPr>
          <w:spacing w:val="-22"/>
          <w:sz w:val="24"/>
        </w:rPr>
        <w:t> </w:t>
      </w:r>
      <w:r>
        <w:rPr>
          <w:sz w:val="24"/>
        </w:rPr>
        <w:t>the</w:t>
      </w:r>
      <w:r>
        <w:rPr>
          <w:spacing w:val="-15"/>
          <w:sz w:val="24"/>
        </w:rPr>
        <w:t> </w:t>
      </w:r>
      <w:r>
        <w:rPr>
          <w:sz w:val="24"/>
        </w:rPr>
        <w:t>market.</w:t>
      </w:r>
    </w:p>
    <w:p>
      <w:pPr>
        <w:pStyle w:val="BodyText"/>
        <w:spacing w:before="48"/>
        <w:jc w:val="left"/>
      </w:pPr>
    </w:p>
    <w:p>
      <w:pPr>
        <w:pStyle w:val="Heading2"/>
        <w:numPr>
          <w:ilvl w:val="1"/>
          <w:numId w:val="1"/>
        </w:numPr>
        <w:tabs>
          <w:tab w:pos="1085" w:val="left" w:leader="none"/>
        </w:tabs>
        <w:spacing w:line="240" w:lineRule="auto" w:before="0" w:after="0"/>
        <w:ind w:left="1085" w:right="0" w:hanging="364"/>
        <w:jc w:val="left"/>
      </w:pPr>
      <w:r>
        <w:rPr>
          <w:spacing w:val="-2"/>
        </w:rPr>
        <w:t>Suggestions</w:t>
      </w:r>
    </w:p>
    <w:p>
      <w:pPr>
        <w:spacing w:before="185"/>
        <w:ind w:left="721" w:right="0" w:firstLine="0"/>
        <w:jc w:val="both"/>
        <w:rPr>
          <w:b/>
          <w:sz w:val="24"/>
        </w:rPr>
      </w:pPr>
      <w:r>
        <w:rPr>
          <w:b/>
          <w:sz w:val="24"/>
        </w:rPr>
        <w:t>For</w:t>
      </w:r>
      <w:r>
        <w:rPr>
          <w:b/>
          <w:spacing w:val="-4"/>
          <w:sz w:val="24"/>
        </w:rPr>
        <w:t> </w:t>
      </w:r>
      <w:r>
        <w:rPr>
          <w:b/>
          <w:sz w:val="24"/>
        </w:rPr>
        <w:t>Retail</w:t>
      </w:r>
      <w:r>
        <w:rPr>
          <w:b/>
          <w:spacing w:val="-2"/>
          <w:sz w:val="24"/>
        </w:rPr>
        <w:t> Investors:</w:t>
      </w:r>
    </w:p>
    <w:p>
      <w:pPr>
        <w:pStyle w:val="BodyText"/>
        <w:spacing w:before="14"/>
        <w:jc w:val="left"/>
        <w:rPr>
          <w:b/>
        </w:rPr>
      </w:pPr>
    </w:p>
    <w:p>
      <w:pPr>
        <w:pStyle w:val="ListParagraph"/>
        <w:numPr>
          <w:ilvl w:val="2"/>
          <w:numId w:val="1"/>
        </w:numPr>
        <w:tabs>
          <w:tab w:pos="1441" w:val="left" w:leader="none"/>
        </w:tabs>
        <w:spacing w:line="362" w:lineRule="auto" w:before="0" w:after="0"/>
        <w:ind w:left="1441" w:right="2157" w:hanging="360"/>
        <w:jc w:val="both"/>
        <w:rPr>
          <w:sz w:val="24"/>
        </w:rPr>
      </w:pPr>
      <w:r>
        <w:rPr>
          <w:sz w:val="24"/>
        </w:rPr>
        <w:t>Avoid panic-selling on the event day itself, as the sharpest fall typically occurs</w:t>
      </w:r>
      <w:r>
        <w:rPr>
          <w:spacing w:val="-3"/>
          <w:sz w:val="24"/>
        </w:rPr>
        <w:t> </w:t>
      </w:r>
      <w:r>
        <w:rPr>
          <w:sz w:val="24"/>
        </w:rPr>
        <w:t>within</w:t>
      </w:r>
      <w:r>
        <w:rPr>
          <w:spacing w:val="-1"/>
          <w:sz w:val="24"/>
        </w:rPr>
        <w:t> </w:t>
      </w:r>
      <w:r>
        <w:rPr>
          <w:sz w:val="24"/>
        </w:rPr>
        <w:t>a single</w:t>
      </w:r>
      <w:r>
        <w:rPr>
          <w:spacing w:val="-2"/>
          <w:sz w:val="24"/>
        </w:rPr>
        <w:t> </w:t>
      </w:r>
      <w:r>
        <w:rPr>
          <w:sz w:val="24"/>
        </w:rPr>
        <w:t>trading session</w:t>
      </w:r>
      <w:r>
        <w:rPr>
          <w:spacing w:val="-6"/>
          <w:sz w:val="24"/>
        </w:rPr>
        <w:t> </w:t>
      </w:r>
      <w:r>
        <w:rPr>
          <w:sz w:val="24"/>
        </w:rPr>
        <w:t>and is</w:t>
      </w:r>
      <w:r>
        <w:rPr>
          <w:spacing w:val="-3"/>
          <w:sz w:val="24"/>
        </w:rPr>
        <w:t> </w:t>
      </w:r>
      <w:r>
        <w:rPr>
          <w:sz w:val="24"/>
        </w:rPr>
        <w:t>often</w:t>
      </w:r>
      <w:r>
        <w:rPr>
          <w:spacing w:val="-1"/>
          <w:sz w:val="24"/>
        </w:rPr>
        <w:t> </w:t>
      </w:r>
      <w:r>
        <w:rPr>
          <w:sz w:val="24"/>
        </w:rPr>
        <w:t>followed by</w:t>
      </w:r>
      <w:r>
        <w:rPr>
          <w:spacing w:val="-6"/>
          <w:sz w:val="24"/>
        </w:rPr>
        <w:t> </w:t>
      </w:r>
      <w:r>
        <w:rPr>
          <w:sz w:val="24"/>
        </w:rPr>
        <w:t>a</w:t>
      </w:r>
      <w:r>
        <w:rPr>
          <w:spacing w:val="-2"/>
          <w:sz w:val="24"/>
        </w:rPr>
        <w:t> </w:t>
      </w:r>
      <w:r>
        <w:rPr>
          <w:sz w:val="24"/>
        </w:rPr>
        <w:t>structured recovery rather than a permanent loss of value.</w:t>
      </w:r>
    </w:p>
    <w:p>
      <w:pPr>
        <w:pStyle w:val="ListParagraph"/>
        <w:numPr>
          <w:ilvl w:val="2"/>
          <w:numId w:val="1"/>
        </w:numPr>
        <w:tabs>
          <w:tab w:pos="1441" w:val="left" w:leader="none"/>
        </w:tabs>
        <w:spacing w:line="362" w:lineRule="auto" w:before="152" w:after="0"/>
        <w:ind w:left="1441" w:right="2155" w:hanging="360"/>
        <w:jc w:val="both"/>
        <w:rPr>
          <w:sz w:val="24"/>
        </w:rPr>
      </w:pPr>
      <w:r>
        <w:rPr>
          <w:sz w:val="24"/>
        </w:rPr>
        <w:t>Treat election-related market reactions as short-term, high-volatility episodes that historically resolve within about a week once political uncertainty is settled.</w:t>
      </w:r>
    </w:p>
    <w:p>
      <w:pPr>
        <w:pStyle w:val="ListParagraph"/>
        <w:numPr>
          <w:ilvl w:val="2"/>
          <w:numId w:val="1"/>
        </w:numPr>
        <w:tabs>
          <w:tab w:pos="1441" w:val="left" w:leader="none"/>
        </w:tabs>
        <w:spacing w:line="360" w:lineRule="auto" w:before="152" w:after="0"/>
        <w:ind w:left="1441" w:right="2156" w:hanging="360"/>
        <w:jc w:val="both"/>
        <w:rPr>
          <w:sz w:val="24"/>
        </w:rPr>
      </w:pPr>
      <w:r>
        <w:rPr>
          <w:sz w:val="24"/>
        </w:rPr>
        <w:t>Build a higher cash</w:t>
      </w:r>
      <w:r>
        <w:rPr>
          <w:spacing w:val="-1"/>
          <w:sz w:val="24"/>
        </w:rPr>
        <w:t> </w:t>
      </w:r>
      <w:r>
        <w:rPr>
          <w:sz w:val="24"/>
        </w:rPr>
        <w:t>or liquid-asset buffer ahead of anticipated geopolitical flashpoints, given that the Russia-Ukraine War recorded the longest recovery period of the three events studied.</w:t>
      </w:r>
    </w:p>
    <w:p>
      <w:pPr>
        <w:pStyle w:val="Heading2"/>
        <w:spacing w:before="170"/>
        <w:ind w:left="721" w:firstLine="0"/>
      </w:pPr>
      <w:r>
        <w:rPr/>
        <w:t>For</w:t>
      </w:r>
      <w:r>
        <w:rPr>
          <w:spacing w:val="-10"/>
        </w:rPr>
        <w:t> </w:t>
      </w:r>
      <w:r>
        <w:rPr/>
        <w:t>Demat</w:t>
      </w:r>
      <w:r>
        <w:rPr>
          <w:spacing w:val="-1"/>
        </w:rPr>
        <w:t> </w:t>
      </w:r>
      <w:r>
        <w:rPr/>
        <w:t>Share</w:t>
      </w:r>
      <w:r>
        <w:rPr>
          <w:spacing w:val="-3"/>
        </w:rPr>
        <w:t> </w:t>
      </w:r>
      <w:r>
        <w:rPr/>
        <w:t>Solutions</w:t>
      </w:r>
      <w:r>
        <w:rPr>
          <w:spacing w:val="-3"/>
        </w:rPr>
        <w:t> </w:t>
      </w:r>
      <w:r>
        <w:rPr/>
        <w:t>and</w:t>
      </w:r>
      <w:r>
        <w:rPr>
          <w:spacing w:val="-2"/>
        </w:rPr>
        <w:t> </w:t>
      </w:r>
      <w:r>
        <w:rPr/>
        <w:t>Financial</w:t>
      </w:r>
      <w:r>
        <w:rPr>
          <w:spacing w:val="-6"/>
        </w:rPr>
        <w:t> </w:t>
      </w:r>
      <w:r>
        <w:rPr/>
        <w:t>Advisory</w:t>
      </w:r>
      <w:r>
        <w:rPr>
          <w:spacing w:val="-1"/>
        </w:rPr>
        <w:t> </w:t>
      </w:r>
      <w:r>
        <w:rPr>
          <w:spacing w:val="-2"/>
        </w:rPr>
        <w:t>Firms:</w:t>
      </w:r>
    </w:p>
    <w:p>
      <w:pPr>
        <w:pStyle w:val="Heading2"/>
        <w:spacing w:after="0"/>
        <w:sectPr>
          <w:pgSz w:w="12240" w:h="15840"/>
          <w:pgMar w:top="1820" w:bottom="280" w:left="1440" w:right="0"/>
        </w:sectPr>
      </w:pPr>
    </w:p>
    <w:p>
      <w:pPr>
        <w:pStyle w:val="BodyText"/>
        <w:spacing w:before="56"/>
        <w:jc w:val="left"/>
        <w:rPr>
          <w:b/>
        </w:rPr>
      </w:pPr>
    </w:p>
    <w:p>
      <w:pPr>
        <w:pStyle w:val="ListParagraph"/>
        <w:numPr>
          <w:ilvl w:val="2"/>
          <w:numId w:val="1"/>
        </w:numPr>
        <w:tabs>
          <w:tab w:pos="1441" w:val="left" w:leader="none"/>
        </w:tabs>
        <w:spacing w:line="362" w:lineRule="auto" w:before="0" w:after="0"/>
        <w:ind w:left="1441" w:right="2163" w:hanging="360"/>
        <w:jc w:val="both"/>
        <w:rPr>
          <w:sz w:val="24"/>
        </w:rPr>
      </w:pPr>
      <w:r>
        <w:rPr>
          <w:sz w:val="24"/>
        </w:rPr>
        <w:t>Develop an internal “event playbook” that classifies upcoming known events</w:t>
      </w:r>
      <w:r>
        <w:rPr>
          <w:spacing w:val="-3"/>
          <w:sz w:val="24"/>
        </w:rPr>
        <w:t> </w:t>
      </w:r>
      <w:r>
        <w:rPr>
          <w:sz w:val="24"/>
        </w:rPr>
        <w:t>by</w:t>
      </w:r>
      <w:r>
        <w:rPr>
          <w:spacing w:val="-9"/>
          <w:sz w:val="24"/>
        </w:rPr>
        <w:t> </w:t>
      </w:r>
      <w:r>
        <w:rPr>
          <w:sz w:val="24"/>
        </w:rPr>
        <w:t>category, so client advisories</w:t>
      </w:r>
      <w:r>
        <w:rPr>
          <w:spacing w:val="-3"/>
          <w:sz w:val="24"/>
        </w:rPr>
        <w:t> </w:t>
      </w:r>
      <w:r>
        <w:rPr>
          <w:sz w:val="24"/>
        </w:rPr>
        <w:t>can</w:t>
      </w:r>
      <w:r>
        <w:rPr>
          <w:spacing w:val="-4"/>
          <w:sz w:val="24"/>
        </w:rPr>
        <w:t> </w:t>
      </w:r>
      <w:r>
        <w:rPr>
          <w:sz w:val="24"/>
        </w:rPr>
        <w:t>set differentiated</w:t>
      </w:r>
      <w:r>
        <w:rPr>
          <w:spacing w:val="-1"/>
          <w:sz w:val="24"/>
        </w:rPr>
        <w:t> </w:t>
      </w:r>
      <w:r>
        <w:rPr>
          <w:sz w:val="24"/>
        </w:rPr>
        <w:t>volatility</w:t>
      </w:r>
      <w:r>
        <w:rPr>
          <w:spacing w:val="-9"/>
          <w:sz w:val="24"/>
        </w:rPr>
        <w:t> </w:t>
      </w:r>
      <w:r>
        <w:rPr>
          <w:sz w:val="24"/>
        </w:rPr>
        <w:t>and recovery-time expectations.</w:t>
      </w:r>
    </w:p>
    <w:p>
      <w:pPr>
        <w:pStyle w:val="ListParagraph"/>
        <w:numPr>
          <w:ilvl w:val="2"/>
          <w:numId w:val="1"/>
        </w:numPr>
        <w:tabs>
          <w:tab w:pos="1441" w:val="left" w:leader="none"/>
        </w:tabs>
        <w:spacing w:line="362" w:lineRule="auto" w:before="152" w:after="0"/>
        <w:ind w:left="1441" w:right="2155" w:hanging="360"/>
        <w:jc w:val="both"/>
        <w:rPr>
          <w:sz w:val="24"/>
        </w:rPr>
      </w:pPr>
      <w:r>
        <w:rPr>
          <w:sz w:val="24"/>
        </w:rPr>
        <w:t>Use the confirmed post-event volatility spike to proactively advise clients trading in derivatives to reduce leverage and tighten stop-losses in the 30-day window following any major economic event.</w:t>
      </w:r>
    </w:p>
    <w:p>
      <w:pPr>
        <w:pStyle w:val="ListParagraph"/>
        <w:numPr>
          <w:ilvl w:val="2"/>
          <w:numId w:val="1"/>
        </w:numPr>
        <w:tabs>
          <w:tab w:pos="1441" w:val="left" w:leader="none"/>
        </w:tabs>
        <w:spacing w:line="362" w:lineRule="auto" w:before="152" w:after="0"/>
        <w:ind w:left="1441" w:right="2160" w:hanging="360"/>
        <w:jc w:val="both"/>
        <w:rPr>
          <w:sz w:val="24"/>
        </w:rPr>
      </w:pPr>
      <w:r>
        <w:rPr>
          <w:sz w:val="24"/>
        </w:rPr>
        <w:t>Incorporate</w:t>
      </w:r>
      <w:r>
        <w:rPr>
          <w:spacing w:val="-8"/>
          <w:sz w:val="24"/>
        </w:rPr>
        <w:t> </w:t>
      </w:r>
      <w:r>
        <w:rPr>
          <w:sz w:val="24"/>
        </w:rPr>
        <w:t>recovery-period</w:t>
      </w:r>
      <w:r>
        <w:rPr>
          <w:spacing w:val="-4"/>
          <w:sz w:val="24"/>
        </w:rPr>
        <w:t> </w:t>
      </w:r>
      <w:r>
        <w:rPr>
          <w:sz w:val="24"/>
        </w:rPr>
        <w:t>benchmarks</w:t>
      </w:r>
      <w:r>
        <w:rPr>
          <w:spacing w:val="-1"/>
          <w:sz w:val="24"/>
        </w:rPr>
        <w:t> </w:t>
      </w:r>
      <w:r>
        <w:rPr>
          <w:sz w:val="24"/>
        </w:rPr>
        <w:t>into</w:t>
      </w:r>
      <w:r>
        <w:rPr>
          <w:spacing w:val="-4"/>
          <w:sz w:val="24"/>
        </w:rPr>
        <w:t> </w:t>
      </w:r>
      <w:r>
        <w:rPr>
          <w:sz w:val="24"/>
        </w:rPr>
        <w:t>client</w:t>
      </w:r>
      <w:r>
        <w:rPr>
          <w:spacing w:val="-3"/>
          <w:sz w:val="24"/>
        </w:rPr>
        <w:t> </w:t>
      </w:r>
      <w:r>
        <w:rPr>
          <w:sz w:val="24"/>
        </w:rPr>
        <w:t>communication</w:t>
      </w:r>
      <w:r>
        <w:rPr>
          <w:spacing w:val="-7"/>
          <w:sz w:val="24"/>
        </w:rPr>
        <w:t> </w:t>
      </w:r>
      <w:r>
        <w:rPr>
          <w:sz w:val="24"/>
        </w:rPr>
        <w:t>during market corrections to help retain client confidence and discourage panic-driven exits.</w:t>
      </w:r>
    </w:p>
    <w:p>
      <w:pPr>
        <w:pStyle w:val="Heading2"/>
        <w:spacing w:before="162"/>
        <w:ind w:left="721" w:firstLine="0"/>
      </w:pPr>
      <w:r>
        <w:rPr/>
        <w:t>For</w:t>
      </w:r>
      <w:r>
        <w:rPr>
          <w:spacing w:val="-6"/>
        </w:rPr>
        <w:t> </w:t>
      </w:r>
      <w:r>
        <w:rPr/>
        <w:t>Policymakers</w:t>
      </w:r>
      <w:r>
        <w:rPr>
          <w:spacing w:val="-2"/>
        </w:rPr>
        <w:t> </w:t>
      </w:r>
      <w:r>
        <w:rPr/>
        <w:t>and</w:t>
      </w:r>
      <w:r>
        <w:rPr>
          <w:spacing w:val="1"/>
        </w:rPr>
        <w:t> </w:t>
      </w:r>
      <w:r>
        <w:rPr>
          <w:spacing w:val="-2"/>
        </w:rPr>
        <w:t>Regulators:</w:t>
      </w:r>
    </w:p>
    <w:p>
      <w:pPr>
        <w:pStyle w:val="BodyText"/>
        <w:spacing w:before="14"/>
        <w:jc w:val="left"/>
        <w:rPr>
          <w:b/>
        </w:rPr>
      </w:pPr>
    </w:p>
    <w:p>
      <w:pPr>
        <w:pStyle w:val="ListParagraph"/>
        <w:numPr>
          <w:ilvl w:val="2"/>
          <w:numId w:val="1"/>
        </w:numPr>
        <w:tabs>
          <w:tab w:pos="1441" w:val="left" w:leader="none"/>
        </w:tabs>
        <w:spacing w:line="362" w:lineRule="auto" w:before="0" w:after="0"/>
        <w:ind w:left="1441" w:right="2155" w:hanging="360"/>
        <w:jc w:val="both"/>
        <w:rPr>
          <w:sz w:val="24"/>
        </w:rPr>
      </w:pPr>
      <w:r>
        <w:rPr>
          <w:sz w:val="24"/>
        </w:rPr>
        <w:t>Continue strengthening circuit-breaker and market-stabilisation mechanisms around anticipated high-impact events such as elections and Union Budget announcements.</w:t>
      </w:r>
    </w:p>
    <w:p>
      <w:pPr>
        <w:pStyle w:val="ListParagraph"/>
        <w:numPr>
          <w:ilvl w:val="2"/>
          <w:numId w:val="1"/>
        </w:numPr>
        <w:tabs>
          <w:tab w:pos="1441" w:val="left" w:leader="none"/>
        </w:tabs>
        <w:spacing w:line="362" w:lineRule="auto" w:before="152" w:after="0"/>
        <w:ind w:left="1441" w:right="2160" w:hanging="360"/>
        <w:jc w:val="both"/>
        <w:rPr>
          <w:sz w:val="24"/>
        </w:rPr>
      </w:pPr>
      <w:r>
        <w:rPr>
          <w:sz w:val="24"/>
        </w:rPr>
        <w:t>Consider targeted investor-awareness communication during geopolitical shock periods specifically, given the longer recovery period observed for this category.</w:t>
      </w:r>
    </w:p>
    <w:p>
      <w:pPr>
        <w:pStyle w:val="BodyText"/>
        <w:spacing w:before="39"/>
        <w:jc w:val="left"/>
      </w:pPr>
    </w:p>
    <w:p>
      <w:pPr>
        <w:pStyle w:val="Heading2"/>
        <w:numPr>
          <w:ilvl w:val="1"/>
          <w:numId w:val="1"/>
        </w:numPr>
        <w:tabs>
          <w:tab w:pos="1085" w:val="left" w:leader="none"/>
        </w:tabs>
        <w:spacing w:line="240" w:lineRule="auto" w:before="0" w:after="0"/>
        <w:ind w:left="1085" w:right="0" w:hanging="364"/>
        <w:jc w:val="both"/>
      </w:pPr>
      <w:r>
        <w:rPr/>
        <w:t>Discussion</w:t>
      </w:r>
      <w:r>
        <w:rPr>
          <w:spacing w:val="-1"/>
        </w:rPr>
        <w:t> </w:t>
      </w:r>
      <w:r>
        <w:rPr/>
        <w:t>of</w:t>
      </w:r>
      <w:r>
        <w:rPr>
          <w:spacing w:val="-4"/>
        </w:rPr>
        <w:t> </w:t>
      </w:r>
      <w:r>
        <w:rPr/>
        <w:t>Findings</w:t>
      </w:r>
      <w:r>
        <w:rPr>
          <w:spacing w:val="-3"/>
        </w:rPr>
        <w:t> </w:t>
      </w:r>
      <w:r>
        <w:rPr/>
        <w:t>in</w:t>
      </w:r>
      <w:r>
        <w:rPr>
          <w:spacing w:val="-1"/>
        </w:rPr>
        <w:t> </w:t>
      </w:r>
      <w:r>
        <w:rPr/>
        <w:t>Relation</w:t>
      </w:r>
      <w:r>
        <w:rPr>
          <w:spacing w:val="-5"/>
        </w:rPr>
        <w:t> </w:t>
      </w:r>
      <w:r>
        <w:rPr/>
        <w:t>to</w:t>
      </w:r>
      <w:r>
        <w:rPr>
          <w:spacing w:val="-1"/>
        </w:rPr>
        <w:t> </w:t>
      </w:r>
      <w:r>
        <w:rPr/>
        <w:t>Existing</w:t>
      </w:r>
      <w:r>
        <w:rPr>
          <w:spacing w:val="-1"/>
        </w:rPr>
        <w:t> </w:t>
      </w:r>
      <w:r>
        <w:rPr>
          <w:spacing w:val="-2"/>
        </w:rPr>
        <w:t>Literature</w:t>
      </w:r>
    </w:p>
    <w:p>
      <w:pPr>
        <w:pStyle w:val="BodyText"/>
        <w:spacing w:line="360" w:lineRule="auto" w:before="175"/>
        <w:ind w:left="721" w:right="2154"/>
      </w:pPr>
      <w:r>
        <w:rPr/>
        <w:t>The findings of this study are broadly consistent with the literature reviewed in Chapter</w:t>
      </w:r>
      <w:r>
        <w:rPr>
          <w:spacing w:val="-15"/>
        </w:rPr>
        <w:t> </w:t>
      </w:r>
      <w:r>
        <w:rPr/>
        <w:t>3.</w:t>
      </w:r>
      <w:r>
        <w:rPr>
          <w:spacing w:val="-15"/>
        </w:rPr>
        <w:t> </w:t>
      </w:r>
      <w:r>
        <w:rPr/>
        <w:t>The</w:t>
      </w:r>
      <w:r>
        <w:rPr>
          <w:spacing w:val="-15"/>
        </w:rPr>
        <w:t> </w:t>
      </w:r>
      <w:r>
        <w:rPr/>
        <w:t>severe</w:t>
      </w:r>
      <w:r>
        <w:rPr>
          <w:spacing w:val="-14"/>
        </w:rPr>
        <w:t> </w:t>
      </w:r>
      <w:r>
        <w:rPr/>
        <w:t>event-day</w:t>
      </w:r>
      <w:r>
        <w:rPr>
          <w:spacing w:val="-15"/>
        </w:rPr>
        <w:t> </w:t>
      </w:r>
      <w:r>
        <w:rPr/>
        <w:t>fall</w:t>
      </w:r>
      <w:r>
        <w:rPr>
          <w:spacing w:val="-15"/>
        </w:rPr>
        <w:t> </w:t>
      </w:r>
      <w:r>
        <w:rPr/>
        <w:t>and</w:t>
      </w:r>
      <w:r>
        <w:rPr>
          <w:spacing w:val="-13"/>
        </w:rPr>
        <w:t> </w:t>
      </w:r>
      <w:r>
        <w:rPr/>
        <w:t>sharp</w:t>
      </w:r>
      <w:r>
        <w:rPr>
          <w:spacing w:val="-13"/>
        </w:rPr>
        <w:t> </w:t>
      </w:r>
      <w:r>
        <w:rPr/>
        <w:t>rise</w:t>
      </w:r>
      <w:r>
        <w:rPr>
          <w:spacing w:val="-9"/>
        </w:rPr>
        <w:t> </w:t>
      </w:r>
      <w:r>
        <w:rPr/>
        <w:t>in</w:t>
      </w:r>
      <w:r>
        <w:rPr>
          <w:spacing w:val="-15"/>
        </w:rPr>
        <w:t> </w:t>
      </w:r>
      <w:r>
        <w:rPr/>
        <w:t>post-event</w:t>
      </w:r>
      <w:r>
        <w:rPr>
          <w:spacing w:val="-8"/>
        </w:rPr>
        <w:t> </w:t>
      </w:r>
      <w:r>
        <w:rPr/>
        <w:t>volatility</w:t>
      </w:r>
      <w:r>
        <w:rPr>
          <w:spacing w:val="-15"/>
        </w:rPr>
        <w:t> </w:t>
      </w:r>
      <w:r>
        <w:rPr/>
        <w:t>observed for the COVID-19 Pandemic corroborates prior findings that NIFTY 50 volatility rose sharply during the pandemic and that a comparable event-day fall occurred across the wider March 2020 window in earlier event-study research. The statistically significant negative impact of the Russia-Ukraine War found in this study is likewise consistent with prior research reporting a significant negative market</w:t>
      </w:r>
      <w:r>
        <w:rPr>
          <w:spacing w:val="12"/>
        </w:rPr>
        <w:t> </w:t>
      </w:r>
      <w:r>
        <w:rPr/>
        <w:t>reaction</w:t>
      </w:r>
      <w:r>
        <w:rPr>
          <w:spacing w:val="3"/>
        </w:rPr>
        <w:t> </w:t>
      </w:r>
      <w:r>
        <w:rPr/>
        <w:t>around</w:t>
      </w:r>
      <w:r>
        <w:rPr>
          <w:spacing w:val="3"/>
        </w:rPr>
        <w:t> </w:t>
      </w:r>
      <w:r>
        <w:rPr/>
        <w:t>the</w:t>
      </w:r>
      <w:r>
        <w:rPr>
          <w:spacing w:val="11"/>
        </w:rPr>
        <w:t> </w:t>
      </w:r>
      <w:r>
        <w:rPr/>
        <w:t>invasion</w:t>
      </w:r>
      <w:r>
        <w:rPr>
          <w:spacing w:val="3"/>
        </w:rPr>
        <w:t> </w:t>
      </w:r>
      <w:r>
        <w:rPr/>
        <w:t>date,</w:t>
      </w:r>
      <w:r>
        <w:rPr>
          <w:spacing w:val="6"/>
        </w:rPr>
        <w:t> </w:t>
      </w:r>
      <w:r>
        <w:rPr/>
        <w:t>driven</w:t>
      </w:r>
      <w:r>
        <w:rPr>
          <w:spacing w:val="3"/>
        </w:rPr>
        <w:t> </w:t>
      </w:r>
      <w:r>
        <w:rPr/>
        <w:t>primarily</w:t>
      </w:r>
      <w:r>
        <w:rPr>
          <w:spacing w:val="4"/>
        </w:rPr>
        <w:t> </w:t>
      </w:r>
      <w:r>
        <w:rPr/>
        <w:t>by</w:t>
      </w:r>
      <w:r>
        <w:rPr>
          <w:spacing w:val="3"/>
        </w:rPr>
        <w:t> </w:t>
      </w:r>
      <w:r>
        <w:rPr/>
        <w:t>the</w:t>
      </w:r>
      <w:r>
        <w:rPr>
          <w:spacing w:val="6"/>
        </w:rPr>
        <w:t> </w:t>
      </w:r>
      <w:r>
        <w:rPr/>
        <w:t>rise</w:t>
      </w:r>
      <w:r>
        <w:rPr>
          <w:spacing w:val="12"/>
        </w:rPr>
        <w:t> </w:t>
      </w:r>
      <w:r>
        <w:rPr/>
        <w:t>in</w:t>
      </w:r>
      <w:r>
        <w:rPr>
          <w:spacing w:val="3"/>
        </w:rPr>
        <w:t> </w:t>
      </w:r>
      <w:r>
        <w:rPr/>
        <w:t>crude</w:t>
      </w:r>
      <w:r>
        <w:rPr>
          <w:spacing w:val="7"/>
        </w:rPr>
        <w:t> </w:t>
      </w:r>
      <w:r>
        <w:rPr>
          <w:spacing w:val="-5"/>
        </w:rPr>
        <w:t>oil</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61"/>
      </w:pPr>
      <w:r>
        <w:rPr/>
        <w:t>prices and India's high dependence on crude-oil imports. Similarly, the sharp but short-lived reaction</w:t>
      </w:r>
      <w:r>
        <w:rPr>
          <w:spacing w:val="-1"/>
        </w:rPr>
        <w:t> </w:t>
      </w:r>
      <w:r>
        <w:rPr/>
        <w:t>to the India General</w:t>
      </w:r>
      <w:r>
        <w:rPr>
          <w:spacing w:val="-6"/>
        </w:rPr>
        <w:t> </w:t>
      </w:r>
      <w:r>
        <w:rPr/>
        <w:t>Elections 2024 aligns closely</w:t>
      </w:r>
      <w:r>
        <w:rPr>
          <w:spacing w:val="-6"/>
        </w:rPr>
        <w:t> </w:t>
      </w:r>
      <w:r>
        <w:rPr/>
        <w:t>with</w:t>
      </w:r>
      <w:r>
        <w:rPr>
          <w:spacing w:val="-1"/>
        </w:rPr>
        <w:t> </w:t>
      </w:r>
      <w:r>
        <w:rPr/>
        <w:t>earlier event-study findings of significant negative abnormal returns around the election </w:t>
      </w:r>
      <w:r>
        <w:rPr>
          <w:spacing w:val="-2"/>
        </w:rPr>
        <w:t>result</w:t>
      </w:r>
      <w:r>
        <w:rPr>
          <w:spacing w:val="-4"/>
        </w:rPr>
        <w:t> </w:t>
      </w:r>
      <w:r>
        <w:rPr>
          <w:spacing w:val="-2"/>
        </w:rPr>
        <w:t>followed by</w:t>
      </w:r>
      <w:r>
        <w:rPr>
          <w:spacing w:val="-10"/>
        </w:rPr>
        <w:t> </w:t>
      </w:r>
      <w:r>
        <w:rPr>
          <w:spacing w:val="-2"/>
        </w:rPr>
        <w:t>a fast recovery, consistent with</w:t>
      </w:r>
      <w:r>
        <w:rPr>
          <w:spacing w:val="-10"/>
        </w:rPr>
        <w:t> </w:t>
      </w:r>
      <w:r>
        <w:rPr>
          <w:spacing w:val="-2"/>
        </w:rPr>
        <w:t>the</w:t>
      </w:r>
      <w:r>
        <w:rPr>
          <w:spacing w:val="-6"/>
        </w:rPr>
        <w:t> </w:t>
      </w:r>
      <w:r>
        <w:rPr>
          <w:spacing w:val="-2"/>
        </w:rPr>
        <w:t>3-trading-day</w:t>
      </w:r>
      <w:r>
        <w:rPr>
          <w:spacing w:val="-13"/>
        </w:rPr>
        <w:t> </w:t>
      </w:r>
      <w:r>
        <w:rPr>
          <w:spacing w:val="-2"/>
        </w:rPr>
        <w:t>recovery</w:t>
      </w:r>
      <w:r>
        <w:rPr>
          <w:spacing w:val="-13"/>
        </w:rPr>
        <w:t> </w:t>
      </w:r>
      <w:r>
        <w:rPr>
          <w:spacing w:val="-2"/>
        </w:rPr>
        <w:t>period </w:t>
      </w:r>
      <w:r>
        <w:rPr/>
        <w:t>observed here.</w:t>
      </w:r>
    </w:p>
    <w:p>
      <w:pPr>
        <w:pStyle w:val="BodyText"/>
        <w:spacing w:line="360" w:lineRule="auto" w:before="221"/>
        <w:ind w:left="721" w:right="2156"/>
      </w:pPr>
      <w:r>
        <w:rPr/>
        <w:t>The finding that recovery speed does not correspond directly with the severity of the event-day fall is also consistent with prior evidence that markets correct temporary deviations from macroeconomic fundamentals over time through an error-correction mechanism, and with research showing that NIFTY 50 volatility shocks are persistent and must be measured over an</w:t>
      </w:r>
      <w:r>
        <w:rPr>
          <w:spacing w:val="-2"/>
        </w:rPr>
        <w:t> </w:t>
      </w:r>
      <w:r>
        <w:rPr/>
        <w:t>extended window beyond the event day</w:t>
      </w:r>
      <w:r>
        <w:rPr>
          <w:spacing w:val="-2"/>
        </w:rPr>
        <w:t> </w:t>
      </w:r>
      <w:r>
        <w:rPr/>
        <w:t>itself</w:t>
      </w:r>
      <w:r>
        <w:rPr>
          <w:spacing w:val="-3"/>
        </w:rPr>
        <w:t> </w:t>
      </w:r>
      <w:r>
        <w:rPr/>
        <w:t>— which is precisely</w:t>
      </w:r>
      <w:r>
        <w:rPr>
          <w:spacing w:val="-7"/>
        </w:rPr>
        <w:t> </w:t>
      </w:r>
      <w:r>
        <w:rPr/>
        <w:t>why</w:t>
      </w:r>
      <w:r>
        <w:rPr>
          <w:spacing w:val="-7"/>
        </w:rPr>
        <w:t> </w:t>
      </w:r>
      <w:r>
        <w:rPr/>
        <w:t>the health-crisis and geopolitical</w:t>
      </w:r>
      <w:r>
        <w:rPr>
          <w:spacing w:val="-7"/>
        </w:rPr>
        <w:t> </w:t>
      </w:r>
      <w:r>
        <w:rPr/>
        <w:t>events in this study, despite differing in event-day</w:t>
      </w:r>
      <w:r>
        <w:rPr>
          <w:spacing w:val="-2"/>
        </w:rPr>
        <w:t> </w:t>
      </w:r>
      <w:r>
        <w:rPr/>
        <w:t>severity, both required a considerably longer recovery window than the political-electoral event. Overall, the present study's findings reinforce the existing body of literature while extending it by directly comparing three distinct categories of major economic events within a single unified framework, addressing the research gap identified in Chapter 3.</w:t>
      </w:r>
    </w:p>
    <w:p>
      <w:pPr>
        <w:pStyle w:val="BodyText"/>
        <w:spacing w:before="53"/>
        <w:jc w:val="left"/>
      </w:pPr>
    </w:p>
    <w:p>
      <w:pPr>
        <w:pStyle w:val="Heading2"/>
        <w:numPr>
          <w:ilvl w:val="1"/>
          <w:numId w:val="1"/>
        </w:numPr>
        <w:tabs>
          <w:tab w:pos="1085" w:val="left" w:leader="none"/>
        </w:tabs>
        <w:spacing w:line="240" w:lineRule="auto" w:before="0" w:after="0"/>
        <w:ind w:left="1085" w:right="0" w:hanging="364"/>
        <w:jc w:val="both"/>
      </w:pPr>
      <w:r>
        <w:rPr/>
        <w:t>Scope</w:t>
      </w:r>
      <w:r>
        <w:rPr>
          <w:spacing w:val="-7"/>
        </w:rPr>
        <w:t> </w:t>
      </w:r>
      <w:r>
        <w:rPr/>
        <w:t>for</w:t>
      </w:r>
      <w:r>
        <w:rPr>
          <w:spacing w:val="-7"/>
        </w:rPr>
        <w:t> </w:t>
      </w:r>
      <w:r>
        <w:rPr/>
        <w:t>Future</w:t>
      </w:r>
      <w:r>
        <w:rPr>
          <w:spacing w:val="-1"/>
        </w:rPr>
        <w:t> </w:t>
      </w:r>
      <w:r>
        <w:rPr>
          <w:spacing w:val="-2"/>
        </w:rPr>
        <w:t>Research</w:t>
      </w:r>
    </w:p>
    <w:p>
      <w:pPr>
        <w:pStyle w:val="BodyText"/>
        <w:spacing w:line="360" w:lineRule="auto" w:before="171"/>
        <w:ind w:left="721" w:right="2153"/>
      </w:pPr>
      <w:r>
        <w:rPr/>
        <w:t>Future research could extend the present framework in several directions: broadening event coverage to additional categories such as global recessions or major corporate/earnings-driven shocks; disaggregating the analysis to sectoral indices such as NIFTY Bank, NIFTY IT and NIFTY Auto to examine whether different sectors react to and recover from the same events at different speeds; complementing the secondary-data design with primary survey data from retail investors and advisors to connect market-level statistical findings to individual investor behaviour; applying multivariate models such as multiple regression or GARCH-family volatility models to isolate the individual contribution of FII/DII</w:t>
      </w:r>
    </w:p>
    <w:p>
      <w:pPr>
        <w:pStyle w:val="BodyText"/>
        <w:spacing w:after="0" w:line="360" w:lineRule="auto"/>
        <w:sectPr>
          <w:pgSz w:w="12240" w:h="15840"/>
          <w:pgMar w:top="1820" w:bottom="280" w:left="1440" w:right="0"/>
        </w:sectPr>
      </w:pPr>
    </w:p>
    <w:p>
      <w:pPr>
        <w:pStyle w:val="BodyText"/>
        <w:spacing w:before="56"/>
        <w:jc w:val="left"/>
      </w:pPr>
    </w:p>
    <w:p>
      <w:pPr>
        <w:pStyle w:val="BodyText"/>
        <w:spacing w:line="360" w:lineRule="auto"/>
        <w:ind w:left="721" w:right="2157"/>
      </w:pPr>
      <w:r>
        <w:rPr/>
        <w:t>flows, crude-oil prices and currency movements; benchmarking the NIFTY 50's event-day</w:t>
      </w:r>
      <w:r>
        <w:rPr>
          <w:spacing w:val="-11"/>
        </w:rPr>
        <w:t> </w:t>
      </w:r>
      <w:r>
        <w:rPr/>
        <w:t>impact</w:t>
      </w:r>
      <w:r>
        <w:rPr>
          <w:spacing w:val="-2"/>
        </w:rPr>
        <w:t> </w:t>
      </w:r>
      <w:r>
        <w:rPr/>
        <w:t>against</w:t>
      </w:r>
      <w:r>
        <w:rPr>
          <w:spacing w:val="-7"/>
        </w:rPr>
        <w:t> </w:t>
      </w:r>
      <w:r>
        <w:rPr/>
        <w:t>other</w:t>
      </w:r>
      <w:r>
        <w:rPr>
          <w:spacing w:val="-6"/>
        </w:rPr>
        <w:t> </w:t>
      </w:r>
      <w:r>
        <w:rPr/>
        <w:t>emerging-market</w:t>
      </w:r>
      <w:r>
        <w:rPr>
          <w:spacing w:val="-7"/>
        </w:rPr>
        <w:t> </w:t>
      </w:r>
      <w:r>
        <w:rPr/>
        <w:t>or</w:t>
      </w:r>
      <w:r>
        <w:rPr>
          <w:spacing w:val="-6"/>
        </w:rPr>
        <w:t> </w:t>
      </w:r>
      <w:r>
        <w:rPr/>
        <w:t>developed-market</w:t>
      </w:r>
      <w:r>
        <w:rPr>
          <w:spacing w:val="-2"/>
        </w:rPr>
        <w:t> </w:t>
      </w:r>
      <w:r>
        <w:rPr/>
        <w:t>indices;</w:t>
      </w:r>
      <w:r>
        <w:rPr>
          <w:spacing w:val="-11"/>
        </w:rPr>
        <w:t> </w:t>
      </w:r>
      <w:r>
        <w:rPr/>
        <w:t>and refining</w:t>
      </w:r>
      <w:r>
        <w:rPr>
          <w:spacing w:val="-9"/>
        </w:rPr>
        <w:t> </w:t>
      </w:r>
      <w:r>
        <w:rPr/>
        <w:t>the</w:t>
      </w:r>
      <w:r>
        <w:rPr>
          <w:spacing w:val="-10"/>
        </w:rPr>
        <w:t> </w:t>
      </w:r>
      <w:r>
        <w:rPr/>
        <w:t>recovery-period</w:t>
      </w:r>
      <w:r>
        <w:rPr>
          <w:spacing w:val="-5"/>
        </w:rPr>
        <w:t> </w:t>
      </w:r>
      <w:r>
        <w:rPr/>
        <w:t>measure</w:t>
      </w:r>
      <w:r>
        <w:rPr>
          <w:spacing w:val="-10"/>
        </w:rPr>
        <w:t> </w:t>
      </w:r>
      <w:r>
        <w:rPr/>
        <w:t>used</w:t>
      </w:r>
      <w:r>
        <w:rPr>
          <w:spacing w:val="-5"/>
        </w:rPr>
        <w:t> </w:t>
      </w:r>
      <w:r>
        <w:rPr/>
        <w:t>here</w:t>
      </w:r>
      <w:r>
        <w:rPr>
          <w:spacing w:val="-10"/>
        </w:rPr>
        <w:t> </w:t>
      </w:r>
      <w:r>
        <w:rPr/>
        <w:t>to</w:t>
      </w:r>
      <w:r>
        <w:rPr>
          <w:spacing w:val="-9"/>
        </w:rPr>
        <w:t> </w:t>
      </w:r>
      <w:r>
        <w:rPr/>
        <w:t>account</w:t>
      </w:r>
      <w:r>
        <w:rPr>
          <w:spacing w:val="-5"/>
        </w:rPr>
        <w:t> </w:t>
      </w:r>
      <w:r>
        <w:rPr/>
        <w:t>for</w:t>
      </w:r>
      <w:r>
        <w:rPr>
          <w:spacing w:val="-12"/>
        </w:rPr>
        <w:t> </w:t>
      </w:r>
      <w:r>
        <w:rPr/>
        <w:t>overshoot,</w:t>
      </w:r>
      <w:r>
        <w:rPr>
          <w:spacing w:val="-11"/>
        </w:rPr>
        <w:t> </w:t>
      </w:r>
      <w:r>
        <w:rPr/>
        <w:t>structural breaks, or confounding subsequent events.</w:t>
      </w:r>
    </w:p>
    <w:p>
      <w:pPr>
        <w:pStyle w:val="BodyText"/>
        <w:spacing w:before="129"/>
        <w:jc w:val="left"/>
      </w:pPr>
    </w:p>
    <w:p>
      <w:pPr>
        <w:pStyle w:val="Heading1"/>
        <w:numPr>
          <w:ilvl w:val="0"/>
          <w:numId w:val="1"/>
        </w:numPr>
        <w:tabs>
          <w:tab w:pos="1003" w:val="left" w:leader="none"/>
        </w:tabs>
        <w:spacing w:line="240" w:lineRule="auto" w:before="0" w:after="0"/>
        <w:ind w:left="1003" w:right="0" w:hanging="282"/>
        <w:jc w:val="left"/>
      </w:pPr>
      <w:r>
        <w:rPr>
          <w:spacing w:val="-2"/>
        </w:rPr>
        <w:t>CONCLUSION</w:t>
      </w:r>
    </w:p>
    <w:p>
      <w:pPr>
        <w:pStyle w:val="BodyText"/>
        <w:spacing w:line="360" w:lineRule="auto" w:before="215"/>
        <w:ind w:left="721" w:right="2155"/>
      </w:pPr>
      <w:r>
        <w:rPr/>
        <w:t>This</w:t>
      </w:r>
      <w:r>
        <w:rPr>
          <w:spacing w:val="-4"/>
        </w:rPr>
        <w:t> </w:t>
      </w:r>
      <w:r>
        <w:rPr/>
        <w:t>study</w:t>
      </w:r>
      <w:r>
        <w:rPr>
          <w:spacing w:val="-12"/>
        </w:rPr>
        <w:t> </w:t>
      </w:r>
      <w:r>
        <w:rPr/>
        <w:t>set</w:t>
      </w:r>
      <w:r>
        <w:rPr>
          <w:spacing w:val="-3"/>
        </w:rPr>
        <w:t> </w:t>
      </w:r>
      <w:r>
        <w:rPr/>
        <w:t>out</w:t>
      </w:r>
      <w:r>
        <w:rPr>
          <w:spacing w:val="-6"/>
        </w:rPr>
        <w:t> </w:t>
      </w:r>
      <w:r>
        <w:rPr/>
        <w:t>to</w:t>
      </w:r>
      <w:r>
        <w:rPr>
          <w:spacing w:val="-3"/>
        </w:rPr>
        <w:t> </w:t>
      </w:r>
      <w:r>
        <w:rPr/>
        <w:t>examine</w:t>
      </w:r>
      <w:r>
        <w:rPr>
          <w:spacing w:val="-3"/>
        </w:rPr>
        <w:t> </w:t>
      </w:r>
      <w:r>
        <w:rPr/>
        <w:t>the</w:t>
      </w:r>
      <w:r>
        <w:rPr>
          <w:spacing w:val="-4"/>
        </w:rPr>
        <w:t> </w:t>
      </w:r>
      <w:r>
        <w:rPr/>
        <w:t>performance</w:t>
      </w:r>
      <w:r>
        <w:rPr>
          <w:spacing w:val="-3"/>
        </w:rPr>
        <w:t> </w:t>
      </w:r>
      <w:r>
        <w:rPr/>
        <w:t>of</w:t>
      </w:r>
      <w:r>
        <w:rPr>
          <w:spacing w:val="-10"/>
        </w:rPr>
        <w:t> </w:t>
      </w:r>
      <w:r>
        <w:rPr/>
        <w:t>the</w:t>
      </w:r>
      <w:r>
        <w:rPr>
          <w:spacing w:val="-3"/>
        </w:rPr>
        <w:t> </w:t>
      </w:r>
      <w:r>
        <w:rPr/>
        <w:t>NIFTY</w:t>
      </w:r>
      <w:r>
        <w:rPr>
          <w:spacing w:val="-4"/>
        </w:rPr>
        <w:t> </w:t>
      </w:r>
      <w:r>
        <w:rPr/>
        <w:t>50</w:t>
      </w:r>
      <w:r>
        <w:rPr>
          <w:spacing w:val="-3"/>
        </w:rPr>
        <w:t> </w:t>
      </w:r>
      <w:r>
        <w:rPr/>
        <w:t>index</w:t>
      </w:r>
      <w:r>
        <w:rPr>
          <w:spacing w:val="-7"/>
        </w:rPr>
        <w:t> </w:t>
      </w:r>
      <w:r>
        <w:rPr/>
        <w:t>during</w:t>
      </w:r>
      <w:r>
        <w:rPr>
          <w:spacing w:val="-3"/>
        </w:rPr>
        <w:t> </w:t>
      </w:r>
      <w:r>
        <w:rPr/>
        <w:t>three major</w:t>
      </w:r>
      <w:r>
        <w:rPr>
          <w:spacing w:val="-4"/>
        </w:rPr>
        <w:t> </w:t>
      </w:r>
      <w:r>
        <w:rPr/>
        <w:t>economic</w:t>
      </w:r>
      <w:r>
        <w:rPr>
          <w:spacing w:val="-5"/>
        </w:rPr>
        <w:t> </w:t>
      </w:r>
      <w:r>
        <w:rPr/>
        <w:t>events</w:t>
      </w:r>
      <w:r>
        <w:rPr>
          <w:spacing w:val="-4"/>
        </w:rPr>
        <w:t> </w:t>
      </w:r>
      <w:r>
        <w:rPr/>
        <w:t>—</w:t>
      </w:r>
      <w:r>
        <w:rPr>
          <w:spacing w:val="-8"/>
        </w:rPr>
        <w:t> </w:t>
      </w:r>
      <w:r>
        <w:rPr/>
        <w:t>the</w:t>
      </w:r>
      <w:r>
        <w:rPr>
          <w:spacing w:val="-5"/>
        </w:rPr>
        <w:t> </w:t>
      </w:r>
      <w:r>
        <w:rPr/>
        <w:t>COVID-19</w:t>
      </w:r>
      <w:r>
        <w:rPr>
          <w:spacing w:val="-9"/>
        </w:rPr>
        <w:t> </w:t>
      </w:r>
      <w:r>
        <w:rPr/>
        <w:t>Pandemic,</w:t>
      </w:r>
      <w:r>
        <w:rPr>
          <w:spacing w:val="-7"/>
        </w:rPr>
        <w:t> </w:t>
      </w:r>
      <w:r>
        <w:rPr/>
        <w:t>the</w:t>
      </w:r>
      <w:r>
        <w:rPr>
          <w:spacing w:val="-5"/>
        </w:rPr>
        <w:t> </w:t>
      </w:r>
      <w:r>
        <w:rPr/>
        <w:t>Russia-Ukraine</w:t>
      </w:r>
      <w:r>
        <w:rPr>
          <w:spacing w:val="-1"/>
        </w:rPr>
        <w:t> </w:t>
      </w:r>
      <w:r>
        <w:rPr/>
        <w:t>War,</w:t>
      </w:r>
      <w:r>
        <w:rPr>
          <w:spacing w:val="-3"/>
        </w:rPr>
        <w:t> </w:t>
      </w:r>
      <w:r>
        <w:rPr/>
        <w:t>and </w:t>
      </w:r>
      <w:r>
        <w:rPr>
          <w:spacing w:val="-2"/>
        </w:rPr>
        <w:t>the</w:t>
      </w:r>
      <w:r>
        <w:rPr>
          <w:spacing w:val="-4"/>
        </w:rPr>
        <w:t> </w:t>
      </w:r>
      <w:r>
        <w:rPr>
          <w:spacing w:val="-2"/>
        </w:rPr>
        <w:t>India</w:t>
      </w:r>
      <w:r>
        <w:rPr>
          <w:spacing w:val="-3"/>
        </w:rPr>
        <w:t> </w:t>
      </w:r>
      <w:r>
        <w:rPr>
          <w:spacing w:val="-2"/>
        </w:rPr>
        <w:t>General</w:t>
      </w:r>
      <w:r>
        <w:rPr>
          <w:spacing w:val="-13"/>
        </w:rPr>
        <w:t> </w:t>
      </w:r>
      <w:r>
        <w:rPr>
          <w:spacing w:val="-2"/>
        </w:rPr>
        <w:t>Elections</w:t>
      </w:r>
      <w:r>
        <w:rPr>
          <w:spacing w:val="-5"/>
        </w:rPr>
        <w:t> </w:t>
      </w:r>
      <w:r>
        <w:rPr>
          <w:spacing w:val="-2"/>
        </w:rPr>
        <w:t>2024 —</w:t>
      </w:r>
      <w:r>
        <w:rPr>
          <w:spacing w:val="-8"/>
        </w:rPr>
        <w:t> </w:t>
      </w:r>
      <w:r>
        <w:rPr>
          <w:spacing w:val="-2"/>
        </w:rPr>
        <w:t>through</w:t>
      </w:r>
      <w:r>
        <w:rPr>
          <w:spacing w:val="-13"/>
        </w:rPr>
        <w:t> </w:t>
      </w:r>
      <w:r>
        <w:rPr>
          <w:spacing w:val="-2"/>
        </w:rPr>
        <w:t>two</w:t>
      </w:r>
      <w:r>
        <w:rPr>
          <w:spacing w:val="-3"/>
        </w:rPr>
        <w:t> </w:t>
      </w:r>
      <w:r>
        <w:rPr>
          <w:spacing w:val="-2"/>
        </w:rPr>
        <w:t>research</w:t>
      </w:r>
      <w:r>
        <w:rPr>
          <w:spacing w:val="-8"/>
        </w:rPr>
        <w:t> </w:t>
      </w:r>
      <w:r>
        <w:rPr>
          <w:spacing w:val="-2"/>
        </w:rPr>
        <w:t>objectives formally</w:t>
      </w:r>
      <w:r>
        <w:rPr>
          <w:spacing w:val="-8"/>
        </w:rPr>
        <w:t> </w:t>
      </w:r>
      <w:r>
        <w:rPr>
          <w:spacing w:val="-2"/>
        </w:rPr>
        <w:t>tested </w:t>
      </w:r>
      <w:r>
        <w:rPr/>
        <w:t>using</w:t>
      </w:r>
      <w:r>
        <w:rPr>
          <w:spacing w:val="-6"/>
        </w:rPr>
        <w:t> </w:t>
      </w:r>
      <w:r>
        <w:rPr/>
        <w:t>descriptive</w:t>
      </w:r>
      <w:r>
        <w:rPr>
          <w:spacing w:val="-7"/>
        </w:rPr>
        <w:t> </w:t>
      </w:r>
      <w:r>
        <w:rPr/>
        <w:t>statistics,</w:t>
      </w:r>
      <w:r>
        <w:rPr>
          <w:spacing w:val="-4"/>
        </w:rPr>
        <w:t> </w:t>
      </w:r>
      <w:r>
        <w:rPr/>
        <w:t>a</w:t>
      </w:r>
      <w:r>
        <w:rPr>
          <w:spacing w:val="-7"/>
        </w:rPr>
        <w:t> </w:t>
      </w:r>
      <w:r>
        <w:rPr/>
        <w:t>paired-samples</w:t>
      </w:r>
      <w:r>
        <w:rPr>
          <w:spacing w:val="-8"/>
        </w:rPr>
        <w:t> </w:t>
      </w:r>
      <w:r>
        <w:rPr/>
        <w:t>t-test,</w:t>
      </w:r>
      <w:r>
        <w:rPr>
          <w:spacing w:val="-9"/>
        </w:rPr>
        <w:t> </w:t>
      </w:r>
      <w:r>
        <w:rPr/>
        <w:t>and</w:t>
      </w:r>
      <w:r>
        <w:rPr>
          <w:spacing w:val="-6"/>
        </w:rPr>
        <w:t> </w:t>
      </w:r>
      <w:r>
        <w:rPr/>
        <w:t>Pearson</w:t>
      </w:r>
      <w:r>
        <w:rPr>
          <w:spacing w:val="-6"/>
        </w:rPr>
        <w:t> </w:t>
      </w:r>
      <w:r>
        <w:rPr/>
        <w:t>correlation</w:t>
      </w:r>
      <w:r>
        <w:rPr>
          <w:spacing w:val="-6"/>
        </w:rPr>
        <w:t> </w:t>
      </w:r>
      <w:r>
        <w:rPr/>
        <w:t>in</w:t>
      </w:r>
      <w:r>
        <w:rPr>
          <w:spacing w:val="-6"/>
        </w:rPr>
        <w:t> </w:t>
      </w:r>
      <w:r>
        <w:rPr/>
        <w:t>IBM SPSS Statistics. With respect to Objective 1, the study concludes that major economic events do have a significant negative impact on</w:t>
      </w:r>
      <w:r>
        <w:rPr>
          <w:spacing w:val="-7"/>
        </w:rPr>
        <w:t> </w:t>
      </w:r>
      <w:r>
        <w:rPr/>
        <w:t>the NIFTY 50:</w:t>
      </w:r>
      <w:r>
        <w:rPr>
          <w:spacing w:val="-2"/>
        </w:rPr>
        <w:t> </w:t>
      </w:r>
      <w:r>
        <w:rPr/>
        <w:t>all</w:t>
      </w:r>
      <w:r>
        <w:rPr>
          <w:spacing w:val="-7"/>
        </w:rPr>
        <w:t> </w:t>
      </w:r>
      <w:r>
        <w:rPr/>
        <w:t>three events</w:t>
      </w:r>
      <w:r>
        <w:rPr>
          <w:spacing w:val="-15"/>
        </w:rPr>
        <w:t> </w:t>
      </w:r>
      <w:r>
        <w:rPr/>
        <w:t>produced</w:t>
      </w:r>
      <w:r>
        <w:rPr>
          <w:spacing w:val="-15"/>
        </w:rPr>
        <w:t> </w:t>
      </w:r>
      <w:r>
        <w:rPr/>
        <w:t>sharp,</w:t>
      </w:r>
      <w:r>
        <w:rPr>
          <w:spacing w:val="-15"/>
        </w:rPr>
        <w:t> </w:t>
      </w:r>
      <w:r>
        <w:rPr/>
        <w:t>immediate</w:t>
      </w:r>
      <w:r>
        <w:rPr>
          <w:spacing w:val="-15"/>
        </w:rPr>
        <w:t> </w:t>
      </w:r>
      <w:r>
        <w:rPr/>
        <w:t>event-day</w:t>
      </w:r>
      <w:r>
        <w:rPr>
          <w:spacing w:val="-15"/>
        </w:rPr>
        <w:t> </w:t>
      </w:r>
      <w:r>
        <w:rPr/>
        <w:t>falls</w:t>
      </w:r>
      <w:r>
        <w:rPr>
          <w:spacing w:val="-15"/>
        </w:rPr>
        <w:t> </w:t>
      </w:r>
      <w:r>
        <w:rPr/>
        <w:t>ranging</w:t>
      </w:r>
      <w:r>
        <w:rPr>
          <w:spacing w:val="-11"/>
        </w:rPr>
        <w:t> </w:t>
      </w:r>
      <w:r>
        <w:rPr/>
        <w:t>from</w:t>
      </w:r>
      <w:r>
        <w:rPr>
          <w:spacing w:val="-15"/>
        </w:rPr>
        <w:t> </w:t>
      </w:r>
      <w:r>
        <w:rPr/>
        <w:t>-4.78%</w:t>
      </w:r>
      <w:r>
        <w:rPr>
          <w:spacing w:val="-15"/>
        </w:rPr>
        <w:t> </w:t>
      </w:r>
      <w:r>
        <w:rPr/>
        <w:t>to</w:t>
      </w:r>
      <w:r>
        <w:rPr>
          <w:spacing w:val="-10"/>
        </w:rPr>
        <w:t> </w:t>
      </w:r>
      <w:r>
        <w:rPr/>
        <w:t>-12.98%, accompanied</w:t>
      </w:r>
      <w:r>
        <w:rPr>
          <w:spacing w:val="-2"/>
        </w:rPr>
        <w:t> </w:t>
      </w:r>
      <w:r>
        <w:rPr/>
        <w:t>by</w:t>
      </w:r>
      <w:r>
        <w:rPr>
          <w:spacing w:val="-7"/>
        </w:rPr>
        <w:t> </w:t>
      </w:r>
      <w:r>
        <w:rPr/>
        <w:t>a</w:t>
      </w:r>
      <w:r>
        <w:rPr>
          <w:spacing w:val="-3"/>
        </w:rPr>
        <w:t> </w:t>
      </w:r>
      <w:r>
        <w:rPr/>
        <w:t>statistically</w:t>
      </w:r>
      <w:r>
        <w:rPr>
          <w:spacing w:val="-7"/>
        </w:rPr>
        <w:t> </w:t>
      </w:r>
      <w:r>
        <w:rPr/>
        <w:t>significant rise in</w:t>
      </w:r>
      <w:r>
        <w:rPr>
          <w:spacing w:val="-7"/>
        </w:rPr>
        <w:t> </w:t>
      </w:r>
      <w:r>
        <w:rPr/>
        <w:t>post-event volatility</w:t>
      </w:r>
      <w:r>
        <w:rPr>
          <w:spacing w:val="-7"/>
        </w:rPr>
        <w:t> </w:t>
      </w:r>
      <w:r>
        <w:rPr/>
        <w:t>in</w:t>
      </w:r>
      <w:r>
        <w:rPr>
          <w:spacing w:val="-2"/>
        </w:rPr>
        <w:t> </w:t>
      </w:r>
      <w:r>
        <w:rPr/>
        <w:t>every</w:t>
      </w:r>
      <w:r>
        <w:rPr>
          <w:spacing w:val="-7"/>
        </w:rPr>
        <w:t> </w:t>
      </w:r>
      <w:r>
        <w:rPr/>
        <w:t>case (p &lt; .05). The Null Hypothesis for Objective 1 is therefore rejected and the Alternative Hypothesis accepted.</w:t>
      </w:r>
    </w:p>
    <w:p>
      <w:pPr>
        <w:pStyle w:val="BodyText"/>
        <w:spacing w:line="360" w:lineRule="auto" w:before="220"/>
        <w:ind w:left="721" w:right="2149"/>
      </w:pPr>
      <w:r>
        <w:rPr/>
        <w:t>With respect to Objective 2, the study concludes that the recovery pattern of the NIFTY</w:t>
      </w:r>
      <w:r>
        <w:rPr>
          <w:spacing w:val="-15"/>
        </w:rPr>
        <w:t> </w:t>
      </w:r>
      <w:r>
        <w:rPr/>
        <w:t>50</w:t>
      </w:r>
      <w:r>
        <w:rPr>
          <w:spacing w:val="-15"/>
        </w:rPr>
        <w:t> </w:t>
      </w:r>
      <w:r>
        <w:rPr/>
        <w:t>differs</w:t>
      </w:r>
      <w:r>
        <w:rPr>
          <w:spacing w:val="-14"/>
        </w:rPr>
        <w:t> </w:t>
      </w:r>
      <w:r>
        <w:rPr/>
        <w:t>significantly</w:t>
      </w:r>
      <w:r>
        <w:rPr>
          <w:spacing w:val="-15"/>
        </w:rPr>
        <w:t> </w:t>
      </w:r>
      <w:r>
        <w:rPr/>
        <w:t>across</w:t>
      </w:r>
      <w:r>
        <w:rPr>
          <w:spacing w:val="-14"/>
        </w:rPr>
        <w:t> </w:t>
      </w:r>
      <w:r>
        <w:rPr/>
        <w:t>event</w:t>
      </w:r>
      <w:r>
        <w:rPr>
          <w:spacing w:val="-8"/>
        </w:rPr>
        <w:t> </w:t>
      </w:r>
      <w:r>
        <w:rPr/>
        <w:t>categories,</w:t>
      </w:r>
      <w:r>
        <w:rPr>
          <w:spacing w:val="-10"/>
        </w:rPr>
        <w:t> </w:t>
      </w:r>
      <w:r>
        <w:rPr/>
        <w:t>ranging</w:t>
      </w:r>
      <w:r>
        <w:rPr>
          <w:spacing w:val="-8"/>
        </w:rPr>
        <w:t> </w:t>
      </w:r>
      <w:r>
        <w:rPr/>
        <w:t>from</w:t>
      </w:r>
      <w:r>
        <w:rPr>
          <w:spacing w:val="-15"/>
        </w:rPr>
        <w:t> </w:t>
      </w:r>
      <w:r>
        <w:rPr/>
        <w:t>3</w:t>
      </w:r>
      <w:r>
        <w:rPr>
          <w:spacing w:val="-12"/>
        </w:rPr>
        <w:t> </w:t>
      </w:r>
      <w:r>
        <w:rPr/>
        <w:t>trading</w:t>
      </w:r>
      <w:r>
        <w:rPr>
          <w:spacing w:val="-12"/>
        </w:rPr>
        <w:t> </w:t>
      </w:r>
      <w:r>
        <w:rPr/>
        <w:t>days for the Elections 2024 to 14 trading days for the Russia-Ukraine War, with the severity of the initial shock not determining the length of the recovery period — the weak and statistically insignificant Pearson correlation between pre-event and post-event returns</w:t>
      </w:r>
      <w:r>
        <w:rPr>
          <w:spacing w:val="-3"/>
        </w:rPr>
        <w:t> </w:t>
      </w:r>
      <w:r>
        <w:rPr/>
        <w:t>(all</w:t>
      </w:r>
      <w:r>
        <w:rPr>
          <w:spacing w:val="-6"/>
        </w:rPr>
        <w:t> </w:t>
      </w:r>
      <w:r>
        <w:rPr/>
        <w:t>p</w:t>
      </w:r>
      <w:r>
        <w:rPr>
          <w:spacing w:val="-1"/>
        </w:rPr>
        <w:t> </w:t>
      </w:r>
      <w:r>
        <w:rPr/>
        <w:t>&gt;</w:t>
      </w:r>
      <w:r>
        <w:rPr>
          <w:spacing w:val="-2"/>
        </w:rPr>
        <w:t> </w:t>
      </w:r>
      <w:r>
        <w:rPr/>
        <w:t>.05) reinforces</w:t>
      </w:r>
      <w:r>
        <w:rPr>
          <w:spacing w:val="-3"/>
        </w:rPr>
        <w:t> </w:t>
      </w:r>
      <w:r>
        <w:rPr/>
        <w:t>this</w:t>
      </w:r>
      <w:r>
        <w:rPr>
          <w:spacing w:val="-3"/>
        </w:rPr>
        <w:t> </w:t>
      </w:r>
      <w:r>
        <w:rPr/>
        <w:t>conclusion. The</w:t>
      </w:r>
      <w:r>
        <w:rPr>
          <w:spacing w:val="-2"/>
        </w:rPr>
        <w:t> </w:t>
      </w:r>
      <w:r>
        <w:rPr/>
        <w:t>Null</w:t>
      </w:r>
      <w:r>
        <w:rPr>
          <w:spacing w:val="-5"/>
        </w:rPr>
        <w:t> </w:t>
      </w:r>
      <w:r>
        <w:rPr/>
        <w:t>Hypothesis for Objective 2 is therefore also rejected and the Alternative Hypothesis accepted.</w:t>
      </w:r>
    </w:p>
    <w:p>
      <w:pPr>
        <w:pStyle w:val="BodyText"/>
        <w:spacing w:line="360" w:lineRule="auto" w:before="223"/>
        <w:ind w:left="721" w:right="2161"/>
      </w:pPr>
      <w:r>
        <w:rPr/>
        <w:t>Taken together, the study demonstrates that health-crisis events cause the most severe immediate shock to the NIFTY 50, geopolitical events cause the most prolonged</w:t>
      </w:r>
      <w:r>
        <w:rPr>
          <w:spacing w:val="72"/>
        </w:rPr>
        <w:t> </w:t>
      </w:r>
      <w:r>
        <w:rPr/>
        <w:t>disruption</w:t>
      </w:r>
      <w:r>
        <w:rPr>
          <w:spacing w:val="70"/>
        </w:rPr>
        <w:t> </w:t>
      </w:r>
      <w:r>
        <w:rPr/>
        <w:t>before</w:t>
      </w:r>
      <w:r>
        <w:rPr>
          <w:spacing w:val="73"/>
        </w:rPr>
        <w:t> </w:t>
      </w:r>
      <w:r>
        <w:rPr/>
        <w:t>the</w:t>
      </w:r>
      <w:r>
        <w:rPr>
          <w:spacing w:val="72"/>
        </w:rPr>
        <w:t> </w:t>
      </w:r>
      <w:r>
        <w:rPr/>
        <w:t>index</w:t>
      </w:r>
      <w:r>
        <w:rPr>
          <w:spacing w:val="69"/>
        </w:rPr>
        <w:t> </w:t>
      </w:r>
      <w:r>
        <w:rPr/>
        <w:t>re-establishes</w:t>
      </w:r>
      <w:r>
        <w:rPr>
          <w:spacing w:val="75"/>
        </w:rPr>
        <w:t> </w:t>
      </w:r>
      <w:r>
        <w:rPr/>
        <w:t>its</w:t>
      </w:r>
      <w:r>
        <w:rPr>
          <w:spacing w:val="70"/>
        </w:rPr>
        <w:t> </w:t>
      </w:r>
      <w:r>
        <w:rPr/>
        <w:t>pre-event</w:t>
      </w:r>
      <w:r>
        <w:rPr>
          <w:spacing w:val="78"/>
        </w:rPr>
        <w:t> </w:t>
      </w:r>
      <w:r>
        <w:rPr/>
        <w:t>level,</w:t>
      </w:r>
      <w:r>
        <w:rPr>
          <w:spacing w:val="76"/>
        </w:rPr>
        <w:t> </w:t>
      </w:r>
      <w:r>
        <w:rPr>
          <w:spacing w:val="-5"/>
        </w:rPr>
        <w:t>and</w:t>
      </w:r>
    </w:p>
    <w:p>
      <w:pPr>
        <w:pStyle w:val="BodyText"/>
        <w:spacing w:after="0" w:line="360" w:lineRule="auto"/>
        <w:sectPr>
          <w:pgSz w:w="12240" w:h="15840"/>
          <w:pgMar w:top="1820" w:bottom="280" w:left="1440" w:right="0"/>
        </w:sectPr>
      </w:pPr>
    </w:p>
    <w:p>
      <w:pPr>
        <w:pStyle w:val="BodyText"/>
        <w:spacing w:before="56"/>
        <w:jc w:val="left"/>
      </w:pPr>
    </w:p>
    <w:p>
      <w:pPr>
        <w:pStyle w:val="BodyText"/>
        <w:ind w:left="721"/>
      </w:pPr>
      <w:r>
        <w:rPr/>
        <w:t>political-electoral</w:t>
      </w:r>
      <w:r>
        <w:rPr>
          <w:spacing w:val="9"/>
        </w:rPr>
        <w:t> </w:t>
      </w:r>
      <w:r>
        <w:rPr/>
        <w:t>events</w:t>
      </w:r>
      <w:r>
        <w:rPr>
          <w:spacing w:val="19"/>
        </w:rPr>
        <w:t> </w:t>
      </w:r>
      <w:r>
        <w:rPr/>
        <w:t>—</w:t>
      </w:r>
      <w:r>
        <w:rPr>
          <w:spacing w:val="18"/>
        </w:rPr>
        <w:t> </w:t>
      </w:r>
      <w:r>
        <w:rPr/>
        <w:t>despite</w:t>
      </w:r>
      <w:r>
        <w:rPr>
          <w:spacing w:val="17"/>
        </w:rPr>
        <w:t> </w:t>
      </w:r>
      <w:r>
        <w:rPr/>
        <w:t>producing</w:t>
      </w:r>
      <w:r>
        <w:rPr>
          <w:spacing w:val="18"/>
        </w:rPr>
        <w:t> </w:t>
      </w:r>
      <w:r>
        <w:rPr/>
        <w:t>a</w:t>
      </w:r>
      <w:r>
        <w:rPr>
          <w:spacing w:val="17"/>
        </w:rPr>
        <w:t> </w:t>
      </w:r>
      <w:r>
        <w:rPr/>
        <w:t>comparably</w:t>
      </w:r>
      <w:r>
        <w:rPr>
          <w:spacing w:val="9"/>
        </w:rPr>
        <w:t> </w:t>
      </w:r>
      <w:r>
        <w:rPr/>
        <w:t>sharp</w:t>
      </w:r>
      <w:r>
        <w:rPr>
          <w:spacing w:val="18"/>
        </w:rPr>
        <w:t> </w:t>
      </w:r>
      <w:r>
        <w:rPr/>
        <w:t>event-day</w:t>
      </w:r>
      <w:r>
        <w:rPr>
          <w:spacing w:val="14"/>
        </w:rPr>
        <w:t> </w:t>
      </w:r>
      <w:r>
        <w:rPr>
          <w:spacing w:val="-4"/>
        </w:rPr>
        <w:t>fall</w:t>
      </w:r>
    </w:p>
    <w:p>
      <w:pPr>
        <w:pStyle w:val="BodyText"/>
        <w:spacing w:line="360" w:lineRule="auto" w:before="137"/>
        <w:ind w:left="721" w:right="2152"/>
      </w:pPr>
      <w:r>
        <w:rPr/>
        <w:t>— are absorbed by the market the fastest of the three categories examined. This suggests that markets treat election-driven uncertainty largely as a short-term, resolvable risk, whereas pandemic-driven and war-driven uncertainty is priced in as a more prolonged disruption to underlying economic fundamentals. These conclusions extend the body of literature reviewed in Chapter 3 by bringing together three structurally different categories of shock within one unified analytical</w:t>
      </w:r>
      <w:r>
        <w:rPr>
          <w:spacing w:val="-2"/>
        </w:rPr>
        <w:t> </w:t>
      </w:r>
      <w:r>
        <w:rPr/>
        <w:t>framework, and</w:t>
      </w:r>
      <w:r>
        <w:rPr>
          <w:spacing w:val="-2"/>
        </w:rPr>
        <w:t> </w:t>
      </w:r>
      <w:r>
        <w:rPr/>
        <w:t>by</w:t>
      </w:r>
      <w:r>
        <w:rPr>
          <w:spacing w:val="-7"/>
        </w:rPr>
        <w:t> </w:t>
      </w:r>
      <w:r>
        <w:rPr/>
        <w:t>formally</w:t>
      </w:r>
      <w:r>
        <w:rPr>
          <w:spacing w:val="-7"/>
        </w:rPr>
        <w:t> </w:t>
      </w:r>
      <w:r>
        <w:rPr/>
        <w:t>testing both</w:t>
      </w:r>
      <w:r>
        <w:rPr>
          <w:spacing w:val="-7"/>
        </w:rPr>
        <w:t> </w:t>
      </w:r>
      <w:r>
        <w:rPr/>
        <w:t>event-day</w:t>
      </w:r>
      <w:r>
        <w:rPr>
          <w:spacing w:val="-7"/>
        </w:rPr>
        <w:t> </w:t>
      </w:r>
      <w:r>
        <w:rPr/>
        <w:t>impact and</w:t>
      </w:r>
      <w:r>
        <w:rPr>
          <w:spacing w:val="-2"/>
        </w:rPr>
        <w:t> </w:t>
      </w:r>
      <w:r>
        <w:rPr/>
        <w:t>recovery pattern using the same statistical approach across all three events. The study is expected to serve as a useful reference point for investors, financial advisory practitioners, and future researchers seeking to understand how the Indian equity market absorbs and recovers from major economic shocks.</w:t>
      </w:r>
    </w:p>
    <w:p>
      <w:pPr>
        <w:pStyle w:val="BodyText"/>
        <w:spacing w:before="54"/>
        <w:jc w:val="left"/>
      </w:pPr>
    </w:p>
    <w:p>
      <w:pPr>
        <w:pStyle w:val="Heading2"/>
        <w:numPr>
          <w:ilvl w:val="1"/>
          <w:numId w:val="1"/>
        </w:numPr>
        <w:tabs>
          <w:tab w:pos="1085" w:val="left" w:leader="none"/>
        </w:tabs>
        <w:spacing w:line="240" w:lineRule="auto" w:before="0" w:after="0"/>
        <w:ind w:left="1085" w:right="0" w:hanging="364"/>
        <w:jc w:val="both"/>
      </w:pPr>
      <w:r>
        <w:rPr/>
        <w:t>Practical</w:t>
      </w:r>
      <w:r>
        <w:rPr>
          <w:spacing w:val="-6"/>
        </w:rPr>
        <w:t> </w:t>
      </w:r>
      <w:r>
        <w:rPr/>
        <w:t>Significance</w:t>
      </w:r>
      <w:r>
        <w:rPr>
          <w:spacing w:val="-2"/>
        </w:rPr>
        <w:t> </w:t>
      </w:r>
      <w:r>
        <w:rPr/>
        <w:t>for</w:t>
      </w:r>
      <w:r>
        <w:rPr>
          <w:spacing w:val="-6"/>
        </w:rPr>
        <w:t> </w:t>
      </w:r>
      <w:r>
        <w:rPr>
          <w:spacing w:val="-2"/>
        </w:rPr>
        <w:t>Stakeholders</w:t>
      </w:r>
    </w:p>
    <w:p>
      <w:pPr>
        <w:pStyle w:val="ListParagraph"/>
        <w:numPr>
          <w:ilvl w:val="2"/>
          <w:numId w:val="1"/>
        </w:numPr>
        <w:tabs>
          <w:tab w:pos="1441" w:val="left" w:leader="none"/>
        </w:tabs>
        <w:spacing w:line="360" w:lineRule="auto" w:before="175" w:after="0"/>
        <w:ind w:left="1441" w:right="2161" w:hanging="360"/>
        <w:jc w:val="both"/>
        <w:rPr>
          <w:sz w:val="24"/>
        </w:rPr>
      </w:pPr>
      <w:r>
        <w:rPr>
          <w:sz w:val="24"/>
        </w:rPr>
        <w:t>For retail investors, the study reinforces the case against panic-selling during</w:t>
      </w:r>
      <w:r>
        <w:rPr>
          <w:spacing w:val="-3"/>
          <w:sz w:val="24"/>
        </w:rPr>
        <w:t> </w:t>
      </w:r>
      <w:r>
        <w:rPr>
          <w:sz w:val="24"/>
        </w:rPr>
        <w:t>the</w:t>
      </w:r>
      <w:r>
        <w:rPr>
          <w:spacing w:val="-4"/>
          <w:sz w:val="24"/>
        </w:rPr>
        <w:t> </w:t>
      </w:r>
      <w:r>
        <w:rPr>
          <w:sz w:val="24"/>
        </w:rPr>
        <w:t>event window</w:t>
      </w:r>
      <w:r>
        <w:rPr>
          <w:spacing w:val="-4"/>
          <w:sz w:val="24"/>
        </w:rPr>
        <w:t> </w:t>
      </w:r>
      <w:r>
        <w:rPr>
          <w:sz w:val="24"/>
        </w:rPr>
        <w:t>itself,</w:t>
      </w:r>
      <w:r>
        <w:rPr>
          <w:spacing w:val="-1"/>
          <w:sz w:val="24"/>
        </w:rPr>
        <w:t> </w:t>
      </w:r>
      <w:r>
        <w:rPr>
          <w:sz w:val="24"/>
        </w:rPr>
        <w:t>since</w:t>
      </w:r>
      <w:r>
        <w:rPr>
          <w:spacing w:val="-4"/>
          <w:sz w:val="24"/>
        </w:rPr>
        <w:t> </w:t>
      </w:r>
      <w:r>
        <w:rPr>
          <w:sz w:val="24"/>
        </w:rPr>
        <w:t>the</w:t>
      </w:r>
      <w:r>
        <w:rPr>
          <w:spacing w:val="-4"/>
          <w:sz w:val="24"/>
        </w:rPr>
        <w:t> </w:t>
      </w:r>
      <w:r>
        <w:rPr>
          <w:sz w:val="24"/>
        </w:rPr>
        <w:t>sharpest fall</w:t>
      </w:r>
      <w:r>
        <w:rPr>
          <w:spacing w:val="-3"/>
          <w:sz w:val="24"/>
        </w:rPr>
        <w:t> </w:t>
      </w:r>
      <w:r>
        <w:rPr>
          <w:sz w:val="24"/>
        </w:rPr>
        <w:t>in</w:t>
      </w:r>
      <w:r>
        <w:rPr>
          <w:spacing w:val="-7"/>
          <w:sz w:val="24"/>
        </w:rPr>
        <w:t> </w:t>
      </w:r>
      <w:r>
        <w:rPr>
          <w:sz w:val="24"/>
        </w:rPr>
        <w:t>every</w:t>
      </w:r>
      <w:r>
        <w:rPr>
          <w:spacing w:val="-12"/>
          <w:sz w:val="24"/>
        </w:rPr>
        <w:t> </w:t>
      </w:r>
      <w:r>
        <w:rPr>
          <w:sz w:val="24"/>
        </w:rPr>
        <w:t>case</w:t>
      </w:r>
      <w:r>
        <w:rPr>
          <w:spacing w:val="-4"/>
          <w:sz w:val="24"/>
        </w:rPr>
        <w:t> </w:t>
      </w:r>
      <w:r>
        <w:rPr>
          <w:sz w:val="24"/>
        </w:rPr>
        <w:t>studied occurred within a single trading session and was followed by a structured recovery rather than a permanent loss of value; it further highlights the importance</w:t>
      </w:r>
      <w:r>
        <w:rPr>
          <w:spacing w:val="-9"/>
          <w:sz w:val="24"/>
        </w:rPr>
        <w:t> </w:t>
      </w:r>
      <w:r>
        <w:rPr>
          <w:sz w:val="24"/>
        </w:rPr>
        <w:t>of</w:t>
      </w:r>
      <w:r>
        <w:rPr>
          <w:spacing w:val="-15"/>
          <w:sz w:val="24"/>
        </w:rPr>
        <w:t> </w:t>
      </w:r>
      <w:r>
        <w:rPr>
          <w:sz w:val="24"/>
        </w:rPr>
        <w:t>distinguishing</w:t>
      </w:r>
      <w:r>
        <w:rPr>
          <w:spacing w:val="-8"/>
          <w:sz w:val="24"/>
        </w:rPr>
        <w:t> </w:t>
      </w:r>
      <w:r>
        <w:rPr>
          <w:sz w:val="24"/>
        </w:rPr>
        <w:t>between</w:t>
      </w:r>
      <w:r>
        <w:rPr>
          <w:spacing w:val="-13"/>
          <w:sz w:val="24"/>
        </w:rPr>
        <w:t> </w:t>
      </w:r>
      <w:r>
        <w:rPr>
          <w:sz w:val="24"/>
        </w:rPr>
        <w:t>event</w:t>
      </w:r>
      <w:r>
        <w:rPr>
          <w:spacing w:val="-4"/>
          <w:sz w:val="24"/>
        </w:rPr>
        <w:t> </w:t>
      </w:r>
      <w:r>
        <w:rPr>
          <w:sz w:val="24"/>
        </w:rPr>
        <w:t>categories</w:t>
      </w:r>
      <w:r>
        <w:rPr>
          <w:spacing w:val="-5"/>
          <w:sz w:val="24"/>
        </w:rPr>
        <w:t> </w:t>
      </w:r>
      <w:r>
        <w:rPr>
          <w:sz w:val="24"/>
        </w:rPr>
        <w:t>—</w:t>
      </w:r>
      <w:r>
        <w:rPr>
          <w:spacing w:val="-7"/>
          <w:sz w:val="24"/>
        </w:rPr>
        <w:t> </w:t>
      </w:r>
      <w:r>
        <w:rPr>
          <w:sz w:val="24"/>
        </w:rPr>
        <w:t>treating</w:t>
      </w:r>
      <w:r>
        <w:rPr>
          <w:spacing w:val="-8"/>
          <w:sz w:val="24"/>
        </w:rPr>
        <w:t> </w:t>
      </w:r>
      <w:r>
        <w:rPr>
          <w:sz w:val="24"/>
        </w:rPr>
        <w:t>election-driven volatility as a short-term episode, while allowing more time and a larger liquidity buffer around geopolitical and health-crisis events.</w:t>
      </w:r>
    </w:p>
    <w:p>
      <w:pPr>
        <w:pStyle w:val="ListParagraph"/>
        <w:numPr>
          <w:ilvl w:val="2"/>
          <w:numId w:val="1"/>
        </w:numPr>
        <w:tabs>
          <w:tab w:pos="1441" w:val="left" w:leader="none"/>
        </w:tabs>
        <w:spacing w:line="360" w:lineRule="auto" w:before="161" w:after="0"/>
        <w:ind w:left="1441" w:right="2151" w:hanging="360"/>
        <w:jc w:val="both"/>
        <w:rPr>
          <w:sz w:val="24"/>
        </w:rPr>
      </w:pPr>
      <w:r>
        <w:rPr>
          <w:sz w:val="24"/>
        </w:rPr>
        <w:t>For Demat Share Solutions and similar financial advisory firms, the study provides an evidence-based foundation for client communication during periods of market stress, and supports tightening leverage limits and stop-loss norms for clients trading in derivatives during the thirty-day window immediately following a major economic event.</w:t>
      </w:r>
    </w:p>
    <w:p>
      <w:pPr>
        <w:pStyle w:val="ListParagraph"/>
        <w:spacing w:after="0" w:line="360" w:lineRule="auto"/>
        <w:jc w:val="both"/>
        <w:rPr>
          <w:sz w:val="24"/>
        </w:rPr>
        <w:sectPr>
          <w:pgSz w:w="12240" w:h="15840"/>
          <w:pgMar w:top="1820" w:bottom="280" w:left="1440" w:right="0"/>
        </w:sectPr>
      </w:pPr>
    </w:p>
    <w:p>
      <w:pPr>
        <w:pStyle w:val="BodyText"/>
        <w:spacing w:before="56"/>
        <w:jc w:val="left"/>
      </w:pPr>
    </w:p>
    <w:p>
      <w:pPr>
        <w:pStyle w:val="ListParagraph"/>
        <w:numPr>
          <w:ilvl w:val="2"/>
          <w:numId w:val="1"/>
        </w:numPr>
        <w:tabs>
          <w:tab w:pos="1441" w:val="left" w:leader="none"/>
        </w:tabs>
        <w:spacing w:line="362" w:lineRule="auto" w:before="0" w:after="0"/>
        <w:ind w:left="1441" w:right="2150" w:hanging="360"/>
        <w:jc w:val="both"/>
        <w:rPr>
          <w:sz w:val="24"/>
        </w:rPr>
      </w:pPr>
      <w:r>
        <w:rPr>
          <w:sz w:val="24"/>
        </w:rPr>
        <w:t>For portfolio and risk managers, the study supports differentiated re-entry strategies</w:t>
      </w:r>
      <w:r>
        <w:rPr>
          <w:spacing w:val="-9"/>
          <w:sz w:val="24"/>
        </w:rPr>
        <w:t> </w:t>
      </w:r>
      <w:r>
        <w:rPr>
          <w:sz w:val="24"/>
        </w:rPr>
        <w:t>calibrated</w:t>
      </w:r>
      <w:r>
        <w:rPr>
          <w:spacing w:val="-7"/>
          <w:sz w:val="24"/>
        </w:rPr>
        <w:t> </w:t>
      </w:r>
      <w:r>
        <w:rPr>
          <w:sz w:val="24"/>
        </w:rPr>
        <w:t>to</w:t>
      </w:r>
      <w:r>
        <w:rPr>
          <w:spacing w:val="-6"/>
          <w:sz w:val="24"/>
        </w:rPr>
        <w:t> </w:t>
      </w:r>
      <w:r>
        <w:rPr>
          <w:sz w:val="24"/>
        </w:rPr>
        <w:t>event</w:t>
      </w:r>
      <w:r>
        <w:rPr>
          <w:spacing w:val="-2"/>
          <w:sz w:val="24"/>
        </w:rPr>
        <w:t> </w:t>
      </w:r>
      <w:r>
        <w:rPr>
          <w:sz w:val="24"/>
        </w:rPr>
        <w:t>category</w:t>
      </w:r>
      <w:r>
        <w:rPr>
          <w:spacing w:val="-15"/>
          <w:sz w:val="24"/>
        </w:rPr>
        <w:t> </w:t>
      </w:r>
      <w:r>
        <w:rPr>
          <w:sz w:val="24"/>
        </w:rPr>
        <w:t>rather</w:t>
      </w:r>
      <w:r>
        <w:rPr>
          <w:spacing w:val="-5"/>
          <w:sz w:val="24"/>
        </w:rPr>
        <w:t> </w:t>
      </w:r>
      <w:r>
        <w:rPr>
          <w:sz w:val="24"/>
        </w:rPr>
        <w:t>than</w:t>
      </w:r>
      <w:r>
        <w:rPr>
          <w:spacing w:val="-12"/>
          <w:sz w:val="24"/>
        </w:rPr>
        <w:t> </w:t>
      </w:r>
      <w:r>
        <w:rPr>
          <w:sz w:val="24"/>
        </w:rPr>
        <w:t>a</w:t>
      </w:r>
      <w:r>
        <w:rPr>
          <w:spacing w:val="-8"/>
          <w:sz w:val="24"/>
        </w:rPr>
        <w:t> </w:t>
      </w:r>
      <w:r>
        <w:rPr>
          <w:sz w:val="24"/>
        </w:rPr>
        <w:t>single</w:t>
      </w:r>
      <w:r>
        <w:rPr>
          <w:spacing w:val="-8"/>
          <w:sz w:val="24"/>
        </w:rPr>
        <w:t> </w:t>
      </w:r>
      <w:r>
        <w:rPr>
          <w:sz w:val="24"/>
        </w:rPr>
        <w:t>uniform</w:t>
      </w:r>
      <w:r>
        <w:rPr>
          <w:spacing w:val="-11"/>
          <w:sz w:val="24"/>
        </w:rPr>
        <w:t> </w:t>
      </w:r>
      <w:r>
        <w:rPr>
          <w:sz w:val="24"/>
        </w:rPr>
        <w:t>rule,</w:t>
      </w:r>
      <w:r>
        <w:rPr>
          <w:spacing w:val="-5"/>
          <w:sz w:val="24"/>
        </w:rPr>
        <w:t> </w:t>
      </w:r>
      <w:r>
        <w:rPr>
          <w:sz w:val="24"/>
        </w:rPr>
        <w:t>and cautions against using pre-event market momentum</w:t>
      </w:r>
      <w:r>
        <w:rPr>
          <w:spacing w:val="-2"/>
          <w:sz w:val="24"/>
        </w:rPr>
        <w:t> </w:t>
      </w:r>
      <w:r>
        <w:rPr>
          <w:sz w:val="24"/>
        </w:rPr>
        <w:t>as a predictor</w:t>
      </w:r>
      <w:r>
        <w:rPr>
          <w:spacing w:val="-1"/>
          <w:sz w:val="24"/>
        </w:rPr>
        <w:t> </w:t>
      </w:r>
      <w:r>
        <w:rPr>
          <w:sz w:val="24"/>
        </w:rPr>
        <w:t>of</w:t>
      </w:r>
      <w:r>
        <w:rPr>
          <w:spacing w:val="-1"/>
          <w:sz w:val="24"/>
        </w:rPr>
        <w:t> </w:t>
      </w:r>
      <w:r>
        <w:rPr>
          <w:sz w:val="24"/>
        </w:rPr>
        <w:t>post-event behaviour.</w:t>
      </w:r>
    </w:p>
    <w:p>
      <w:pPr>
        <w:pStyle w:val="ListParagraph"/>
        <w:numPr>
          <w:ilvl w:val="2"/>
          <w:numId w:val="1"/>
        </w:numPr>
        <w:tabs>
          <w:tab w:pos="1441" w:val="left" w:leader="none"/>
        </w:tabs>
        <w:spacing w:line="362" w:lineRule="auto" w:before="149" w:after="0"/>
        <w:ind w:left="1441" w:right="2151" w:hanging="360"/>
        <w:jc w:val="both"/>
        <w:rPr>
          <w:sz w:val="24"/>
        </w:rPr>
      </w:pPr>
      <w:r>
        <w:rPr>
          <w:sz w:val="24"/>
        </w:rPr>
        <w:t>For policymakers and market regulators, the confirmed statistical significance of event-day</w:t>
      </w:r>
      <w:r>
        <w:rPr>
          <w:spacing w:val="-1"/>
          <w:sz w:val="24"/>
        </w:rPr>
        <w:t> </w:t>
      </w:r>
      <w:r>
        <w:rPr>
          <w:sz w:val="24"/>
        </w:rPr>
        <w:t>volatility</w:t>
      </w:r>
      <w:r>
        <w:rPr>
          <w:spacing w:val="-1"/>
          <w:sz w:val="24"/>
        </w:rPr>
        <w:t> </w:t>
      </w:r>
      <w:r>
        <w:rPr>
          <w:sz w:val="24"/>
        </w:rPr>
        <w:t>spikes across all three event categories underscores the continued importance of circuit-breaker and market-stabilisation mechanisms around anticipated high-impact events such as national elections and Union Budget announcements.</w:t>
      </w:r>
    </w:p>
    <w:p>
      <w:pPr>
        <w:pStyle w:val="BodyText"/>
        <w:spacing w:line="360" w:lineRule="auto" w:before="149"/>
        <w:ind w:left="721" w:right="2154"/>
      </w:pPr>
      <w:r>
        <w:rPr/>
        <w:t>In</w:t>
      </w:r>
      <w:r>
        <w:rPr>
          <w:spacing w:val="-15"/>
        </w:rPr>
        <w:t> </w:t>
      </w:r>
      <w:r>
        <w:rPr/>
        <w:t>conclusion,</w:t>
      </w:r>
      <w:r>
        <w:rPr>
          <w:spacing w:val="-15"/>
        </w:rPr>
        <w:t> </w:t>
      </w:r>
      <w:r>
        <w:rPr/>
        <w:t>the</w:t>
      </w:r>
      <w:r>
        <w:rPr>
          <w:spacing w:val="-15"/>
        </w:rPr>
        <w:t> </w:t>
      </w:r>
      <w:r>
        <w:rPr/>
        <w:t>present</w:t>
      </w:r>
      <w:r>
        <w:rPr>
          <w:spacing w:val="-15"/>
        </w:rPr>
        <w:t> </w:t>
      </w:r>
      <w:r>
        <w:rPr/>
        <w:t>study</w:t>
      </w:r>
      <w:r>
        <w:rPr>
          <w:spacing w:val="-15"/>
        </w:rPr>
        <w:t> </w:t>
      </w:r>
      <w:r>
        <w:rPr/>
        <w:t>establishes,</w:t>
      </w:r>
      <w:r>
        <w:rPr>
          <w:spacing w:val="-10"/>
        </w:rPr>
        <w:t> </w:t>
      </w:r>
      <w:r>
        <w:rPr/>
        <w:t>with</w:t>
      </w:r>
      <w:r>
        <w:rPr>
          <w:spacing w:val="-15"/>
        </w:rPr>
        <w:t> </w:t>
      </w:r>
      <w:r>
        <w:rPr/>
        <w:t>statistical</w:t>
      </w:r>
      <w:r>
        <w:rPr>
          <w:spacing w:val="-15"/>
        </w:rPr>
        <w:t> </w:t>
      </w:r>
      <w:r>
        <w:rPr/>
        <w:t>support,</w:t>
      </w:r>
      <w:r>
        <w:rPr>
          <w:spacing w:val="-15"/>
        </w:rPr>
        <w:t> </w:t>
      </w:r>
      <w:r>
        <w:rPr/>
        <w:t>that</w:t>
      </w:r>
      <w:r>
        <w:rPr>
          <w:spacing w:val="-12"/>
        </w:rPr>
        <w:t> </w:t>
      </w:r>
      <w:r>
        <w:rPr/>
        <w:t>the</w:t>
      </w:r>
      <w:r>
        <w:rPr>
          <w:spacing w:val="-13"/>
        </w:rPr>
        <w:t> </w:t>
      </w:r>
      <w:r>
        <w:rPr/>
        <w:t>NIFTY 50 index reacts significantly to major economic events and that the speed of recovery from such events is event-category specific rather than uniform. The internship experience at Demat Share Solutions, Mumbai, provided the practical grounding — daily</w:t>
      </w:r>
      <w:r>
        <w:rPr>
          <w:spacing w:val="-4"/>
        </w:rPr>
        <w:t> </w:t>
      </w:r>
      <w:r>
        <w:rPr/>
        <w:t>exposure</w:t>
      </w:r>
      <w:r>
        <w:rPr>
          <w:spacing w:val="-3"/>
        </w:rPr>
        <w:t> </w:t>
      </w:r>
      <w:r>
        <w:rPr/>
        <w:t>to market movements, client advisory</w:t>
      </w:r>
      <w:r>
        <w:rPr>
          <w:spacing w:val="-8"/>
        </w:rPr>
        <w:t> </w:t>
      </w:r>
      <w:r>
        <w:rPr/>
        <w:t>conversations, and technical and derivatives research — that shaped the choice of this topic and enriched</w:t>
      </w:r>
      <w:r>
        <w:rPr>
          <w:spacing w:val="-17"/>
        </w:rPr>
        <w:t> </w:t>
      </w:r>
      <w:r>
        <w:rPr/>
        <w:t>the</w:t>
      </w:r>
      <w:r>
        <w:rPr>
          <w:spacing w:val="-15"/>
        </w:rPr>
        <w:t> </w:t>
      </w:r>
      <w:r>
        <w:rPr/>
        <w:t>interpretation</w:t>
      </w:r>
      <w:r>
        <w:rPr>
          <w:spacing w:val="-17"/>
        </w:rPr>
        <w:t> </w:t>
      </w:r>
      <w:r>
        <w:rPr/>
        <w:t>of</w:t>
      </w:r>
      <w:r>
        <w:rPr>
          <w:spacing w:val="-20"/>
        </w:rPr>
        <w:t> </w:t>
      </w:r>
      <w:r>
        <w:rPr/>
        <w:t>the</w:t>
      </w:r>
      <w:r>
        <w:rPr>
          <w:spacing w:val="-15"/>
        </w:rPr>
        <w:t> </w:t>
      </w:r>
      <w:r>
        <w:rPr/>
        <w:t>statistical</w:t>
      </w:r>
      <w:r>
        <w:rPr>
          <w:spacing w:val="-15"/>
        </w:rPr>
        <w:t> </w:t>
      </w:r>
      <w:r>
        <w:rPr/>
        <w:t>findings</w:t>
      </w:r>
      <w:r>
        <w:rPr>
          <w:spacing w:val="-15"/>
        </w:rPr>
        <w:t> </w:t>
      </w:r>
      <w:r>
        <w:rPr/>
        <w:t>with</w:t>
      </w:r>
      <w:r>
        <w:rPr>
          <w:spacing w:val="-17"/>
        </w:rPr>
        <w:t> </w:t>
      </w:r>
      <w:r>
        <w:rPr/>
        <w:t>real-world</w:t>
      </w:r>
      <w:r>
        <w:rPr>
          <w:spacing w:val="-15"/>
        </w:rPr>
        <w:t> </w:t>
      </w:r>
      <w:r>
        <w:rPr/>
        <w:t>market</w:t>
      </w:r>
      <w:r>
        <w:rPr>
          <w:spacing w:val="-13"/>
        </w:rPr>
        <w:t> </w:t>
      </w:r>
      <w:r>
        <w:rPr>
          <w:spacing w:val="-2"/>
        </w:rPr>
        <w:t>context.</w:t>
      </w:r>
    </w:p>
    <w:p>
      <w:pPr>
        <w:pStyle w:val="BodyText"/>
        <w:spacing w:before="130"/>
        <w:jc w:val="left"/>
      </w:pPr>
    </w:p>
    <w:p>
      <w:pPr>
        <w:pStyle w:val="Heading1"/>
        <w:numPr>
          <w:ilvl w:val="0"/>
          <w:numId w:val="1"/>
        </w:numPr>
        <w:tabs>
          <w:tab w:pos="1003" w:val="left" w:leader="none"/>
        </w:tabs>
        <w:spacing w:line="240" w:lineRule="auto" w:before="0" w:after="0"/>
        <w:ind w:left="1003" w:right="0" w:hanging="282"/>
        <w:jc w:val="left"/>
      </w:pPr>
      <w:r>
        <w:rPr>
          <w:spacing w:val="-2"/>
        </w:rPr>
        <w:t>REFERENCES</w:t>
      </w:r>
    </w:p>
    <w:p>
      <w:pPr>
        <w:spacing w:line="360" w:lineRule="auto" w:before="219"/>
        <w:ind w:left="1081" w:right="2152" w:hanging="360"/>
        <w:jc w:val="left"/>
        <w:rPr>
          <w:sz w:val="22"/>
        </w:rPr>
      </w:pPr>
      <w:r>
        <w:rPr>
          <w:sz w:val="22"/>
        </w:rPr>
        <w:t>Agarwal,</w:t>
      </w:r>
      <w:r>
        <w:rPr>
          <w:spacing w:val="80"/>
          <w:sz w:val="22"/>
        </w:rPr>
        <w:t> </w:t>
      </w:r>
      <w:r>
        <w:rPr>
          <w:sz w:val="22"/>
        </w:rPr>
        <w:t>S.,</w:t>
      </w:r>
      <w:r>
        <w:rPr>
          <w:spacing w:val="80"/>
          <w:sz w:val="22"/>
        </w:rPr>
        <w:t> </w:t>
      </w:r>
      <w:r>
        <w:rPr>
          <w:sz w:val="22"/>
        </w:rPr>
        <w:t>Bhattacharjee,</w:t>
      </w:r>
      <w:r>
        <w:rPr>
          <w:spacing w:val="80"/>
          <w:sz w:val="22"/>
        </w:rPr>
        <w:t> </w:t>
      </w:r>
      <w:r>
        <w:rPr>
          <w:sz w:val="22"/>
        </w:rPr>
        <w:t>K.,</w:t>
      </w:r>
      <w:r>
        <w:rPr>
          <w:spacing w:val="76"/>
          <w:sz w:val="22"/>
        </w:rPr>
        <w:t> </w:t>
      </w:r>
      <w:r>
        <w:rPr>
          <w:sz w:val="22"/>
        </w:rPr>
        <w:t>&amp;</w:t>
      </w:r>
      <w:r>
        <w:rPr>
          <w:spacing w:val="79"/>
          <w:sz w:val="22"/>
        </w:rPr>
        <w:t> </w:t>
      </w:r>
      <w:r>
        <w:rPr>
          <w:sz w:val="22"/>
        </w:rPr>
        <w:t>Bhattacharjee,</w:t>
      </w:r>
      <w:r>
        <w:rPr>
          <w:spacing w:val="80"/>
          <w:sz w:val="22"/>
        </w:rPr>
        <w:t> </w:t>
      </w:r>
      <w:r>
        <w:rPr>
          <w:sz w:val="22"/>
        </w:rPr>
        <w:t>A.</w:t>
      </w:r>
      <w:r>
        <w:rPr>
          <w:spacing w:val="80"/>
          <w:sz w:val="22"/>
        </w:rPr>
        <w:t> </w:t>
      </w:r>
      <w:r>
        <w:rPr>
          <w:sz w:val="22"/>
        </w:rPr>
        <w:t>(2023).</w:t>
      </w:r>
      <w:r>
        <w:rPr>
          <w:spacing w:val="80"/>
          <w:sz w:val="22"/>
        </w:rPr>
        <w:t> </w:t>
      </w:r>
      <w:r>
        <w:rPr>
          <w:sz w:val="22"/>
        </w:rPr>
        <w:t>Causal</w:t>
      </w:r>
      <w:r>
        <w:rPr>
          <w:spacing w:val="70"/>
          <w:sz w:val="22"/>
        </w:rPr>
        <w:t> </w:t>
      </w:r>
      <w:r>
        <w:rPr>
          <w:sz w:val="22"/>
        </w:rPr>
        <w:t>and</w:t>
      </w:r>
      <w:r>
        <w:rPr>
          <w:spacing w:val="78"/>
          <w:sz w:val="22"/>
        </w:rPr>
        <w:t> </w:t>
      </w:r>
      <w:r>
        <w:rPr>
          <w:sz w:val="22"/>
        </w:rPr>
        <w:t>long-run relationship between</w:t>
      </w:r>
      <w:r>
        <w:rPr>
          <w:spacing w:val="-2"/>
          <w:sz w:val="22"/>
        </w:rPr>
        <w:t> </w:t>
      </w:r>
      <w:r>
        <w:rPr>
          <w:sz w:val="22"/>
        </w:rPr>
        <w:t>FII flows and</w:t>
      </w:r>
      <w:r>
        <w:rPr>
          <w:spacing w:val="-2"/>
          <w:sz w:val="22"/>
        </w:rPr>
        <w:t> </w:t>
      </w:r>
      <w:r>
        <w:rPr>
          <w:sz w:val="22"/>
        </w:rPr>
        <w:t>NIFTY</w:t>
      </w:r>
      <w:r>
        <w:rPr>
          <w:spacing w:val="-3"/>
          <w:sz w:val="22"/>
        </w:rPr>
        <w:t> </w:t>
      </w:r>
      <w:r>
        <w:rPr>
          <w:sz w:val="22"/>
        </w:rPr>
        <w:t>50:</w:t>
      </w:r>
      <w:r>
        <w:rPr>
          <w:spacing w:val="-1"/>
          <w:sz w:val="22"/>
        </w:rPr>
        <w:t> </w:t>
      </w:r>
      <w:r>
        <w:rPr>
          <w:sz w:val="22"/>
        </w:rPr>
        <w:t>A</w:t>
      </w:r>
      <w:r>
        <w:rPr>
          <w:spacing w:val="-3"/>
          <w:sz w:val="22"/>
        </w:rPr>
        <w:t> </w:t>
      </w:r>
      <w:r>
        <w:rPr>
          <w:sz w:val="22"/>
        </w:rPr>
        <w:t>cointegration</w:t>
      </w:r>
      <w:r>
        <w:rPr>
          <w:spacing w:val="-2"/>
          <w:sz w:val="22"/>
        </w:rPr>
        <w:t> </w:t>
      </w:r>
      <w:r>
        <w:rPr>
          <w:sz w:val="22"/>
        </w:rPr>
        <w:t>and VECM approach.</w:t>
      </w:r>
    </w:p>
    <w:p>
      <w:pPr>
        <w:spacing w:line="360" w:lineRule="auto" w:before="120"/>
        <w:ind w:left="1081" w:right="2152" w:hanging="360"/>
        <w:jc w:val="left"/>
        <w:rPr>
          <w:sz w:val="22"/>
        </w:rPr>
      </w:pPr>
      <w:r>
        <w:rPr>
          <w:sz w:val="22"/>
        </w:rPr>
        <w:t>All Finance Journal. (2025). Performance and growth of NIFTY 50: A five-year analysis (April 2019–March 2024).</w:t>
      </w:r>
    </w:p>
    <w:p>
      <w:pPr>
        <w:spacing w:line="360" w:lineRule="auto" w:before="119"/>
        <w:ind w:left="1081" w:right="2152" w:hanging="360"/>
        <w:jc w:val="left"/>
        <w:rPr>
          <w:sz w:val="22"/>
        </w:rPr>
      </w:pPr>
      <w:r>
        <w:rPr>
          <w:sz w:val="22"/>
        </w:rPr>
        <w:t>arXiv Researchers. (2025). Impact</w:t>
      </w:r>
      <w:r>
        <w:rPr>
          <w:spacing w:val="27"/>
          <w:sz w:val="22"/>
        </w:rPr>
        <w:t> </w:t>
      </w:r>
      <w:r>
        <w:rPr>
          <w:sz w:val="22"/>
        </w:rPr>
        <w:t>of Union Budget announcements</w:t>
      </w:r>
      <w:r>
        <w:rPr>
          <w:spacing w:val="26"/>
          <w:sz w:val="22"/>
        </w:rPr>
        <w:t> </w:t>
      </w:r>
      <w:r>
        <w:rPr>
          <w:sz w:val="22"/>
        </w:rPr>
        <w:t>on NIFTY 50: An event study using CAPM-based abnormal returns.</w:t>
      </w:r>
    </w:p>
    <w:p>
      <w:pPr>
        <w:spacing w:line="360" w:lineRule="auto" w:before="120"/>
        <w:ind w:left="1081" w:right="2152" w:hanging="360"/>
        <w:jc w:val="left"/>
        <w:rPr>
          <w:sz w:val="22"/>
        </w:rPr>
      </w:pPr>
      <w:r>
        <w:rPr>
          <w:sz w:val="22"/>
        </w:rPr>
        <w:t>Bekaert,</w:t>
      </w:r>
      <w:r>
        <w:rPr>
          <w:spacing w:val="33"/>
          <w:sz w:val="22"/>
        </w:rPr>
        <w:t> </w:t>
      </w:r>
      <w:r>
        <w:rPr>
          <w:sz w:val="22"/>
        </w:rPr>
        <w:t>G.,</w:t>
      </w:r>
      <w:r>
        <w:rPr>
          <w:spacing w:val="28"/>
          <w:sz w:val="22"/>
        </w:rPr>
        <w:t> </w:t>
      </w:r>
      <w:r>
        <w:rPr>
          <w:sz w:val="22"/>
        </w:rPr>
        <w:t>Harvey,</w:t>
      </w:r>
      <w:r>
        <w:rPr>
          <w:spacing w:val="33"/>
          <w:sz w:val="22"/>
        </w:rPr>
        <w:t> </w:t>
      </w:r>
      <w:r>
        <w:rPr>
          <w:sz w:val="22"/>
        </w:rPr>
        <w:t>C.</w:t>
      </w:r>
      <w:r>
        <w:rPr>
          <w:spacing w:val="33"/>
          <w:sz w:val="22"/>
        </w:rPr>
        <w:t> </w:t>
      </w:r>
      <w:r>
        <w:rPr>
          <w:sz w:val="22"/>
        </w:rPr>
        <w:t>R.,</w:t>
      </w:r>
      <w:r>
        <w:rPr>
          <w:spacing w:val="28"/>
          <w:sz w:val="22"/>
        </w:rPr>
        <w:t> </w:t>
      </w:r>
      <w:r>
        <w:rPr>
          <w:sz w:val="22"/>
        </w:rPr>
        <w:t>&amp;</w:t>
      </w:r>
      <w:r>
        <w:rPr>
          <w:spacing w:val="31"/>
          <w:sz w:val="22"/>
        </w:rPr>
        <w:t> </w:t>
      </w:r>
      <w:r>
        <w:rPr>
          <w:sz w:val="22"/>
        </w:rPr>
        <w:t>Lundblad,</w:t>
      </w:r>
      <w:r>
        <w:rPr>
          <w:spacing w:val="33"/>
          <w:sz w:val="22"/>
        </w:rPr>
        <w:t> </w:t>
      </w:r>
      <w:r>
        <w:rPr>
          <w:sz w:val="22"/>
        </w:rPr>
        <w:t>C.</w:t>
      </w:r>
      <w:r>
        <w:rPr>
          <w:spacing w:val="33"/>
          <w:sz w:val="22"/>
        </w:rPr>
        <w:t> </w:t>
      </w:r>
      <w:r>
        <w:rPr>
          <w:sz w:val="22"/>
        </w:rPr>
        <w:t>(2005).</w:t>
      </w:r>
      <w:r>
        <w:rPr>
          <w:spacing w:val="23"/>
          <w:sz w:val="22"/>
        </w:rPr>
        <w:t> </w:t>
      </w:r>
      <w:r>
        <w:rPr>
          <w:sz w:val="22"/>
        </w:rPr>
        <w:t>Does</w:t>
      </w:r>
      <w:r>
        <w:rPr>
          <w:spacing w:val="31"/>
          <w:sz w:val="22"/>
        </w:rPr>
        <w:t> </w:t>
      </w:r>
      <w:r>
        <w:rPr>
          <w:sz w:val="22"/>
        </w:rPr>
        <w:t>financial</w:t>
      </w:r>
      <w:r>
        <w:rPr>
          <w:spacing w:val="32"/>
          <w:sz w:val="22"/>
        </w:rPr>
        <w:t> </w:t>
      </w:r>
      <w:r>
        <w:rPr>
          <w:sz w:val="22"/>
        </w:rPr>
        <w:t>liberalization</w:t>
      </w:r>
      <w:r>
        <w:rPr>
          <w:spacing w:val="26"/>
          <w:sz w:val="22"/>
        </w:rPr>
        <w:t> </w:t>
      </w:r>
      <w:r>
        <w:rPr>
          <w:sz w:val="22"/>
        </w:rPr>
        <w:t>spur growth? Journal of Financial Economics.</w:t>
      </w:r>
    </w:p>
    <w:p>
      <w:pPr>
        <w:spacing w:after="0" w:line="360" w:lineRule="auto"/>
        <w:jc w:val="left"/>
        <w:rPr>
          <w:sz w:val="22"/>
        </w:rPr>
        <w:sectPr>
          <w:pgSz w:w="12240" w:h="15840"/>
          <w:pgMar w:top="1820" w:bottom="280" w:left="1440" w:right="0"/>
        </w:sectPr>
      </w:pPr>
    </w:p>
    <w:p>
      <w:pPr>
        <w:pStyle w:val="BodyText"/>
        <w:spacing w:before="83"/>
        <w:jc w:val="left"/>
        <w:rPr>
          <w:sz w:val="22"/>
        </w:rPr>
      </w:pPr>
    </w:p>
    <w:p>
      <w:pPr>
        <w:spacing w:line="360" w:lineRule="auto" w:before="0"/>
        <w:ind w:left="1081" w:right="2152" w:hanging="360"/>
        <w:jc w:val="left"/>
        <w:rPr>
          <w:sz w:val="22"/>
        </w:rPr>
      </w:pPr>
      <w:r>
        <w:rPr>
          <w:sz w:val="22"/>
        </w:rPr>
        <w:t>Bhatt,</w:t>
      </w:r>
      <w:r>
        <w:rPr>
          <w:spacing w:val="-1"/>
          <w:sz w:val="22"/>
        </w:rPr>
        <w:t> </w:t>
      </w:r>
      <w:r>
        <w:rPr>
          <w:sz w:val="22"/>
        </w:rPr>
        <w:t>V.,</w:t>
      </w:r>
      <w:r>
        <w:rPr>
          <w:spacing w:val="-1"/>
          <w:sz w:val="22"/>
        </w:rPr>
        <w:t> </w:t>
      </w:r>
      <w:r>
        <w:rPr>
          <w:sz w:val="22"/>
        </w:rPr>
        <w:t>&amp;</w:t>
      </w:r>
      <w:r>
        <w:rPr>
          <w:spacing w:val="-2"/>
          <w:sz w:val="22"/>
        </w:rPr>
        <w:t> </w:t>
      </w:r>
      <w:r>
        <w:rPr>
          <w:sz w:val="22"/>
        </w:rPr>
        <w:t>Virmani, A.</w:t>
      </w:r>
      <w:r>
        <w:rPr>
          <w:spacing w:val="-1"/>
          <w:sz w:val="22"/>
        </w:rPr>
        <w:t> </w:t>
      </w:r>
      <w:r>
        <w:rPr>
          <w:sz w:val="22"/>
        </w:rPr>
        <w:t>(2005).</w:t>
      </w:r>
      <w:r>
        <w:rPr>
          <w:spacing w:val="-1"/>
          <w:sz w:val="22"/>
        </w:rPr>
        <w:t> </w:t>
      </w:r>
      <w:r>
        <w:rPr>
          <w:sz w:val="22"/>
        </w:rPr>
        <w:t>Global</w:t>
      </w:r>
      <w:r>
        <w:rPr>
          <w:spacing w:val="-7"/>
          <w:sz w:val="22"/>
        </w:rPr>
        <w:t> </w:t>
      </w:r>
      <w:r>
        <w:rPr>
          <w:sz w:val="22"/>
        </w:rPr>
        <w:t>integration</w:t>
      </w:r>
      <w:r>
        <w:rPr>
          <w:spacing w:val="-3"/>
          <w:sz w:val="22"/>
        </w:rPr>
        <w:t> </w:t>
      </w:r>
      <w:r>
        <w:rPr>
          <w:sz w:val="22"/>
        </w:rPr>
        <w:t>of</w:t>
      </w:r>
      <w:r>
        <w:rPr>
          <w:spacing w:val="-1"/>
          <w:sz w:val="22"/>
        </w:rPr>
        <w:t> </w:t>
      </w:r>
      <w:r>
        <w:rPr>
          <w:sz w:val="22"/>
        </w:rPr>
        <w:t>India's money</w:t>
      </w:r>
      <w:r>
        <w:rPr>
          <w:spacing w:val="-3"/>
          <w:sz w:val="22"/>
        </w:rPr>
        <w:t> </w:t>
      </w:r>
      <w:r>
        <w:rPr>
          <w:sz w:val="22"/>
        </w:rPr>
        <w:t>market:</w:t>
      </w:r>
      <w:r>
        <w:rPr>
          <w:spacing w:val="-7"/>
          <w:sz w:val="22"/>
        </w:rPr>
        <w:t> </w:t>
      </w:r>
      <w:r>
        <w:rPr>
          <w:sz w:val="22"/>
        </w:rPr>
        <w:t>Interest</w:t>
      </w:r>
      <w:r>
        <w:rPr>
          <w:spacing w:val="-2"/>
          <w:sz w:val="22"/>
        </w:rPr>
        <w:t> </w:t>
      </w:r>
      <w:r>
        <w:rPr>
          <w:sz w:val="22"/>
        </w:rPr>
        <w:t>rate parity in India.</w:t>
      </w:r>
    </w:p>
    <w:p>
      <w:pPr>
        <w:spacing w:line="360" w:lineRule="auto" w:before="120"/>
        <w:ind w:left="1081" w:right="2152" w:hanging="360"/>
        <w:jc w:val="left"/>
        <w:rPr>
          <w:sz w:val="22"/>
        </w:rPr>
      </w:pPr>
      <w:r>
        <w:rPr>
          <w:sz w:val="22"/>
        </w:rPr>
        <w:t>Bodla,</w:t>
      </w:r>
      <w:r>
        <w:rPr>
          <w:spacing w:val="-16"/>
          <w:sz w:val="22"/>
        </w:rPr>
        <w:t> </w:t>
      </w:r>
      <w:r>
        <w:rPr>
          <w:sz w:val="22"/>
        </w:rPr>
        <w:t>B.</w:t>
      </w:r>
      <w:r>
        <w:rPr>
          <w:spacing w:val="-14"/>
          <w:sz w:val="22"/>
        </w:rPr>
        <w:t> </w:t>
      </w:r>
      <w:r>
        <w:rPr>
          <w:sz w:val="22"/>
        </w:rPr>
        <w:t>S.,</w:t>
      </w:r>
      <w:r>
        <w:rPr>
          <w:spacing w:val="-14"/>
          <w:sz w:val="22"/>
        </w:rPr>
        <w:t> </w:t>
      </w:r>
      <w:r>
        <w:rPr>
          <w:sz w:val="22"/>
        </w:rPr>
        <w:t>&amp;</w:t>
      </w:r>
      <w:r>
        <w:rPr>
          <w:spacing w:val="-13"/>
          <w:sz w:val="22"/>
        </w:rPr>
        <w:t> </w:t>
      </w:r>
      <w:r>
        <w:rPr>
          <w:sz w:val="22"/>
        </w:rPr>
        <w:t>Jindal,</w:t>
      </w:r>
      <w:r>
        <w:rPr>
          <w:spacing w:val="-14"/>
          <w:sz w:val="22"/>
        </w:rPr>
        <w:t> </w:t>
      </w:r>
      <w:r>
        <w:rPr>
          <w:sz w:val="22"/>
        </w:rPr>
        <w:t>K.</w:t>
      </w:r>
      <w:r>
        <w:rPr>
          <w:spacing w:val="-14"/>
          <w:sz w:val="22"/>
        </w:rPr>
        <w:t> </w:t>
      </w:r>
      <w:r>
        <w:rPr>
          <w:sz w:val="22"/>
        </w:rPr>
        <w:t>(2006).</w:t>
      </w:r>
      <w:r>
        <w:rPr>
          <w:spacing w:val="-14"/>
          <w:sz w:val="22"/>
        </w:rPr>
        <w:t> </w:t>
      </w:r>
      <w:r>
        <w:rPr>
          <w:sz w:val="22"/>
        </w:rPr>
        <w:t>Seasonal</w:t>
      </w:r>
      <w:r>
        <w:rPr>
          <w:spacing w:val="-13"/>
          <w:sz w:val="22"/>
        </w:rPr>
        <w:t> </w:t>
      </w:r>
      <w:r>
        <w:rPr>
          <w:sz w:val="22"/>
        </w:rPr>
        <w:t>anomalies</w:t>
      </w:r>
      <w:r>
        <w:rPr>
          <w:spacing w:val="-14"/>
          <w:sz w:val="22"/>
        </w:rPr>
        <w:t> </w:t>
      </w:r>
      <w:r>
        <w:rPr>
          <w:sz w:val="22"/>
        </w:rPr>
        <w:t>in</w:t>
      </w:r>
      <w:r>
        <w:rPr>
          <w:spacing w:val="-14"/>
          <w:sz w:val="22"/>
        </w:rPr>
        <w:t> </w:t>
      </w:r>
      <w:r>
        <w:rPr>
          <w:sz w:val="22"/>
        </w:rPr>
        <w:t>stock</w:t>
      </w:r>
      <w:r>
        <w:rPr>
          <w:spacing w:val="-14"/>
          <w:sz w:val="22"/>
        </w:rPr>
        <w:t> </w:t>
      </w:r>
      <w:r>
        <w:rPr>
          <w:sz w:val="22"/>
        </w:rPr>
        <w:t>returns:</w:t>
      </w:r>
      <w:r>
        <w:rPr>
          <w:spacing w:val="-13"/>
          <w:sz w:val="22"/>
        </w:rPr>
        <w:t> </w:t>
      </w:r>
      <w:r>
        <w:rPr>
          <w:sz w:val="22"/>
        </w:rPr>
        <w:t>Evidence</w:t>
      </w:r>
      <w:r>
        <w:rPr>
          <w:spacing w:val="-14"/>
          <w:sz w:val="22"/>
        </w:rPr>
        <w:t> </w:t>
      </w:r>
      <w:r>
        <w:rPr>
          <w:sz w:val="22"/>
        </w:rPr>
        <w:t>from</w:t>
      </w:r>
      <w:r>
        <w:rPr>
          <w:spacing w:val="-16"/>
          <w:sz w:val="22"/>
        </w:rPr>
        <w:t> </w:t>
      </w:r>
      <w:r>
        <w:rPr>
          <w:sz w:val="22"/>
        </w:rPr>
        <w:t>India and the US. Decision.</w:t>
      </w:r>
    </w:p>
    <w:p>
      <w:pPr>
        <w:spacing w:line="360" w:lineRule="auto" w:before="120"/>
        <w:ind w:left="1081" w:right="2152" w:hanging="360"/>
        <w:jc w:val="left"/>
        <w:rPr>
          <w:sz w:val="22"/>
        </w:rPr>
      </w:pPr>
      <w:r>
        <w:rPr>
          <w:sz w:val="22"/>
        </w:rPr>
        <w:t>Bombay</w:t>
      </w:r>
      <w:r>
        <w:rPr>
          <w:spacing w:val="80"/>
          <w:sz w:val="22"/>
        </w:rPr>
        <w:t> </w:t>
      </w:r>
      <w:r>
        <w:rPr>
          <w:sz w:val="22"/>
        </w:rPr>
        <w:t>Stock</w:t>
      </w:r>
      <w:r>
        <w:rPr>
          <w:spacing w:val="80"/>
          <w:sz w:val="22"/>
        </w:rPr>
        <w:t> </w:t>
      </w:r>
      <w:r>
        <w:rPr>
          <w:sz w:val="22"/>
        </w:rPr>
        <w:t>Exchange</w:t>
      </w:r>
      <w:r>
        <w:rPr>
          <w:spacing w:val="80"/>
          <w:sz w:val="22"/>
        </w:rPr>
        <w:t> </w:t>
      </w:r>
      <w:r>
        <w:rPr>
          <w:sz w:val="22"/>
        </w:rPr>
        <w:t>of</w:t>
      </w:r>
      <w:r>
        <w:rPr>
          <w:spacing w:val="80"/>
          <w:sz w:val="22"/>
        </w:rPr>
        <w:t> </w:t>
      </w:r>
      <w:r>
        <w:rPr>
          <w:sz w:val="22"/>
        </w:rPr>
        <w:t>India.</w:t>
      </w:r>
      <w:r>
        <w:rPr>
          <w:spacing w:val="80"/>
          <w:sz w:val="22"/>
        </w:rPr>
        <w:t> </w:t>
      </w:r>
      <w:r>
        <w:rPr>
          <w:sz w:val="22"/>
        </w:rPr>
        <w:t>Cross-verification</w:t>
      </w:r>
      <w:r>
        <w:rPr>
          <w:spacing w:val="80"/>
          <w:sz w:val="22"/>
        </w:rPr>
        <w:t> </w:t>
      </w:r>
      <w:r>
        <w:rPr>
          <w:sz w:val="22"/>
        </w:rPr>
        <w:t>market</w:t>
      </w:r>
      <w:r>
        <w:rPr>
          <w:spacing w:val="80"/>
          <w:sz w:val="22"/>
        </w:rPr>
        <w:t> </w:t>
      </w:r>
      <w:r>
        <w:rPr>
          <w:sz w:val="22"/>
        </w:rPr>
        <w:t>data</w:t>
      </w:r>
      <w:r>
        <w:rPr>
          <w:spacing w:val="80"/>
          <w:sz w:val="22"/>
        </w:rPr>
        <w:t> </w:t>
      </w:r>
      <w:r>
        <w:rPr>
          <w:sz w:val="22"/>
        </w:rPr>
        <w:t>(2020–2025).</w:t>
      </w:r>
      <w:r>
        <w:rPr>
          <w:spacing w:val="80"/>
          <w:sz w:val="22"/>
        </w:rPr>
        <w:t> </w:t>
      </w:r>
      <w:hyperlink r:id="rId9">
        <w:r>
          <w:rPr>
            <w:spacing w:val="-2"/>
            <w:sz w:val="22"/>
          </w:rPr>
          <w:t>www.bseindia.com</w:t>
        </w:r>
      </w:hyperlink>
    </w:p>
    <w:p>
      <w:pPr>
        <w:spacing w:line="360" w:lineRule="auto" w:before="120"/>
        <w:ind w:left="1081" w:right="2152" w:hanging="360"/>
        <w:jc w:val="left"/>
        <w:rPr>
          <w:sz w:val="22"/>
        </w:rPr>
      </w:pPr>
      <w:r>
        <w:rPr>
          <w:sz w:val="22"/>
        </w:rPr>
        <w:t>Chittedi,</w:t>
      </w:r>
      <w:r>
        <w:rPr>
          <w:spacing w:val="-4"/>
          <w:sz w:val="22"/>
        </w:rPr>
        <w:t> </w:t>
      </w:r>
      <w:r>
        <w:rPr>
          <w:sz w:val="22"/>
        </w:rPr>
        <w:t>K.</w:t>
      </w:r>
      <w:r>
        <w:rPr>
          <w:spacing w:val="-8"/>
          <w:sz w:val="22"/>
        </w:rPr>
        <w:t> </w:t>
      </w:r>
      <w:r>
        <w:rPr>
          <w:sz w:val="22"/>
        </w:rPr>
        <w:t>R.</w:t>
      </w:r>
      <w:r>
        <w:rPr>
          <w:spacing w:val="-8"/>
          <w:sz w:val="22"/>
        </w:rPr>
        <w:t> </w:t>
      </w:r>
      <w:r>
        <w:rPr>
          <w:sz w:val="22"/>
        </w:rPr>
        <w:t>(2015).</w:t>
      </w:r>
      <w:r>
        <w:rPr>
          <w:spacing w:val="-13"/>
          <w:sz w:val="22"/>
        </w:rPr>
        <w:t> </w:t>
      </w:r>
      <w:r>
        <w:rPr>
          <w:sz w:val="22"/>
        </w:rPr>
        <w:t>Financial</w:t>
      </w:r>
      <w:r>
        <w:rPr>
          <w:spacing w:val="-9"/>
          <w:sz w:val="22"/>
        </w:rPr>
        <w:t> </w:t>
      </w:r>
      <w:r>
        <w:rPr>
          <w:sz w:val="22"/>
        </w:rPr>
        <w:t>crisis</w:t>
      </w:r>
      <w:r>
        <w:rPr>
          <w:spacing w:val="-5"/>
          <w:sz w:val="22"/>
        </w:rPr>
        <w:t> </w:t>
      </w:r>
      <w:r>
        <w:rPr>
          <w:sz w:val="22"/>
        </w:rPr>
        <w:t>and</w:t>
      </w:r>
      <w:r>
        <w:rPr>
          <w:spacing w:val="-11"/>
          <w:sz w:val="22"/>
        </w:rPr>
        <w:t> </w:t>
      </w:r>
      <w:r>
        <w:rPr>
          <w:sz w:val="22"/>
        </w:rPr>
        <w:t>contagion</w:t>
      </w:r>
      <w:r>
        <w:rPr>
          <w:spacing w:val="-6"/>
          <w:sz w:val="22"/>
        </w:rPr>
        <w:t> </w:t>
      </w:r>
      <w:r>
        <w:rPr>
          <w:sz w:val="22"/>
        </w:rPr>
        <w:t>effects</w:t>
      </w:r>
      <w:r>
        <w:rPr>
          <w:spacing w:val="-5"/>
          <w:sz w:val="22"/>
        </w:rPr>
        <w:t> </w:t>
      </w:r>
      <w:r>
        <w:rPr>
          <w:sz w:val="22"/>
        </w:rPr>
        <w:t>to</w:t>
      </w:r>
      <w:r>
        <w:rPr>
          <w:spacing w:val="-11"/>
          <w:sz w:val="22"/>
        </w:rPr>
        <w:t> </w:t>
      </w:r>
      <w:r>
        <w:rPr>
          <w:sz w:val="22"/>
        </w:rPr>
        <w:t>Indian</w:t>
      </w:r>
      <w:r>
        <w:rPr>
          <w:spacing w:val="-11"/>
          <w:sz w:val="22"/>
        </w:rPr>
        <w:t> </w:t>
      </w:r>
      <w:r>
        <w:rPr>
          <w:sz w:val="22"/>
        </w:rPr>
        <w:t>stock</w:t>
      </w:r>
      <w:r>
        <w:rPr>
          <w:spacing w:val="-6"/>
          <w:sz w:val="22"/>
        </w:rPr>
        <w:t> </w:t>
      </w:r>
      <w:r>
        <w:rPr>
          <w:sz w:val="22"/>
        </w:rPr>
        <w:t>market:</w:t>
      </w:r>
      <w:r>
        <w:rPr>
          <w:spacing w:val="-9"/>
          <w:sz w:val="22"/>
        </w:rPr>
        <w:t> </w:t>
      </w:r>
      <w:r>
        <w:rPr>
          <w:sz w:val="22"/>
        </w:rPr>
        <w:t>DCC-GARCH model.</w:t>
      </w:r>
    </w:p>
    <w:p>
      <w:pPr>
        <w:spacing w:line="364" w:lineRule="auto" w:before="120"/>
        <w:ind w:left="1081" w:right="2152" w:hanging="360"/>
        <w:jc w:val="left"/>
        <w:rPr>
          <w:sz w:val="22"/>
        </w:rPr>
      </w:pPr>
      <w:r>
        <w:rPr>
          <w:sz w:val="22"/>
        </w:rPr>
        <w:t>Dey, S.,</w:t>
      </w:r>
      <w:r>
        <w:rPr>
          <w:spacing w:val="-1"/>
          <w:sz w:val="22"/>
        </w:rPr>
        <w:t> </w:t>
      </w:r>
      <w:r>
        <w:rPr>
          <w:sz w:val="22"/>
        </w:rPr>
        <w:t>&amp;</w:t>
      </w:r>
      <w:r>
        <w:rPr>
          <w:spacing w:val="-2"/>
          <w:sz w:val="22"/>
        </w:rPr>
        <w:t> </w:t>
      </w:r>
      <w:r>
        <w:rPr>
          <w:sz w:val="22"/>
        </w:rPr>
        <w:t>Bhattacharjee, S. (2023).</w:t>
      </w:r>
      <w:r>
        <w:rPr>
          <w:spacing w:val="-1"/>
          <w:sz w:val="22"/>
        </w:rPr>
        <w:t> </w:t>
      </w:r>
      <w:r>
        <w:rPr>
          <w:sz w:val="22"/>
        </w:rPr>
        <w:t>Stock market reaction</w:t>
      </w:r>
      <w:r>
        <w:rPr>
          <w:spacing w:val="-3"/>
          <w:sz w:val="22"/>
        </w:rPr>
        <w:t> </w:t>
      </w:r>
      <w:r>
        <w:rPr>
          <w:sz w:val="22"/>
        </w:rPr>
        <w:t>to</w:t>
      </w:r>
      <w:r>
        <w:rPr>
          <w:spacing w:val="-3"/>
          <w:sz w:val="22"/>
        </w:rPr>
        <w:t> </w:t>
      </w:r>
      <w:r>
        <w:rPr>
          <w:sz w:val="22"/>
        </w:rPr>
        <w:t>COVID-19 announcements in India: An event study approach.</w:t>
      </w:r>
    </w:p>
    <w:p>
      <w:pPr>
        <w:spacing w:before="114"/>
        <w:ind w:left="721" w:right="0" w:firstLine="0"/>
        <w:jc w:val="left"/>
        <w:rPr>
          <w:sz w:val="22"/>
        </w:rPr>
      </w:pPr>
      <w:r>
        <w:rPr>
          <w:sz w:val="22"/>
        </w:rPr>
        <w:t>Gupta,</w:t>
      </w:r>
      <w:r>
        <w:rPr>
          <w:spacing w:val="-12"/>
          <w:sz w:val="22"/>
        </w:rPr>
        <w:t> </w:t>
      </w:r>
      <w:r>
        <w:rPr>
          <w:sz w:val="22"/>
        </w:rPr>
        <w:t>R.,</w:t>
      </w:r>
      <w:r>
        <w:rPr>
          <w:spacing w:val="-9"/>
          <w:sz w:val="22"/>
        </w:rPr>
        <w:t> </w:t>
      </w:r>
      <w:r>
        <w:rPr>
          <w:sz w:val="22"/>
        </w:rPr>
        <w:t>&amp;</w:t>
      </w:r>
      <w:r>
        <w:rPr>
          <w:spacing w:val="-14"/>
          <w:sz w:val="22"/>
        </w:rPr>
        <w:t> </w:t>
      </w:r>
      <w:r>
        <w:rPr>
          <w:sz w:val="22"/>
        </w:rPr>
        <w:t>Reid,</w:t>
      </w:r>
      <w:r>
        <w:rPr>
          <w:spacing w:val="-6"/>
          <w:sz w:val="22"/>
        </w:rPr>
        <w:t> </w:t>
      </w:r>
      <w:r>
        <w:rPr>
          <w:sz w:val="22"/>
        </w:rPr>
        <w:t>M.</w:t>
      </w:r>
      <w:r>
        <w:rPr>
          <w:spacing w:val="-10"/>
          <w:sz w:val="22"/>
        </w:rPr>
        <w:t> </w:t>
      </w:r>
      <w:r>
        <w:rPr>
          <w:sz w:val="22"/>
        </w:rPr>
        <w:t>(2013).</w:t>
      </w:r>
      <w:r>
        <w:rPr>
          <w:spacing w:val="-10"/>
          <w:sz w:val="22"/>
        </w:rPr>
        <w:t> </w:t>
      </w:r>
      <w:r>
        <w:rPr>
          <w:sz w:val="22"/>
        </w:rPr>
        <w:t>Macroeconomic</w:t>
      </w:r>
      <w:r>
        <w:rPr>
          <w:spacing w:val="-9"/>
          <w:sz w:val="22"/>
        </w:rPr>
        <w:t> </w:t>
      </w:r>
      <w:r>
        <w:rPr>
          <w:sz w:val="22"/>
        </w:rPr>
        <w:t>surprises</w:t>
      </w:r>
      <w:r>
        <w:rPr>
          <w:spacing w:val="-12"/>
          <w:sz w:val="22"/>
        </w:rPr>
        <w:t> </w:t>
      </w:r>
      <w:r>
        <w:rPr>
          <w:sz w:val="22"/>
        </w:rPr>
        <w:t>and</w:t>
      </w:r>
      <w:r>
        <w:rPr>
          <w:spacing w:val="-12"/>
          <w:sz w:val="22"/>
        </w:rPr>
        <w:t> </w:t>
      </w:r>
      <w:r>
        <w:rPr>
          <w:sz w:val="22"/>
        </w:rPr>
        <w:t>stock</w:t>
      </w:r>
      <w:r>
        <w:rPr>
          <w:spacing w:val="-13"/>
          <w:sz w:val="22"/>
        </w:rPr>
        <w:t> </w:t>
      </w:r>
      <w:r>
        <w:rPr>
          <w:sz w:val="22"/>
        </w:rPr>
        <w:t>returns</w:t>
      </w:r>
      <w:r>
        <w:rPr>
          <w:spacing w:val="-7"/>
          <w:sz w:val="22"/>
        </w:rPr>
        <w:t> </w:t>
      </w:r>
      <w:r>
        <w:rPr>
          <w:sz w:val="22"/>
        </w:rPr>
        <w:t>in</w:t>
      </w:r>
      <w:r>
        <w:rPr>
          <w:spacing w:val="-12"/>
          <w:sz w:val="22"/>
        </w:rPr>
        <w:t> </w:t>
      </w:r>
      <w:r>
        <w:rPr>
          <w:sz w:val="22"/>
        </w:rPr>
        <w:t>South</w:t>
      </w:r>
      <w:r>
        <w:rPr>
          <w:spacing w:val="-12"/>
          <w:sz w:val="22"/>
        </w:rPr>
        <w:t> </w:t>
      </w:r>
      <w:r>
        <w:rPr>
          <w:spacing w:val="-2"/>
          <w:sz w:val="22"/>
        </w:rPr>
        <w:t>Africa.</w:t>
      </w:r>
    </w:p>
    <w:p>
      <w:pPr>
        <w:spacing w:before="126"/>
        <w:ind w:left="1081" w:right="0" w:firstLine="0"/>
        <w:jc w:val="left"/>
        <w:rPr>
          <w:sz w:val="22"/>
        </w:rPr>
      </w:pPr>
      <w:r>
        <w:rPr>
          <w:sz w:val="22"/>
        </w:rPr>
        <w:t>Studies</w:t>
      </w:r>
      <w:r>
        <w:rPr>
          <w:spacing w:val="-3"/>
          <w:sz w:val="22"/>
        </w:rPr>
        <w:t> </w:t>
      </w:r>
      <w:r>
        <w:rPr>
          <w:sz w:val="22"/>
        </w:rPr>
        <w:t>in</w:t>
      </w:r>
      <w:r>
        <w:rPr>
          <w:spacing w:val="-7"/>
          <w:sz w:val="22"/>
        </w:rPr>
        <w:t> </w:t>
      </w:r>
      <w:r>
        <w:rPr>
          <w:sz w:val="22"/>
        </w:rPr>
        <w:t>Economics</w:t>
      </w:r>
      <w:r>
        <w:rPr>
          <w:spacing w:val="-3"/>
          <w:sz w:val="22"/>
        </w:rPr>
        <w:t> </w:t>
      </w:r>
      <w:r>
        <w:rPr>
          <w:sz w:val="22"/>
        </w:rPr>
        <w:t>and</w:t>
      </w:r>
      <w:r>
        <w:rPr>
          <w:spacing w:val="-7"/>
          <w:sz w:val="22"/>
        </w:rPr>
        <w:t> </w:t>
      </w:r>
      <w:r>
        <w:rPr>
          <w:spacing w:val="-2"/>
          <w:sz w:val="22"/>
        </w:rPr>
        <w:t>Finance.</w:t>
      </w:r>
    </w:p>
    <w:p>
      <w:pPr>
        <w:spacing w:before="247"/>
        <w:ind w:left="721" w:right="0" w:firstLine="0"/>
        <w:jc w:val="left"/>
        <w:rPr>
          <w:sz w:val="22"/>
        </w:rPr>
      </w:pPr>
      <w:r>
        <w:rPr>
          <w:sz w:val="22"/>
        </w:rPr>
        <w:t>Jain,</w:t>
      </w:r>
      <w:r>
        <w:rPr>
          <w:spacing w:val="-1"/>
          <w:sz w:val="22"/>
        </w:rPr>
        <w:t> </w:t>
      </w:r>
      <w:r>
        <w:rPr>
          <w:sz w:val="22"/>
        </w:rPr>
        <w:t>P.</w:t>
      </w:r>
      <w:r>
        <w:rPr>
          <w:spacing w:val="-3"/>
          <w:sz w:val="22"/>
        </w:rPr>
        <w:t> </w:t>
      </w:r>
      <w:r>
        <w:rPr>
          <w:sz w:val="22"/>
        </w:rPr>
        <w:t>(2025).</w:t>
      </w:r>
      <w:r>
        <w:rPr>
          <w:spacing w:val="-4"/>
          <w:sz w:val="22"/>
        </w:rPr>
        <w:t> </w:t>
      </w:r>
      <w:r>
        <w:rPr>
          <w:sz w:val="22"/>
        </w:rPr>
        <w:t>Relationship between</w:t>
      </w:r>
      <w:r>
        <w:rPr>
          <w:spacing w:val="-6"/>
          <w:sz w:val="22"/>
        </w:rPr>
        <w:t> </w:t>
      </w:r>
      <w:r>
        <w:rPr>
          <w:sz w:val="22"/>
        </w:rPr>
        <w:t>RBI</w:t>
      </w:r>
      <w:r>
        <w:rPr>
          <w:spacing w:val="-2"/>
          <w:sz w:val="22"/>
        </w:rPr>
        <w:t> </w:t>
      </w:r>
      <w:r>
        <w:rPr>
          <w:sz w:val="22"/>
        </w:rPr>
        <w:t>repo</w:t>
      </w:r>
      <w:r>
        <w:rPr>
          <w:spacing w:val="-5"/>
          <w:sz w:val="22"/>
        </w:rPr>
        <w:t> </w:t>
      </w:r>
      <w:r>
        <w:rPr>
          <w:sz w:val="22"/>
        </w:rPr>
        <w:t>rate</w:t>
      </w:r>
      <w:r>
        <w:rPr>
          <w:spacing w:val="-8"/>
          <w:sz w:val="22"/>
        </w:rPr>
        <w:t> </w:t>
      </w:r>
      <w:r>
        <w:rPr>
          <w:sz w:val="22"/>
        </w:rPr>
        <w:t>and</w:t>
      </w:r>
      <w:r>
        <w:rPr>
          <w:spacing w:val="-5"/>
          <w:sz w:val="22"/>
        </w:rPr>
        <w:t> </w:t>
      </w:r>
      <w:r>
        <w:rPr>
          <w:sz w:val="22"/>
        </w:rPr>
        <w:t>NIFTY</w:t>
      </w:r>
      <w:r>
        <w:rPr>
          <w:spacing w:val="-6"/>
          <w:sz w:val="22"/>
        </w:rPr>
        <w:t> </w:t>
      </w:r>
      <w:r>
        <w:rPr>
          <w:sz w:val="22"/>
        </w:rPr>
        <w:t>50:</w:t>
      </w:r>
      <w:r>
        <w:rPr>
          <w:spacing w:val="-5"/>
          <w:sz w:val="22"/>
        </w:rPr>
        <w:t> </w:t>
      </w:r>
      <w:r>
        <w:rPr>
          <w:sz w:val="22"/>
        </w:rPr>
        <w:t>A</w:t>
      </w:r>
      <w:r>
        <w:rPr>
          <w:spacing w:val="-6"/>
          <w:sz w:val="22"/>
        </w:rPr>
        <w:t> </w:t>
      </w:r>
      <w:r>
        <w:rPr>
          <w:sz w:val="22"/>
        </w:rPr>
        <w:t>ten-year</w:t>
      </w:r>
      <w:r>
        <w:rPr>
          <w:spacing w:val="3"/>
          <w:sz w:val="22"/>
        </w:rPr>
        <w:t> </w:t>
      </w:r>
      <w:r>
        <w:rPr>
          <w:spacing w:val="-2"/>
          <w:sz w:val="22"/>
        </w:rPr>
        <w:t>analysis.</w:t>
      </w:r>
    </w:p>
    <w:p>
      <w:pPr>
        <w:spacing w:line="360" w:lineRule="auto" w:before="246"/>
        <w:ind w:left="1081" w:right="2152" w:hanging="360"/>
        <w:jc w:val="left"/>
        <w:rPr>
          <w:sz w:val="22"/>
        </w:rPr>
      </w:pPr>
      <w:r>
        <w:rPr>
          <w:sz w:val="22"/>
        </w:rPr>
        <w:t>Kaushik, S., &amp; Kumar, R. (2023). Impact of the Russia-Ukraine war on the Indian stock market: An event study on NIFTY 50.</w:t>
      </w:r>
    </w:p>
    <w:p>
      <w:pPr>
        <w:spacing w:line="360" w:lineRule="auto" w:before="119"/>
        <w:ind w:left="1081" w:right="2152" w:hanging="360"/>
        <w:jc w:val="left"/>
        <w:rPr>
          <w:sz w:val="22"/>
        </w:rPr>
      </w:pPr>
      <w:r>
        <w:rPr>
          <w:sz w:val="22"/>
        </w:rPr>
        <w:t>Mishra,</w:t>
      </w:r>
      <w:r>
        <w:rPr>
          <w:spacing w:val="-10"/>
          <w:sz w:val="22"/>
        </w:rPr>
        <w:t> </w:t>
      </w:r>
      <w:r>
        <w:rPr>
          <w:sz w:val="22"/>
        </w:rPr>
        <w:t>P.</w:t>
      </w:r>
      <w:r>
        <w:rPr>
          <w:spacing w:val="-10"/>
          <w:sz w:val="22"/>
        </w:rPr>
        <w:t> </w:t>
      </w:r>
      <w:r>
        <w:rPr>
          <w:sz w:val="22"/>
        </w:rPr>
        <w:t>K.</w:t>
      </w:r>
      <w:r>
        <w:rPr>
          <w:spacing w:val="-6"/>
          <w:sz w:val="22"/>
        </w:rPr>
        <w:t> </w:t>
      </w:r>
      <w:r>
        <w:rPr>
          <w:sz w:val="22"/>
        </w:rPr>
        <w:t>(2010).</w:t>
      </w:r>
      <w:r>
        <w:rPr>
          <w:spacing w:val="-10"/>
          <w:sz w:val="22"/>
        </w:rPr>
        <w:t> </w:t>
      </w:r>
      <w:r>
        <w:rPr>
          <w:sz w:val="22"/>
        </w:rPr>
        <w:t>Modelling</w:t>
      </w:r>
      <w:r>
        <w:rPr>
          <w:spacing w:val="-13"/>
          <w:sz w:val="22"/>
        </w:rPr>
        <w:t> </w:t>
      </w:r>
      <w:r>
        <w:rPr>
          <w:sz w:val="22"/>
        </w:rPr>
        <w:t>stock</w:t>
      </w:r>
      <w:r>
        <w:rPr>
          <w:spacing w:val="-8"/>
          <w:sz w:val="22"/>
        </w:rPr>
        <w:t> </w:t>
      </w:r>
      <w:r>
        <w:rPr>
          <w:sz w:val="22"/>
        </w:rPr>
        <w:t>market</w:t>
      </w:r>
      <w:r>
        <w:rPr>
          <w:spacing w:val="-7"/>
          <w:sz w:val="22"/>
        </w:rPr>
        <w:t> </w:t>
      </w:r>
      <w:r>
        <w:rPr>
          <w:sz w:val="22"/>
        </w:rPr>
        <w:t>volatility</w:t>
      </w:r>
      <w:r>
        <w:rPr>
          <w:spacing w:val="-13"/>
          <w:sz w:val="22"/>
        </w:rPr>
        <w:t> </w:t>
      </w:r>
      <w:r>
        <w:rPr>
          <w:sz w:val="22"/>
        </w:rPr>
        <w:t>in</w:t>
      </w:r>
      <w:r>
        <w:rPr>
          <w:spacing w:val="-13"/>
          <w:sz w:val="22"/>
        </w:rPr>
        <w:t> </w:t>
      </w:r>
      <w:r>
        <w:rPr>
          <w:sz w:val="22"/>
        </w:rPr>
        <w:t>India</w:t>
      </w:r>
      <w:r>
        <w:rPr>
          <w:spacing w:val="-5"/>
          <w:sz w:val="22"/>
        </w:rPr>
        <w:t> </w:t>
      </w:r>
      <w:r>
        <w:rPr>
          <w:sz w:val="22"/>
        </w:rPr>
        <w:t>using</w:t>
      </w:r>
      <w:r>
        <w:rPr>
          <w:spacing w:val="-13"/>
          <w:sz w:val="22"/>
        </w:rPr>
        <w:t> </w:t>
      </w:r>
      <w:r>
        <w:rPr>
          <w:sz w:val="22"/>
        </w:rPr>
        <w:t>GARCH,</w:t>
      </w:r>
      <w:r>
        <w:rPr>
          <w:spacing w:val="-6"/>
          <w:sz w:val="22"/>
        </w:rPr>
        <w:t> </w:t>
      </w:r>
      <w:r>
        <w:rPr>
          <w:sz w:val="22"/>
        </w:rPr>
        <w:t>EGARCH and TGARCH models. International Research Journal of Finance and Economics.</w:t>
      </w:r>
    </w:p>
    <w:p>
      <w:pPr>
        <w:spacing w:line="360" w:lineRule="auto" w:before="120"/>
        <w:ind w:left="1081" w:right="2152" w:hanging="360"/>
        <w:jc w:val="left"/>
        <w:rPr>
          <w:sz w:val="22"/>
        </w:rPr>
      </w:pPr>
      <w:r>
        <w:rPr>
          <w:sz w:val="22"/>
        </w:rPr>
        <w:t>Mohanty, S., &amp;</w:t>
      </w:r>
      <w:r>
        <w:rPr>
          <w:spacing w:val="-4"/>
          <w:sz w:val="22"/>
        </w:rPr>
        <w:t> </w:t>
      </w:r>
      <w:r>
        <w:rPr>
          <w:sz w:val="22"/>
        </w:rPr>
        <w:t>Subrahmanyam, M. (2018).</w:t>
      </w:r>
      <w:r>
        <w:rPr>
          <w:spacing w:val="-3"/>
          <w:sz w:val="22"/>
        </w:rPr>
        <w:t> </w:t>
      </w:r>
      <w:r>
        <w:rPr>
          <w:sz w:val="22"/>
        </w:rPr>
        <w:t>FII</w:t>
      </w:r>
      <w:r>
        <w:rPr>
          <w:spacing w:val="-2"/>
          <w:sz w:val="22"/>
        </w:rPr>
        <w:t> </w:t>
      </w:r>
      <w:r>
        <w:rPr>
          <w:sz w:val="22"/>
        </w:rPr>
        <w:t>and</w:t>
      </w:r>
      <w:r>
        <w:rPr>
          <w:spacing w:val="-5"/>
          <w:sz w:val="22"/>
        </w:rPr>
        <w:t> </w:t>
      </w:r>
      <w:r>
        <w:rPr>
          <w:sz w:val="22"/>
        </w:rPr>
        <w:t>DII</w:t>
      </w:r>
      <w:r>
        <w:rPr>
          <w:spacing w:val="-2"/>
          <w:sz w:val="22"/>
        </w:rPr>
        <w:t> </w:t>
      </w:r>
      <w:r>
        <w:rPr>
          <w:sz w:val="22"/>
        </w:rPr>
        <w:t>activity</w:t>
      </w:r>
      <w:r>
        <w:rPr>
          <w:spacing w:val="-5"/>
          <w:sz w:val="22"/>
        </w:rPr>
        <w:t> </w:t>
      </w:r>
      <w:r>
        <w:rPr>
          <w:sz w:val="22"/>
        </w:rPr>
        <w:t>and</w:t>
      </w:r>
      <w:r>
        <w:rPr>
          <w:spacing w:val="-5"/>
          <w:sz w:val="22"/>
        </w:rPr>
        <w:t> </w:t>
      </w:r>
      <w:r>
        <w:rPr>
          <w:sz w:val="22"/>
        </w:rPr>
        <w:t>its impact on</w:t>
      </w:r>
      <w:r>
        <w:rPr>
          <w:spacing w:val="-5"/>
          <w:sz w:val="22"/>
        </w:rPr>
        <w:t> </w:t>
      </w:r>
      <w:r>
        <w:rPr>
          <w:sz w:val="22"/>
        </w:rPr>
        <w:t>NIFTY 50 index returns.</w:t>
      </w:r>
    </w:p>
    <w:p>
      <w:pPr>
        <w:spacing w:line="360" w:lineRule="auto" w:before="120"/>
        <w:ind w:left="1081" w:right="2157" w:hanging="360"/>
        <w:jc w:val="left"/>
        <w:rPr>
          <w:sz w:val="22"/>
        </w:rPr>
      </w:pPr>
      <w:r>
        <w:rPr>
          <w:sz w:val="22"/>
        </w:rPr>
        <w:t>Multiple</w:t>
      </w:r>
      <w:r>
        <w:rPr>
          <w:spacing w:val="-5"/>
          <w:sz w:val="22"/>
        </w:rPr>
        <w:t> </w:t>
      </w:r>
      <w:r>
        <w:rPr>
          <w:sz w:val="22"/>
        </w:rPr>
        <w:t>Authors. (2023).</w:t>
      </w:r>
      <w:r>
        <w:rPr>
          <w:spacing w:val="-6"/>
          <w:sz w:val="22"/>
        </w:rPr>
        <w:t> </w:t>
      </w:r>
      <w:r>
        <w:rPr>
          <w:sz w:val="22"/>
        </w:rPr>
        <w:t>Comparative</w:t>
      </w:r>
      <w:r>
        <w:rPr>
          <w:spacing w:val="-5"/>
          <w:sz w:val="22"/>
        </w:rPr>
        <w:t> </w:t>
      </w:r>
      <w:r>
        <w:rPr>
          <w:sz w:val="22"/>
        </w:rPr>
        <w:t>performance of NIFTY</w:t>
      </w:r>
      <w:r>
        <w:rPr>
          <w:spacing w:val="-4"/>
          <w:sz w:val="22"/>
        </w:rPr>
        <w:t> </w:t>
      </w:r>
      <w:r>
        <w:rPr>
          <w:sz w:val="22"/>
        </w:rPr>
        <w:t>50</w:t>
      </w:r>
      <w:r>
        <w:rPr>
          <w:spacing w:val="-3"/>
          <w:sz w:val="22"/>
        </w:rPr>
        <w:t> </w:t>
      </w:r>
      <w:r>
        <w:rPr>
          <w:sz w:val="22"/>
        </w:rPr>
        <w:t>pre- and</w:t>
      </w:r>
      <w:r>
        <w:rPr>
          <w:spacing w:val="-3"/>
          <w:sz w:val="22"/>
        </w:rPr>
        <w:t> </w:t>
      </w:r>
      <w:r>
        <w:rPr>
          <w:sz w:val="22"/>
        </w:rPr>
        <w:t>post-COVID-19: A resilience analysis.</w:t>
      </w:r>
    </w:p>
    <w:p>
      <w:pPr>
        <w:spacing w:line="360" w:lineRule="auto" w:before="120"/>
        <w:ind w:left="1081" w:right="2152" w:hanging="360"/>
        <w:jc w:val="left"/>
        <w:rPr>
          <w:sz w:val="22"/>
        </w:rPr>
      </w:pPr>
      <w:r>
        <w:rPr>
          <w:sz w:val="22"/>
        </w:rPr>
        <w:t>Multiple</w:t>
      </w:r>
      <w:r>
        <w:rPr>
          <w:spacing w:val="34"/>
          <w:sz w:val="22"/>
        </w:rPr>
        <w:t> </w:t>
      </w:r>
      <w:r>
        <w:rPr>
          <w:sz w:val="22"/>
        </w:rPr>
        <w:t>Researchers.</w:t>
      </w:r>
      <w:r>
        <w:rPr>
          <w:spacing w:val="40"/>
          <w:sz w:val="22"/>
        </w:rPr>
        <w:t> </w:t>
      </w:r>
      <w:r>
        <w:rPr>
          <w:sz w:val="22"/>
        </w:rPr>
        <w:t>(2024).</w:t>
      </w:r>
      <w:r>
        <w:rPr>
          <w:spacing w:val="39"/>
          <w:sz w:val="22"/>
        </w:rPr>
        <w:t> </w:t>
      </w:r>
      <w:r>
        <w:rPr>
          <w:sz w:val="22"/>
        </w:rPr>
        <w:t>Event</w:t>
      </w:r>
      <w:r>
        <w:rPr>
          <w:spacing w:val="40"/>
          <w:sz w:val="22"/>
        </w:rPr>
        <w:t> </w:t>
      </w:r>
      <w:r>
        <w:rPr>
          <w:sz w:val="22"/>
        </w:rPr>
        <w:t>study</w:t>
      </w:r>
      <w:r>
        <w:rPr>
          <w:spacing w:val="40"/>
          <w:sz w:val="22"/>
        </w:rPr>
        <w:t> </w:t>
      </w:r>
      <w:r>
        <w:rPr>
          <w:sz w:val="22"/>
        </w:rPr>
        <w:t>on</w:t>
      </w:r>
      <w:r>
        <w:rPr>
          <w:spacing w:val="36"/>
          <w:sz w:val="22"/>
        </w:rPr>
        <w:t> </w:t>
      </w:r>
      <w:r>
        <w:rPr>
          <w:sz w:val="22"/>
        </w:rPr>
        <w:t>the</w:t>
      </w:r>
      <w:r>
        <w:rPr>
          <w:spacing w:val="39"/>
          <w:sz w:val="22"/>
        </w:rPr>
        <w:t> </w:t>
      </w:r>
      <w:r>
        <w:rPr>
          <w:sz w:val="22"/>
        </w:rPr>
        <w:t>impact</w:t>
      </w:r>
      <w:r>
        <w:rPr>
          <w:spacing w:val="40"/>
          <w:sz w:val="22"/>
        </w:rPr>
        <w:t> </w:t>
      </w:r>
      <w:r>
        <w:rPr>
          <w:sz w:val="22"/>
        </w:rPr>
        <w:t>of</w:t>
      </w:r>
      <w:r>
        <w:rPr>
          <w:spacing w:val="40"/>
          <w:sz w:val="22"/>
        </w:rPr>
        <w:t> </w:t>
      </w:r>
      <w:r>
        <w:rPr>
          <w:sz w:val="22"/>
        </w:rPr>
        <w:t>the</w:t>
      </w:r>
      <w:r>
        <w:rPr>
          <w:spacing w:val="34"/>
          <w:sz w:val="22"/>
        </w:rPr>
        <w:t> </w:t>
      </w:r>
      <w:r>
        <w:rPr>
          <w:sz w:val="22"/>
        </w:rPr>
        <w:t>2024</w:t>
      </w:r>
      <w:r>
        <w:rPr>
          <w:spacing w:val="40"/>
          <w:sz w:val="22"/>
        </w:rPr>
        <w:t> </w:t>
      </w:r>
      <w:r>
        <w:rPr>
          <w:sz w:val="22"/>
        </w:rPr>
        <w:t>Indian</w:t>
      </w:r>
      <w:r>
        <w:rPr>
          <w:spacing w:val="36"/>
          <w:sz w:val="22"/>
        </w:rPr>
        <w:t> </w:t>
      </w:r>
      <w:r>
        <w:rPr>
          <w:sz w:val="22"/>
        </w:rPr>
        <w:t>General Elections on the NSE stock market.</w:t>
      </w:r>
    </w:p>
    <w:p>
      <w:pPr>
        <w:spacing w:line="360" w:lineRule="auto" w:before="120"/>
        <w:ind w:left="1081" w:right="2152" w:hanging="360"/>
        <w:jc w:val="left"/>
        <w:rPr>
          <w:sz w:val="22"/>
        </w:rPr>
      </w:pPr>
      <w:r>
        <w:rPr>
          <w:sz w:val="22"/>
        </w:rPr>
        <w:t>Multiple Researchers. (2024). RBI monetary policy communication and Indian financial markets: An NLP-based sentiment analysis (2014–2024).</w:t>
      </w:r>
    </w:p>
    <w:p>
      <w:pPr>
        <w:spacing w:after="0" w:line="360" w:lineRule="auto"/>
        <w:jc w:val="left"/>
        <w:rPr>
          <w:sz w:val="22"/>
        </w:rPr>
        <w:sectPr>
          <w:pgSz w:w="12240" w:h="15840"/>
          <w:pgMar w:top="1820" w:bottom="280" w:left="1440" w:right="0"/>
        </w:sectPr>
      </w:pPr>
    </w:p>
    <w:p>
      <w:pPr>
        <w:pStyle w:val="BodyText"/>
        <w:spacing w:before="83"/>
        <w:jc w:val="left"/>
        <w:rPr>
          <w:sz w:val="22"/>
        </w:rPr>
      </w:pPr>
    </w:p>
    <w:p>
      <w:pPr>
        <w:spacing w:line="360" w:lineRule="auto" w:before="0"/>
        <w:ind w:left="1081" w:right="2160" w:hanging="360"/>
        <w:jc w:val="left"/>
        <w:rPr>
          <w:sz w:val="22"/>
        </w:rPr>
      </w:pPr>
      <w:r>
        <w:rPr>
          <w:sz w:val="22"/>
        </w:rPr>
        <w:t>Multiple</w:t>
      </w:r>
      <w:r>
        <w:rPr>
          <w:spacing w:val="-9"/>
          <w:sz w:val="22"/>
        </w:rPr>
        <w:t> </w:t>
      </w:r>
      <w:r>
        <w:rPr>
          <w:sz w:val="22"/>
        </w:rPr>
        <w:t>Researchers. (2025).</w:t>
      </w:r>
      <w:r>
        <w:rPr>
          <w:spacing w:val="-5"/>
          <w:sz w:val="22"/>
        </w:rPr>
        <w:t> </w:t>
      </w:r>
      <w:r>
        <w:rPr>
          <w:sz w:val="22"/>
        </w:rPr>
        <w:t>Thirty-four years</w:t>
      </w:r>
      <w:r>
        <w:rPr>
          <w:spacing w:val="-2"/>
          <w:sz w:val="22"/>
        </w:rPr>
        <w:t> </w:t>
      </w:r>
      <w:r>
        <w:rPr>
          <w:sz w:val="22"/>
        </w:rPr>
        <w:t>of</w:t>
      </w:r>
      <w:r>
        <w:rPr>
          <w:spacing w:val="-4"/>
          <w:sz w:val="22"/>
        </w:rPr>
        <w:t> </w:t>
      </w:r>
      <w:r>
        <w:rPr>
          <w:sz w:val="22"/>
        </w:rPr>
        <w:t>NIFTY</w:t>
      </w:r>
      <w:r>
        <w:rPr>
          <w:spacing w:val="-8"/>
          <w:sz w:val="22"/>
        </w:rPr>
        <w:t> </w:t>
      </w:r>
      <w:r>
        <w:rPr>
          <w:sz w:val="22"/>
        </w:rPr>
        <w:t>50:</w:t>
      </w:r>
      <w:r>
        <w:rPr>
          <w:spacing w:val="-6"/>
          <w:sz w:val="22"/>
        </w:rPr>
        <w:t> </w:t>
      </w:r>
      <w:r>
        <w:rPr>
          <w:sz w:val="22"/>
        </w:rPr>
        <w:t>Probability, drawdown</w:t>
      </w:r>
      <w:r>
        <w:rPr>
          <w:spacing w:val="-7"/>
          <w:sz w:val="22"/>
        </w:rPr>
        <w:t> </w:t>
      </w:r>
      <w:r>
        <w:rPr>
          <w:sz w:val="22"/>
        </w:rPr>
        <w:t>and long-run resilience analysis (1990–2024).</w:t>
      </w:r>
    </w:p>
    <w:p>
      <w:pPr>
        <w:spacing w:line="360" w:lineRule="auto" w:before="120"/>
        <w:ind w:left="1081" w:right="2152" w:hanging="360"/>
        <w:jc w:val="left"/>
        <w:rPr>
          <w:sz w:val="22"/>
        </w:rPr>
      </w:pPr>
      <w:r>
        <w:rPr>
          <w:sz w:val="22"/>
        </w:rPr>
        <w:t>Naik,</w:t>
      </w:r>
      <w:r>
        <w:rPr>
          <w:spacing w:val="24"/>
          <w:sz w:val="22"/>
        </w:rPr>
        <w:t> </w:t>
      </w:r>
      <w:r>
        <w:rPr>
          <w:sz w:val="22"/>
        </w:rPr>
        <w:t>P.</w:t>
      </w:r>
      <w:r>
        <w:rPr>
          <w:spacing w:val="24"/>
          <w:sz w:val="22"/>
        </w:rPr>
        <w:t> </w:t>
      </w:r>
      <w:r>
        <w:rPr>
          <w:sz w:val="22"/>
        </w:rPr>
        <w:t>K., &amp; Padhi,</w:t>
      </w:r>
      <w:r>
        <w:rPr>
          <w:spacing w:val="24"/>
          <w:sz w:val="22"/>
        </w:rPr>
        <w:t> </w:t>
      </w:r>
      <w:r>
        <w:rPr>
          <w:sz w:val="22"/>
        </w:rPr>
        <w:t>P.</w:t>
      </w:r>
      <w:r>
        <w:rPr>
          <w:spacing w:val="24"/>
          <w:sz w:val="22"/>
        </w:rPr>
        <w:t> </w:t>
      </w:r>
      <w:r>
        <w:rPr>
          <w:sz w:val="22"/>
        </w:rPr>
        <w:t>(2012). The impact of</w:t>
      </w:r>
      <w:r>
        <w:rPr>
          <w:spacing w:val="25"/>
          <w:sz w:val="22"/>
        </w:rPr>
        <w:t> </w:t>
      </w:r>
      <w:r>
        <w:rPr>
          <w:sz w:val="22"/>
        </w:rPr>
        <w:t>macroeconomic fundamentals on stock prices revisited: Evidence from Indian data.</w:t>
      </w:r>
    </w:p>
    <w:p>
      <w:pPr>
        <w:spacing w:line="360" w:lineRule="auto" w:before="120"/>
        <w:ind w:left="1081" w:right="2152" w:hanging="360"/>
        <w:jc w:val="left"/>
        <w:rPr>
          <w:sz w:val="22"/>
        </w:rPr>
      </w:pPr>
      <w:r>
        <w:rPr>
          <w:sz w:val="22"/>
        </w:rPr>
        <w:t>Nath, G.</w:t>
      </w:r>
      <w:r>
        <w:rPr>
          <w:spacing w:val="-1"/>
          <w:sz w:val="22"/>
        </w:rPr>
        <w:t> </w:t>
      </w:r>
      <w:r>
        <w:rPr>
          <w:sz w:val="22"/>
        </w:rPr>
        <w:t>C.,</w:t>
      </w:r>
      <w:r>
        <w:rPr>
          <w:spacing w:val="-1"/>
          <w:sz w:val="22"/>
        </w:rPr>
        <w:t> </w:t>
      </w:r>
      <w:r>
        <w:rPr>
          <w:sz w:val="22"/>
        </w:rPr>
        <w:t>&amp; Dalvi, M. (2004). Day</w:t>
      </w:r>
      <w:r>
        <w:rPr>
          <w:spacing w:val="-3"/>
          <w:sz w:val="22"/>
        </w:rPr>
        <w:t> </w:t>
      </w:r>
      <w:r>
        <w:rPr>
          <w:sz w:val="22"/>
        </w:rPr>
        <w:t>of the</w:t>
      </w:r>
      <w:r>
        <w:rPr>
          <w:spacing w:val="-5"/>
          <w:sz w:val="22"/>
        </w:rPr>
        <w:t> </w:t>
      </w:r>
      <w:r>
        <w:rPr>
          <w:sz w:val="22"/>
        </w:rPr>
        <w:t>week effect and market efficiency:</w:t>
      </w:r>
      <w:r>
        <w:rPr>
          <w:spacing w:val="-2"/>
          <w:sz w:val="22"/>
        </w:rPr>
        <w:t> </w:t>
      </w:r>
      <w:r>
        <w:rPr>
          <w:sz w:val="22"/>
        </w:rPr>
        <w:t>Evidence from Indian equity market.</w:t>
      </w:r>
    </w:p>
    <w:p>
      <w:pPr>
        <w:spacing w:line="360" w:lineRule="auto" w:before="120"/>
        <w:ind w:left="1081" w:right="2149" w:hanging="360"/>
        <w:jc w:val="left"/>
        <w:rPr>
          <w:sz w:val="22"/>
        </w:rPr>
      </w:pPr>
      <w:r>
        <w:rPr>
          <w:sz w:val="22"/>
        </w:rPr>
        <w:t>National</w:t>
      </w:r>
      <w:r>
        <w:rPr>
          <w:spacing w:val="16"/>
          <w:sz w:val="22"/>
        </w:rPr>
        <w:t> </w:t>
      </w:r>
      <w:r>
        <w:rPr>
          <w:sz w:val="22"/>
        </w:rPr>
        <w:t>Stock</w:t>
      </w:r>
      <w:r>
        <w:rPr>
          <w:spacing w:val="15"/>
          <w:sz w:val="22"/>
        </w:rPr>
        <w:t> </w:t>
      </w:r>
      <w:r>
        <w:rPr>
          <w:sz w:val="22"/>
        </w:rPr>
        <w:t>Exchange</w:t>
      </w:r>
      <w:r>
        <w:rPr>
          <w:spacing w:val="18"/>
          <w:sz w:val="22"/>
        </w:rPr>
        <w:t> </w:t>
      </w:r>
      <w:r>
        <w:rPr>
          <w:sz w:val="22"/>
        </w:rPr>
        <w:t>of</w:t>
      </w:r>
      <w:r>
        <w:rPr>
          <w:spacing w:val="19"/>
          <w:sz w:val="22"/>
        </w:rPr>
        <w:t> </w:t>
      </w:r>
      <w:r>
        <w:rPr>
          <w:sz w:val="22"/>
        </w:rPr>
        <w:t>India.</w:t>
      </w:r>
      <w:r>
        <w:rPr>
          <w:spacing w:val="22"/>
          <w:sz w:val="22"/>
        </w:rPr>
        <w:t> </w:t>
      </w:r>
      <w:r>
        <w:rPr>
          <w:sz w:val="22"/>
        </w:rPr>
        <w:t>NIFTY 50</w:t>
      </w:r>
      <w:r>
        <w:rPr>
          <w:spacing w:val="20"/>
          <w:sz w:val="22"/>
        </w:rPr>
        <w:t> </w:t>
      </w:r>
      <w:r>
        <w:rPr>
          <w:sz w:val="22"/>
        </w:rPr>
        <w:t>historical</w:t>
      </w:r>
      <w:r>
        <w:rPr>
          <w:spacing w:val="16"/>
          <w:sz w:val="22"/>
        </w:rPr>
        <w:t> </w:t>
      </w:r>
      <w:r>
        <w:rPr>
          <w:sz w:val="22"/>
        </w:rPr>
        <w:t>daily</w:t>
      </w:r>
      <w:r>
        <w:rPr>
          <w:spacing w:val="15"/>
          <w:sz w:val="22"/>
        </w:rPr>
        <w:t> </w:t>
      </w:r>
      <w:r>
        <w:rPr>
          <w:sz w:val="22"/>
        </w:rPr>
        <w:t>closing</w:t>
      </w:r>
      <w:r>
        <w:rPr>
          <w:spacing w:val="15"/>
          <w:sz w:val="22"/>
        </w:rPr>
        <w:t> </w:t>
      </w:r>
      <w:r>
        <w:rPr>
          <w:sz w:val="22"/>
        </w:rPr>
        <w:t>price</w:t>
      </w:r>
      <w:r>
        <w:rPr>
          <w:spacing w:val="18"/>
          <w:sz w:val="22"/>
        </w:rPr>
        <w:t> </w:t>
      </w:r>
      <w:r>
        <w:rPr>
          <w:sz w:val="22"/>
        </w:rPr>
        <w:t>data</w:t>
      </w:r>
      <w:r>
        <w:rPr>
          <w:spacing w:val="23"/>
          <w:sz w:val="22"/>
        </w:rPr>
        <w:t> </w:t>
      </w:r>
      <w:r>
        <w:rPr>
          <w:sz w:val="22"/>
        </w:rPr>
        <w:t>(2020–2025). </w:t>
      </w:r>
      <w:hyperlink r:id="rId8">
        <w:r>
          <w:rPr>
            <w:sz w:val="22"/>
          </w:rPr>
          <w:t>www.nseindia.com</w:t>
        </w:r>
      </w:hyperlink>
    </w:p>
    <w:p>
      <w:pPr>
        <w:spacing w:line="364" w:lineRule="auto" w:before="120"/>
        <w:ind w:left="1081" w:right="2152" w:hanging="360"/>
        <w:jc w:val="left"/>
        <w:rPr>
          <w:sz w:val="22"/>
        </w:rPr>
      </w:pPr>
      <w:r>
        <w:rPr>
          <w:sz w:val="22"/>
        </w:rPr>
        <w:t>Pandey, I. M. (2003). Efficiency of Indian stock market: A study of NSE and BSE. NSE Working Paper.</w:t>
      </w:r>
    </w:p>
    <w:p>
      <w:pPr>
        <w:spacing w:line="360" w:lineRule="auto" w:before="114"/>
        <w:ind w:left="1081" w:right="2152" w:hanging="360"/>
        <w:jc w:val="left"/>
        <w:rPr>
          <w:sz w:val="22"/>
        </w:rPr>
      </w:pPr>
      <w:r>
        <w:rPr>
          <w:sz w:val="22"/>
        </w:rPr>
        <w:t>Patel, S. A. (2012).</w:t>
      </w:r>
      <w:r>
        <w:rPr>
          <w:spacing w:val="-2"/>
          <w:sz w:val="22"/>
        </w:rPr>
        <w:t> </w:t>
      </w:r>
      <w:r>
        <w:rPr>
          <w:sz w:val="22"/>
        </w:rPr>
        <w:t>The</w:t>
      </w:r>
      <w:r>
        <w:rPr>
          <w:spacing w:val="-1"/>
          <w:sz w:val="22"/>
        </w:rPr>
        <w:t> </w:t>
      </w:r>
      <w:r>
        <w:rPr>
          <w:sz w:val="22"/>
        </w:rPr>
        <w:t>effect of macroeconomic determinants on</w:t>
      </w:r>
      <w:r>
        <w:rPr>
          <w:spacing w:val="-3"/>
          <w:sz w:val="22"/>
        </w:rPr>
        <w:t> </w:t>
      </w:r>
      <w:r>
        <w:rPr>
          <w:sz w:val="22"/>
        </w:rPr>
        <w:t>the</w:t>
      </w:r>
      <w:r>
        <w:rPr>
          <w:spacing w:val="-5"/>
          <w:sz w:val="22"/>
        </w:rPr>
        <w:t> </w:t>
      </w:r>
      <w:r>
        <w:rPr>
          <w:sz w:val="22"/>
        </w:rPr>
        <w:t>performance</w:t>
      </w:r>
      <w:r>
        <w:rPr>
          <w:spacing w:val="-1"/>
          <w:sz w:val="22"/>
        </w:rPr>
        <w:t> </w:t>
      </w:r>
      <w:r>
        <w:rPr>
          <w:sz w:val="22"/>
        </w:rPr>
        <w:t>of</w:t>
      </w:r>
      <w:r>
        <w:rPr>
          <w:spacing w:val="-1"/>
          <w:sz w:val="22"/>
        </w:rPr>
        <w:t> </w:t>
      </w:r>
      <w:r>
        <w:rPr>
          <w:sz w:val="22"/>
        </w:rPr>
        <w:t>the Indian stock market.</w:t>
      </w:r>
    </w:p>
    <w:p>
      <w:pPr>
        <w:spacing w:line="360" w:lineRule="auto" w:before="120"/>
        <w:ind w:left="1081" w:right="2152" w:hanging="360"/>
        <w:jc w:val="left"/>
        <w:rPr>
          <w:sz w:val="22"/>
        </w:rPr>
      </w:pPr>
      <w:r>
        <w:rPr>
          <w:sz w:val="22"/>
        </w:rPr>
        <w:t>Rakshit,</w:t>
      </w:r>
      <w:r>
        <w:rPr>
          <w:spacing w:val="29"/>
          <w:sz w:val="22"/>
        </w:rPr>
        <w:t> </w:t>
      </w:r>
      <w:r>
        <w:rPr>
          <w:sz w:val="22"/>
        </w:rPr>
        <w:t>B., &amp; Basistha, D. (2023). COVID-19</w:t>
      </w:r>
      <w:r>
        <w:rPr>
          <w:spacing w:val="27"/>
          <w:sz w:val="22"/>
        </w:rPr>
        <w:t> </w:t>
      </w:r>
      <w:r>
        <w:rPr>
          <w:sz w:val="22"/>
        </w:rPr>
        <w:t>and the Indian stock</w:t>
      </w:r>
      <w:r>
        <w:rPr>
          <w:spacing w:val="27"/>
          <w:sz w:val="22"/>
        </w:rPr>
        <w:t> </w:t>
      </w:r>
      <w:r>
        <w:rPr>
          <w:sz w:val="22"/>
        </w:rPr>
        <w:t>market: Volatility</w:t>
      </w:r>
      <w:r>
        <w:rPr>
          <w:spacing w:val="40"/>
          <w:sz w:val="22"/>
        </w:rPr>
        <w:t> </w:t>
      </w:r>
      <w:r>
        <w:rPr>
          <w:sz w:val="22"/>
        </w:rPr>
        <w:t>dynamics of NIFTY 50 and SENSEX. Asian Journal of Economics and Banking.</w:t>
      </w:r>
    </w:p>
    <w:p>
      <w:pPr>
        <w:spacing w:before="119"/>
        <w:ind w:left="721" w:right="0" w:firstLine="0"/>
        <w:jc w:val="left"/>
        <w:rPr>
          <w:sz w:val="22"/>
        </w:rPr>
      </w:pPr>
      <w:r>
        <w:rPr>
          <w:sz w:val="22"/>
        </w:rPr>
        <w:t>Reserve</w:t>
      </w:r>
      <w:r>
        <w:rPr>
          <w:spacing w:val="-6"/>
          <w:sz w:val="22"/>
        </w:rPr>
        <w:t> </w:t>
      </w:r>
      <w:r>
        <w:rPr>
          <w:sz w:val="22"/>
        </w:rPr>
        <w:t>Bank</w:t>
      </w:r>
      <w:r>
        <w:rPr>
          <w:spacing w:val="-6"/>
          <w:sz w:val="22"/>
        </w:rPr>
        <w:t> </w:t>
      </w:r>
      <w:r>
        <w:rPr>
          <w:sz w:val="22"/>
        </w:rPr>
        <w:t>of</w:t>
      </w:r>
      <w:r>
        <w:rPr>
          <w:spacing w:val="-3"/>
          <w:sz w:val="22"/>
        </w:rPr>
        <w:t> </w:t>
      </w:r>
      <w:r>
        <w:rPr>
          <w:sz w:val="22"/>
        </w:rPr>
        <w:t>India. (2025).</w:t>
      </w:r>
      <w:r>
        <w:rPr>
          <w:spacing w:val="-4"/>
          <w:sz w:val="22"/>
        </w:rPr>
        <w:t> </w:t>
      </w:r>
      <w:r>
        <w:rPr>
          <w:sz w:val="22"/>
        </w:rPr>
        <w:t>RBI</w:t>
      </w:r>
      <w:r>
        <w:rPr>
          <w:spacing w:val="-3"/>
          <w:sz w:val="22"/>
        </w:rPr>
        <w:t> </w:t>
      </w:r>
      <w:r>
        <w:rPr>
          <w:sz w:val="22"/>
        </w:rPr>
        <w:t>Annual</w:t>
      </w:r>
      <w:r>
        <w:rPr>
          <w:spacing w:val="-5"/>
          <w:sz w:val="22"/>
        </w:rPr>
        <w:t> </w:t>
      </w:r>
      <w:r>
        <w:rPr>
          <w:sz w:val="22"/>
        </w:rPr>
        <w:t>Report</w:t>
      </w:r>
      <w:r>
        <w:rPr>
          <w:spacing w:val="-1"/>
          <w:sz w:val="22"/>
        </w:rPr>
        <w:t> </w:t>
      </w:r>
      <w:r>
        <w:rPr>
          <w:sz w:val="22"/>
        </w:rPr>
        <w:t>2024–25.</w:t>
      </w:r>
      <w:r>
        <w:rPr>
          <w:spacing w:val="1"/>
          <w:sz w:val="22"/>
        </w:rPr>
        <w:t> </w:t>
      </w:r>
      <w:hyperlink r:id="rId10">
        <w:r>
          <w:rPr>
            <w:spacing w:val="-2"/>
            <w:sz w:val="22"/>
          </w:rPr>
          <w:t>www.rbi.org.in</w:t>
        </w:r>
      </w:hyperlink>
    </w:p>
    <w:p>
      <w:pPr>
        <w:spacing w:line="360" w:lineRule="auto" w:before="246"/>
        <w:ind w:left="1081" w:right="2152" w:hanging="360"/>
        <w:jc w:val="left"/>
        <w:rPr>
          <w:sz w:val="22"/>
        </w:rPr>
      </w:pPr>
      <w:r>
        <w:rPr>
          <w:sz w:val="22"/>
        </w:rPr>
        <w:t>SEBI. (2024). Study on profit and loss of individual traders in the equity F&amp;O segment. </w:t>
      </w:r>
      <w:hyperlink r:id="rId11">
        <w:r>
          <w:rPr>
            <w:spacing w:val="-2"/>
            <w:sz w:val="22"/>
          </w:rPr>
          <w:t>www.sebi.gov.in</w:t>
        </w:r>
      </w:hyperlink>
    </w:p>
    <w:p>
      <w:pPr>
        <w:spacing w:line="360" w:lineRule="auto" w:before="120"/>
        <w:ind w:left="1081" w:right="2152" w:hanging="360"/>
        <w:jc w:val="left"/>
        <w:rPr>
          <w:sz w:val="22"/>
        </w:rPr>
      </w:pPr>
      <w:r>
        <w:rPr>
          <w:sz w:val="22"/>
        </w:rPr>
        <w:t>SEBI.</w:t>
      </w:r>
      <w:r>
        <w:rPr>
          <w:spacing w:val="80"/>
          <w:w w:val="150"/>
          <w:sz w:val="22"/>
        </w:rPr>
        <w:t> </w:t>
      </w:r>
      <w:r>
        <w:rPr>
          <w:sz w:val="22"/>
        </w:rPr>
        <w:t>(2025).</w:t>
      </w:r>
      <w:r>
        <w:rPr>
          <w:spacing w:val="80"/>
          <w:w w:val="150"/>
          <w:sz w:val="22"/>
        </w:rPr>
        <w:t> </w:t>
      </w:r>
      <w:r>
        <w:rPr>
          <w:sz w:val="22"/>
        </w:rPr>
        <w:t>SEBI</w:t>
      </w:r>
      <w:r>
        <w:rPr>
          <w:spacing w:val="80"/>
          <w:w w:val="150"/>
          <w:sz w:val="22"/>
        </w:rPr>
        <w:t> </w:t>
      </w:r>
      <w:r>
        <w:rPr>
          <w:sz w:val="22"/>
        </w:rPr>
        <w:t>Annual</w:t>
      </w:r>
      <w:r>
        <w:rPr>
          <w:spacing w:val="80"/>
          <w:w w:val="150"/>
          <w:sz w:val="22"/>
        </w:rPr>
        <w:t> </w:t>
      </w:r>
      <w:r>
        <w:rPr>
          <w:sz w:val="22"/>
        </w:rPr>
        <w:t>Report</w:t>
      </w:r>
      <w:r>
        <w:rPr>
          <w:spacing w:val="80"/>
          <w:w w:val="150"/>
          <w:sz w:val="22"/>
        </w:rPr>
        <w:t> </w:t>
      </w:r>
      <w:r>
        <w:rPr>
          <w:sz w:val="22"/>
        </w:rPr>
        <w:t>2024–25</w:t>
      </w:r>
      <w:r>
        <w:rPr>
          <w:spacing w:val="80"/>
          <w:w w:val="150"/>
          <w:sz w:val="22"/>
        </w:rPr>
        <w:t> </w:t>
      </w:r>
      <w:r>
        <w:rPr>
          <w:sz w:val="22"/>
        </w:rPr>
        <w:t>—</w:t>
      </w:r>
      <w:r>
        <w:rPr>
          <w:spacing w:val="80"/>
          <w:w w:val="150"/>
          <w:sz w:val="22"/>
        </w:rPr>
        <w:t> </w:t>
      </w:r>
      <w:r>
        <w:rPr>
          <w:sz w:val="22"/>
        </w:rPr>
        <w:t>Broking</w:t>
      </w:r>
      <w:r>
        <w:rPr>
          <w:spacing w:val="80"/>
          <w:w w:val="150"/>
          <w:sz w:val="22"/>
        </w:rPr>
        <w:t> </w:t>
      </w:r>
      <w:r>
        <w:rPr>
          <w:sz w:val="22"/>
        </w:rPr>
        <w:t>Industry</w:t>
      </w:r>
      <w:r>
        <w:rPr>
          <w:spacing w:val="80"/>
          <w:w w:val="150"/>
          <w:sz w:val="22"/>
        </w:rPr>
        <w:t> </w:t>
      </w:r>
      <w:r>
        <w:rPr>
          <w:sz w:val="22"/>
        </w:rPr>
        <w:t>Overview. </w:t>
      </w:r>
      <w:hyperlink r:id="rId11">
        <w:r>
          <w:rPr>
            <w:spacing w:val="-2"/>
            <w:sz w:val="22"/>
          </w:rPr>
          <w:t>www.sebi.gov.in</w:t>
        </w:r>
      </w:hyperlink>
    </w:p>
    <w:p>
      <w:pPr>
        <w:spacing w:line="360" w:lineRule="auto" w:before="120"/>
        <w:ind w:left="1081" w:right="2152" w:hanging="360"/>
        <w:jc w:val="left"/>
        <w:rPr>
          <w:sz w:val="22"/>
        </w:rPr>
      </w:pPr>
      <w:r>
        <w:rPr>
          <w:sz w:val="22"/>
        </w:rPr>
        <w:t>Selvam,</w:t>
      </w:r>
      <w:r>
        <w:rPr>
          <w:spacing w:val="-3"/>
          <w:sz w:val="22"/>
        </w:rPr>
        <w:t> </w:t>
      </w:r>
      <w:r>
        <w:rPr>
          <w:sz w:val="22"/>
        </w:rPr>
        <w:t>M.,</w:t>
      </w:r>
      <w:r>
        <w:rPr>
          <w:spacing w:val="-7"/>
          <w:sz w:val="22"/>
        </w:rPr>
        <w:t> </w:t>
      </w:r>
      <w:r>
        <w:rPr>
          <w:sz w:val="22"/>
        </w:rPr>
        <w:t>Gayathri,</w:t>
      </w:r>
      <w:r>
        <w:rPr>
          <w:spacing w:val="-7"/>
          <w:sz w:val="22"/>
        </w:rPr>
        <w:t> </w:t>
      </w:r>
      <w:r>
        <w:rPr>
          <w:sz w:val="22"/>
        </w:rPr>
        <w:t>J.,</w:t>
      </w:r>
      <w:r>
        <w:rPr>
          <w:spacing w:val="-7"/>
          <w:sz w:val="22"/>
        </w:rPr>
        <w:t> </w:t>
      </w:r>
      <w:r>
        <w:rPr>
          <w:sz w:val="22"/>
        </w:rPr>
        <w:t>&amp;</w:t>
      </w:r>
      <w:r>
        <w:rPr>
          <w:spacing w:val="-4"/>
          <w:sz w:val="22"/>
        </w:rPr>
        <w:t> </w:t>
      </w:r>
      <w:r>
        <w:rPr>
          <w:sz w:val="22"/>
        </w:rPr>
        <w:t>Vinayagamoorthi,</w:t>
      </w:r>
      <w:r>
        <w:rPr>
          <w:spacing w:val="-3"/>
          <w:sz w:val="22"/>
        </w:rPr>
        <w:t> </w:t>
      </w:r>
      <w:r>
        <w:rPr>
          <w:sz w:val="22"/>
        </w:rPr>
        <w:t>V.</w:t>
      </w:r>
      <w:r>
        <w:rPr>
          <w:spacing w:val="-3"/>
          <w:sz w:val="22"/>
        </w:rPr>
        <w:t> </w:t>
      </w:r>
      <w:r>
        <w:rPr>
          <w:sz w:val="22"/>
        </w:rPr>
        <w:t>(2011).</w:t>
      </w:r>
      <w:r>
        <w:rPr>
          <w:spacing w:val="-3"/>
          <w:sz w:val="22"/>
        </w:rPr>
        <w:t> </w:t>
      </w:r>
      <w:r>
        <w:rPr>
          <w:sz w:val="22"/>
        </w:rPr>
        <w:t>Volatility</w:t>
      </w:r>
      <w:r>
        <w:rPr>
          <w:spacing w:val="-9"/>
          <w:sz w:val="22"/>
        </w:rPr>
        <w:t> </w:t>
      </w:r>
      <w:r>
        <w:rPr>
          <w:sz w:val="22"/>
        </w:rPr>
        <w:t>and</w:t>
      </w:r>
      <w:r>
        <w:rPr>
          <w:spacing w:val="-4"/>
          <w:sz w:val="22"/>
        </w:rPr>
        <w:t> </w:t>
      </w:r>
      <w:r>
        <w:rPr>
          <w:sz w:val="22"/>
        </w:rPr>
        <w:t>market</w:t>
      </w:r>
      <w:r>
        <w:rPr>
          <w:spacing w:val="-4"/>
          <w:sz w:val="22"/>
        </w:rPr>
        <w:t> </w:t>
      </w:r>
      <w:r>
        <w:rPr>
          <w:sz w:val="22"/>
        </w:rPr>
        <w:t>returns:</w:t>
      </w:r>
      <w:r>
        <w:rPr>
          <w:spacing w:val="-4"/>
          <w:sz w:val="22"/>
        </w:rPr>
        <w:t> </w:t>
      </w:r>
      <w:r>
        <w:rPr>
          <w:sz w:val="22"/>
        </w:rPr>
        <w:t>A study of BSE Sensex using ARCH/GARCH models.</w:t>
      </w:r>
    </w:p>
    <w:p>
      <w:pPr>
        <w:spacing w:before="120"/>
        <w:ind w:left="721" w:right="0" w:firstLine="0"/>
        <w:jc w:val="left"/>
        <w:rPr>
          <w:sz w:val="22"/>
        </w:rPr>
      </w:pPr>
      <w:r>
        <w:rPr>
          <w:sz w:val="22"/>
        </w:rPr>
        <w:t>Srivastava,</w:t>
      </w:r>
      <w:r>
        <w:rPr>
          <w:spacing w:val="-9"/>
          <w:sz w:val="22"/>
        </w:rPr>
        <w:t> </w:t>
      </w:r>
      <w:r>
        <w:rPr>
          <w:sz w:val="22"/>
        </w:rPr>
        <w:t>A.</w:t>
      </w:r>
      <w:r>
        <w:rPr>
          <w:spacing w:val="-6"/>
          <w:sz w:val="22"/>
        </w:rPr>
        <w:t> </w:t>
      </w:r>
      <w:r>
        <w:rPr>
          <w:sz w:val="22"/>
        </w:rPr>
        <w:t>(2010).</w:t>
      </w:r>
      <w:r>
        <w:rPr>
          <w:spacing w:val="-6"/>
          <w:sz w:val="22"/>
        </w:rPr>
        <w:t> </w:t>
      </w:r>
      <w:r>
        <w:rPr>
          <w:sz w:val="22"/>
        </w:rPr>
        <w:t>Relevance</w:t>
      </w:r>
      <w:r>
        <w:rPr>
          <w:spacing w:val="-10"/>
          <w:sz w:val="22"/>
        </w:rPr>
        <w:t> </w:t>
      </w:r>
      <w:r>
        <w:rPr>
          <w:sz w:val="22"/>
        </w:rPr>
        <w:t>of</w:t>
      </w:r>
      <w:r>
        <w:rPr>
          <w:spacing w:val="-5"/>
          <w:sz w:val="22"/>
        </w:rPr>
        <w:t> </w:t>
      </w:r>
      <w:r>
        <w:rPr>
          <w:sz w:val="22"/>
        </w:rPr>
        <w:t>macroeconomic</w:t>
      </w:r>
      <w:r>
        <w:rPr>
          <w:spacing w:val="-6"/>
          <w:sz w:val="22"/>
        </w:rPr>
        <w:t> </w:t>
      </w:r>
      <w:r>
        <w:rPr>
          <w:sz w:val="22"/>
        </w:rPr>
        <w:t>variables</w:t>
      </w:r>
      <w:r>
        <w:rPr>
          <w:spacing w:val="-7"/>
          <w:sz w:val="22"/>
        </w:rPr>
        <w:t> </w:t>
      </w:r>
      <w:r>
        <w:rPr>
          <w:sz w:val="22"/>
        </w:rPr>
        <w:t>for</w:t>
      </w:r>
      <w:r>
        <w:rPr>
          <w:spacing w:val="-5"/>
          <w:sz w:val="22"/>
        </w:rPr>
        <w:t> </w:t>
      </w:r>
      <w:r>
        <w:rPr>
          <w:sz w:val="22"/>
        </w:rPr>
        <w:t>the</w:t>
      </w:r>
      <w:r>
        <w:rPr>
          <w:spacing w:val="-10"/>
          <w:sz w:val="22"/>
        </w:rPr>
        <w:t> </w:t>
      </w:r>
      <w:r>
        <w:rPr>
          <w:sz w:val="22"/>
        </w:rPr>
        <w:t>Indian</w:t>
      </w:r>
      <w:r>
        <w:rPr>
          <w:spacing w:val="-4"/>
          <w:sz w:val="22"/>
        </w:rPr>
        <w:t> </w:t>
      </w:r>
      <w:r>
        <w:rPr>
          <w:sz w:val="22"/>
        </w:rPr>
        <w:t>stock</w:t>
      </w:r>
      <w:r>
        <w:rPr>
          <w:spacing w:val="-8"/>
          <w:sz w:val="22"/>
        </w:rPr>
        <w:t> </w:t>
      </w:r>
      <w:r>
        <w:rPr>
          <w:spacing w:val="-2"/>
          <w:sz w:val="22"/>
        </w:rPr>
        <w:t>market.</w:t>
      </w:r>
    </w:p>
    <w:p>
      <w:pPr>
        <w:spacing w:before="126"/>
        <w:ind w:left="1081" w:right="0" w:firstLine="0"/>
        <w:jc w:val="left"/>
        <w:rPr>
          <w:sz w:val="22"/>
        </w:rPr>
      </w:pPr>
      <w:r>
        <w:rPr>
          <w:sz w:val="22"/>
        </w:rPr>
        <w:t>IUP</w:t>
      </w:r>
      <w:r>
        <w:rPr>
          <w:spacing w:val="-2"/>
          <w:sz w:val="22"/>
        </w:rPr>
        <w:t> </w:t>
      </w:r>
      <w:r>
        <w:rPr>
          <w:sz w:val="22"/>
        </w:rPr>
        <w:t>Journal</w:t>
      </w:r>
      <w:r>
        <w:rPr>
          <w:spacing w:val="-3"/>
          <w:sz w:val="22"/>
        </w:rPr>
        <w:t> </w:t>
      </w:r>
      <w:r>
        <w:rPr>
          <w:sz w:val="22"/>
        </w:rPr>
        <w:t>of</w:t>
      </w:r>
      <w:r>
        <w:rPr>
          <w:spacing w:val="-5"/>
          <w:sz w:val="22"/>
        </w:rPr>
        <w:t> </w:t>
      </w:r>
      <w:r>
        <w:rPr>
          <w:sz w:val="22"/>
        </w:rPr>
        <w:t>Applied</w:t>
      </w:r>
      <w:r>
        <w:rPr>
          <w:spacing w:val="-8"/>
          <w:sz w:val="22"/>
        </w:rPr>
        <w:t> </w:t>
      </w:r>
      <w:r>
        <w:rPr>
          <w:spacing w:val="-2"/>
          <w:sz w:val="22"/>
        </w:rPr>
        <w:t>Finance.</w:t>
      </w:r>
    </w:p>
    <w:p>
      <w:pPr>
        <w:spacing w:line="360" w:lineRule="auto" w:before="247"/>
        <w:ind w:left="1081" w:right="2152" w:hanging="360"/>
        <w:jc w:val="left"/>
        <w:rPr>
          <w:sz w:val="22"/>
        </w:rPr>
      </w:pPr>
      <w:r>
        <w:rPr>
          <w:sz w:val="22"/>
        </w:rPr>
        <w:t>Tripathi, V., &amp; Seth, R. (2014). Stock market performance and macroeconomic factors: The study of Indian equity market. Global Business Review, SAGE.</w:t>
      </w:r>
    </w:p>
    <w:p>
      <w:pPr>
        <w:spacing w:after="0" w:line="360" w:lineRule="auto"/>
        <w:jc w:val="left"/>
        <w:rPr>
          <w:sz w:val="22"/>
        </w:rPr>
        <w:sectPr>
          <w:pgSz w:w="12240" w:h="15840"/>
          <w:pgMar w:top="1820" w:bottom="280" w:left="1440" w:right="0"/>
        </w:sectPr>
      </w:pPr>
    </w:p>
    <w:p>
      <w:pPr>
        <w:pStyle w:val="BodyText"/>
        <w:spacing w:before="83"/>
        <w:jc w:val="left"/>
        <w:rPr>
          <w:sz w:val="22"/>
        </w:rPr>
      </w:pPr>
    </w:p>
    <w:p>
      <w:pPr>
        <w:spacing w:line="360" w:lineRule="auto" w:before="0"/>
        <w:ind w:left="1081" w:right="2152" w:hanging="360"/>
        <w:jc w:val="left"/>
        <w:rPr>
          <w:sz w:val="22"/>
        </w:rPr>
      </w:pPr>
      <w:r>
        <w:rPr>
          <w:sz w:val="22"/>
        </w:rPr>
        <w:t>Vevek, K., Selvam, M., &amp; Sivaprakkash, S. (2022). Modelling the persistence of stock</w:t>
      </w:r>
      <w:r>
        <w:rPr>
          <w:spacing w:val="80"/>
          <w:sz w:val="22"/>
        </w:rPr>
        <w:t> </w:t>
      </w:r>
      <w:r>
        <w:rPr>
          <w:sz w:val="22"/>
        </w:rPr>
        <w:t>market volatility using GARCH (1,1): Evidence from NIFTY 50.</w:t>
      </w:r>
    </w:p>
    <w:p>
      <w:pPr>
        <w:pStyle w:val="BodyText"/>
        <w:spacing w:before="147"/>
        <w:jc w:val="left"/>
        <w:rPr>
          <w:sz w:val="22"/>
        </w:rPr>
      </w:pPr>
    </w:p>
    <w:p>
      <w:pPr>
        <w:pStyle w:val="Heading1"/>
        <w:numPr>
          <w:ilvl w:val="0"/>
          <w:numId w:val="1"/>
        </w:numPr>
        <w:tabs>
          <w:tab w:pos="1003" w:val="left" w:leader="none"/>
        </w:tabs>
        <w:spacing w:line="240" w:lineRule="auto" w:before="0" w:after="0"/>
        <w:ind w:left="1003" w:right="0" w:hanging="282"/>
        <w:jc w:val="left"/>
      </w:pPr>
      <w:r>
        <w:rPr>
          <w:spacing w:val="-2"/>
        </w:rPr>
        <w:t>ANNEXURE</w:t>
      </w:r>
    </w:p>
    <w:p>
      <w:pPr>
        <w:pStyle w:val="BodyText"/>
        <w:spacing w:line="362" w:lineRule="auto" w:before="215"/>
        <w:ind w:left="721" w:right="2161"/>
      </w:pPr>
      <w:r>
        <w:rPr/>
        <w:t>As this study is based entirely on secondary market data rather than a primary survey, no respondent questionnaire was used (see Section 4.3). The table below summarises the official secondary data sources drawn upon for the study.</w:t>
      </w:r>
    </w:p>
    <w:p>
      <w:pPr>
        <w:pStyle w:val="BodyText"/>
        <w:spacing w:before="4"/>
        <w:jc w:val="left"/>
        <w:rPr>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6704"/>
      </w:tblGrid>
      <w:tr>
        <w:trPr>
          <w:trHeight w:val="374" w:hRule="atLeast"/>
        </w:trPr>
        <w:tc>
          <w:tcPr>
            <w:tcW w:w="2603" w:type="dxa"/>
            <w:shd w:val="clear" w:color="auto" w:fill="D9D9D9"/>
          </w:tcPr>
          <w:p>
            <w:pPr>
              <w:pStyle w:val="TableParagraph"/>
              <w:spacing w:before="58"/>
              <w:ind w:left="0"/>
              <w:rPr>
                <w:b/>
                <w:sz w:val="22"/>
              </w:rPr>
            </w:pPr>
            <w:r>
              <w:rPr>
                <w:b/>
                <w:spacing w:val="-2"/>
                <w:sz w:val="22"/>
              </w:rPr>
              <w:t>Source</w:t>
            </w:r>
          </w:p>
        </w:tc>
        <w:tc>
          <w:tcPr>
            <w:tcW w:w="6704" w:type="dxa"/>
            <w:shd w:val="clear" w:color="auto" w:fill="D9D9D9"/>
          </w:tcPr>
          <w:p>
            <w:pPr>
              <w:pStyle w:val="TableParagraph"/>
              <w:spacing w:before="58"/>
              <w:ind w:left="107" w:right="111"/>
              <w:rPr>
                <w:b/>
                <w:sz w:val="22"/>
              </w:rPr>
            </w:pPr>
            <w:r>
              <w:rPr>
                <w:b/>
                <w:sz w:val="22"/>
              </w:rPr>
              <w:t>Data</w:t>
            </w:r>
            <w:r>
              <w:rPr>
                <w:b/>
                <w:spacing w:val="-7"/>
                <w:sz w:val="22"/>
              </w:rPr>
              <w:t> </w:t>
            </w:r>
            <w:r>
              <w:rPr>
                <w:b/>
                <w:sz w:val="22"/>
              </w:rPr>
              <w:t>Collected</w:t>
            </w:r>
            <w:r>
              <w:rPr>
                <w:b/>
                <w:spacing w:val="-4"/>
                <w:sz w:val="22"/>
              </w:rPr>
              <w:t> </w:t>
            </w:r>
            <w:r>
              <w:rPr>
                <w:b/>
                <w:sz w:val="22"/>
              </w:rPr>
              <w:t>and</w:t>
            </w:r>
            <w:r>
              <w:rPr>
                <w:b/>
                <w:spacing w:val="-5"/>
                <w:sz w:val="22"/>
              </w:rPr>
              <w:t> </w:t>
            </w:r>
            <w:r>
              <w:rPr>
                <w:b/>
                <w:sz w:val="22"/>
              </w:rPr>
              <w:t>Application</w:t>
            </w:r>
            <w:r>
              <w:rPr>
                <w:b/>
                <w:spacing w:val="-5"/>
                <w:sz w:val="22"/>
              </w:rPr>
              <w:t> </w:t>
            </w:r>
            <w:r>
              <w:rPr>
                <w:b/>
                <w:sz w:val="22"/>
              </w:rPr>
              <w:t>in</w:t>
            </w:r>
            <w:r>
              <w:rPr>
                <w:b/>
                <w:spacing w:val="-9"/>
                <w:sz w:val="22"/>
              </w:rPr>
              <w:t> </w:t>
            </w:r>
            <w:r>
              <w:rPr>
                <w:b/>
                <w:sz w:val="22"/>
              </w:rPr>
              <w:t>the</w:t>
            </w:r>
            <w:r>
              <w:rPr>
                <w:b/>
                <w:spacing w:val="-3"/>
                <w:sz w:val="22"/>
              </w:rPr>
              <w:t> </w:t>
            </w:r>
            <w:r>
              <w:rPr>
                <w:b/>
                <w:spacing w:val="-4"/>
                <w:sz w:val="22"/>
              </w:rPr>
              <w:t>Study</w:t>
            </w:r>
          </w:p>
        </w:tc>
      </w:tr>
      <w:tr>
        <w:trPr>
          <w:trHeight w:val="878" w:hRule="atLeast"/>
        </w:trPr>
        <w:tc>
          <w:tcPr>
            <w:tcW w:w="2603" w:type="dxa"/>
          </w:tcPr>
          <w:p>
            <w:pPr>
              <w:pStyle w:val="TableParagraph"/>
              <w:spacing w:before="179"/>
              <w:jc w:val="left"/>
              <w:rPr>
                <w:sz w:val="22"/>
              </w:rPr>
            </w:pPr>
            <w:r>
              <w:rPr>
                <w:sz w:val="22"/>
              </w:rPr>
              <w:t>NSE India </w:t>
            </w:r>
            <w:r>
              <w:rPr>
                <w:spacing w:val="-2"/>
                <w:sz w:val="22"/>
              </w:rPr>
              <w:t>(</w:t>
            </w:r>
            <w:hyperlink r:id="rId8">
              <w:r>
                <w:rPr>
                  <w:spacing w:val="-2"/>
                  <w:sz w:val="22"/>
                </w:rPr>
                <w:t>www.nseindia.com</w:t>
              </w:r>
            </w:hyperlink>
            <w:r>
              <w:rPr>
                <w:spacing w:val="-2"/>
                <w:sz w:val="22"/>
              </w:rPr>
              <w:t>)</w:t>
            </w:r>
          </w:p>
        </w:tc>
        <w:tc>
          <w:tcPr>
            <w:tcW w:w="6704" w:type="dxa"/>
          </w:tcPr>
          <w:p>
            <w:pPr>
              <w:pStyle w:val="TableParagraph"/>
              <w:spacing w:before="54"/>
              <w:ind w:left="103" w:right="111"/>
              <w:rPr>
                <w:sz w:val="22"/>
              </w:rPr>
            </w:pPr>
            <w:r>
              <w:rPr>
                <w:sz w:val="22"/>
              </w:rPr>
              <w:t>Primary</w:t>
            </w:r>
            <w:r>
              <w:rPr>
                <w:spacing w:val="-7"/>
                <w:sz w:val="22"/>
              </w:rPr>
              <w:t> </w:t>
            </w:r>
            <w:r>
              <w:rPr>
                <w:sz w:val="22"/>
              </w:rPr>
              <w:t>data source</w:t>
            </w:r>
            <w:r>
              <w:rPr>
                <w:spacing w:val="-6"/>
                <w:sz w:val="22"/>
              </w:rPr>
              <w:t> </w:t>
            </w:r>
            <w:r>
              <w:rPr>
                <w:sz w:val="22"/>
              </w:rPr>
              <w:t>—</w:t>
            </w:r>
            <w:r>
              <w:rPr>
                <w:spacing w:val="-2"/>
                <w:sz w:val="22"/>
              </w:rPr>
              <w:t> </w:t>
            </w:r>
            <w:r>
              <w:rPr>
                <w:sz w:val="22"/>
              </w:rPr>
              <w:t>daily</w:t>
            </w:r>
            <w:r>
              <w:rPr>
                <w:spacing w:val="-7"/>
                <w:sz w:val="22"/>
              </w:rPr>
              <w:t> </w:t>
            </w:r>
            <w:r>
              <w:rPr>
                <w:sz w:val="22"/>
              </w:rPr>
              <w:t>historical</w:t>
            </w:r>
            <w:r>
              <w:rPr>
                <w:spacing w:val="-6"/>
                <w:sz w:val="22"/>
              </w:rPr>
              <w:t> </w:t>
            </w:r>
            <w:r>
              <w:rPr>
                <w:sz w:val="22"/>
              </w:rPr>
              <w:t>closing</w:t>
            </w:r>
            <w:r>
              <w:rPr>
                <w:spacing w:val="-7"/>
                <w:sz w:val="22"/>
              </w:rPr>
              <w:t> </w:t>
            </w:r>
            <w:r>
              <w:rPr>
                <w:sz w:val="22"/>
              </w:rPr>
              <w:t>prices</w:t>
            </w:r>
            <w:r>
              <w:rPr>
                <w:spacing w:val="-3"/>
                <w:sz w:val="22"/>
              </w:rPr>
              <w:t> </w:t>
            </w:r>
            <w:r>
              <w:rPr>
                <w:sz w:val="22"/>
              </w:rPr>
              <w:t>of NIFTY</w:t>
            </w:r>
            <w:r>
              <w:rPr>
                <w:spacing w:val="-8"/>
                <w:sz w:val="22"/>
              </w:rPr>
              <w:t> </w:t>
            </w:r>
            <w:r>
              <w:rPr>
                <w:sz w:val="22"/>
              </w:rPr>
              <w:t>50</w:t>
            </w:r>
            <w:r>
              <w:rPr>
                <w:spacing w:val="-3"/>
                <w:sz w:val="22"/>
              </w:rPr>
              <w:t> </w:t>
            </w:r>
            <w:r>
              <w:rPr>
                <w:sz w:val="22"/>
              </w:rPr>
              <w:t>for 2020–2025; used to calculate pre-/post-event returns, event-day % change, and recovery timeline.</w:t>
            </w:r>
          </w:p>
        </w:tc>
      </w:tr>
      <w:tr>
        <w:trPr>
          <w:trHeight w:val="623" w:hRule="atLeast"/>
        </w:trPr>
        <w:tc>
          <w:tcPr>
            <w:tcW w:w="2603" w:type="dxa"/>
          </w:tcPr>
          <w:p>
            <w:pPr>
              <w:pStyle w:val="TableParagraph"/>
              <w:jc w:val="left"/>
              <w:rPr>
                <w:sz w:val="22"/>
              </w:rPr>
            </w:pPr>
            <w:r>
              <w:rPr>
                <w:sz w:val="22"/>
              </w:rPr>
              <w:t>BSE India </w:t>
            </w:r>
            <w:r>
              <w:rPr>
                <w:spacing w:val="-2"/>
                <w:sz w:val="22"/>
              </w:rPr>
              <w:t>(</w:t>
            </w:r>
            <w:hyperlink r:id="rId9">
              <w:r>
                <w:rPr>
                  <w:spacing w:val="-2"/>
                  <w:sz w:val="22"/>
                </w:rPr>
                <w:t>www.bseindia.com</w:t>
              </w:r>
            </w:hyperlink>
            <w:r>
              <w:rPr>
                <w:spacing w:val="-2"/>
                <w:sz w:val="22"/>
              </w:rPr>
              <w:t>)</w:t>
            </w:r>
          </w:p>
        </w:tc>
        <w:tc>
          <w:tcPr>
            <w:tcW w:w="6704" w:type="dxa"/>
          </w:tcPr>
          <w:p>
            <w:pPr>
              <w:pStyle w:val="TableParagraph"/>
              <w:ind w:left="1852" w:right="334" w:hanging="1518"/>
              <w:jc w:val="left"/>
              <w:rPr>
                <w:sz w:val="22"/>
              </w:rPr>
            </w:pPr>
            <w:r>
              <w:rPr>
                <w:sz w:val="22"/>
              </w:rPr>
              <w:t>Supplementary</w:t>
            </w:r>
            <w:r>
              <w:rPr>
                <w:spacing w:val="-8"/>
                <w:sz w:val="22"/>
              </w:rPr>
              <w:t> </w:t>
            </w:r>
            <w:r>
              <w:rPr>
                <w:sz w:val="22"/>
              </w:rPr>
              <w:t>data</w:t>
            </w:r>
            <w:r>
              <w:rPr>
                <w:spacing w:val="-1"/>
                <w:sz w:val="22"/>
              </w:rPr>
              <w:t> </w:t>
            </w:r>
            <w:r>
              <w:rPr>
                <w:sz w:val="22"/>
              </w:rPr>
              <w:t>used</w:t>
            </w:r>
            <w:r>
              <w:rPr>
                <w:spacing w:val="-8"/>
                <w:sz w:val="22"/>
              </w:rPr>
              <w:t> </w:t>
            </w:r>
            <w:r>
              <w:rPr>
                <w:sz w:val="22"/>
              </w:rPr>
              <w:t>for</w:t>
            </w:r>
            <w:r>
              <w:rPr>
                <w:spacing w:val="-1"/>
                <w:sz w:val="22"/>
              </w:rPr>
              <w:t> </w:t>
            </w:r>
            <w:r>
              <w:rPr>
                <w:sz w:val="22"/>
              </w:rPr>
              <w:t>cross-verification</w:t>
            </w:r>
            <w:r>
              <w:rPr>
                <w:spacing w:val="-8"/>
                <w:sz w:val="22"/>
              </w:rPr>
              <w:t> </w:t>
            </w:r>
            <w:r>
              <w:rPr>
                <w:sz w:val="22"/>
              </w:rPr>
              <w:t>of</w:t>
            </w:r>
            <w:r>
              <w:rPr>
                <w:spacing w:val="-5"/>
                <w:sz w:val="22"/>
              </w:rPr>
              <w:t> </w:t>
            </w:r>
            <w:r>
              <w:rPr>
                <w:sz w:val="22"/>
              </w:rPr>
              <w:t>NIFTY</w:t>
            </w:r>
            <w:r>
              <w:rPr>
                <w:spacing w:val="-9"/>
                <w:sz w:val="22"/>
              </w:rPr>
              <w:t> </w:t>
            </w:r>
            <w:r>
              <w:rPr>
                <w:sz w:val="22"/>
              </w:rPr>
              <w:t>50</w:t>
            </w:r>
            <w:r>
              <w:rPr>
                <w:spacing w:val="-3"/>
                <w:sz w:val="22"/>
              </w:rPr>
              <w:t> </w:t>
            </w:r>
            <w:r>
              <w:rPr>
                <w:sz w:val="22"/>
              </w:rPr>
              <w:t>closing prices and overall market context.</w:t>
            </w:r>
          </w:p>
        </w:tc>
      </w:tr>
      <w:tr>
        <w:trPr>
          <w:trHeight w:val="628" w:hRule="atLeast"/>
        </w:trPr>
        <w:tc>
          <w:tcPr>
            <w:tcW w:w="2603" w:type="dxa"/>
          </w:tcPr>
          <w:p>
            <w:pPr>
              <w:pStyle w:val="TableParagraph"/>
              <w:spacing w:line="237" w:lineRule="auto" w:before="61"/>
              <w:jc w:val="left"/>
              <w:rPr>
                <w:sz w:val="22"/>
              </w:rPr>
            </w:pPr>
            <w:r>
              <w:rPr>
                <w:sz w:val="22"/>
              </w:rPr>
              <w:t>Reserve</w:t>
            </w:r>
            <w:r>
              <w:rPr>
                <w:spacing w:val="-14"/>
                <w:sz w:val="22"/>
              </w:rPr>
              <w:t> </w:t>
            </w:r>
            <w:r>
              <w:rPr>
                <w:sz w:val="22"/>
              </w:rPr>
              <w:t>Bank</w:t>
            </w:r>
            <w:r>
              <w:rPr>
                <w:spacing w:val="-14"/>
                <w:sz w:val="22"/>
              </w:rPr>
              <w:t> </w:t>
            </w:r>
            <w:r>
              <w:rPr>
                <w:sz w:val="22"/>
              </w:rPr>
              <w:t>of</w:t>
            </w:r>
            <w:r>
              <w:rPr>
                <w:spacing w:val="-14"/>
                <w:sz w:val="22"/>
              </w:rPr>
              <w:t> </w:t>
            </w:r>
            <w:r>
              <w:rPr>
                <w:sz w:val="22"/>
              </w:rPr>
              <w:t>India </w:t>
            </w:r>
            <w:r>
              <w:rPr>
                <w:spacing w:val="-2"/>
                <w:sz w:val="22"/>
              </w:rPr>
              <w:t>(</w:t>
            </w:r>
            <w:hyperlink r:id="rId10">
              <w:r>
                <w:rPr>
                  <w:spacing w:val="-2"/>
                  <w:sz w:val="22"/>
                </w:rPr>
                <w:t>www.rbi.org.in</w:t>
              </w:r>
            </w:hyperlink>
            <w:r>
              <w:rPr>
                <w:spacing w:val="-2"/>
                <w:sz w:val="22"/>
              </w:rPr>
              <w:t>)</w:t>
            </w:r>
          </w:p>
        </w:tc>
        <w:tc>
          <w:tcPr>
            <w:tcW w:w="6704" w:type="dxa"/>
          </w:tcPr>
          <w:p>
            <w:pPr>
              <w:pStyle w:val="TableParagraph"/>
              <w:spacing w:line="237" w:lineRule="auto" w:before="61"/>
              <w:ind w:left="1319" w:hanging="1028"/>
              <w:jc w:val="left"/>
              <w:rPr>
                <w:sz w:val="22"/>
              </w:rPr>
            </w:pPr>
            <w:r>
              <w:rPr>
                <w:sz w:val="22"/>
              </w:rPr>
              <w:t>Macroeconomic</w:t>
            </w:r>
            <w:r>
              <w:rPr>
                <w:spacing w:val="-6"/>
                <w:sz w:val="22"/>
              </w:rPr>
              <w:t> </w:t>
            </w:r>
            <w:r>
              <w:rPr>
                <w:sz w:val="22"/>
              </w:rPr>
              <w:t>context</w:t>
            </w:r>
            <w:r>
              <w:rPr>
                <w:spacing w:val="-3"/>
                <w:sz w:val="22"/>
              </w:rPr>
              <w:t> </w:t>
            </w:r>
            <w:r>
              <w:rPr>
                <w:sz w:val="22"/>
              </w:rPr>
              <w:t>—</w:t>
            </w:r>
            <w:r>
              <w:rPr>
                <w:spacing w:val="-5"/>
                <w:sz w:val="22"/>
              </w:rPr>
              <w:t> </w:t>
            </w:r>
            <w:r>
              <w:rPr>
                <w:sz w:val="22"/>
              </w:rPr>
              <w:t>RBI</w:t>
            </w:r>
            <w:r>
              <w:rPr>
                <w:spacing w:val="-7"/>
                <w:sz w:val="22"/>
              </w:rPr>
              <w:t> </w:t>
            </w:r>
            <w:r>
              <w:rPr>
                <w:sz w:val="22"/>
              </w:rPr>
              <w:t>policy</w:t>
            </w:r>
            <w:r>
              <w:rPr>
                <w:spacing w:val="-10"/>
                <w:sz w:val="22"/>
              </w:rPr>
              <w:t> </w:t>
            </w:r>
            <w:r>
              <w:rPr>
                <w:sz w:val="22"/>
              </w:rPr>
              <w:t>announcements</w:t>
            </w:r>
            <w:r>
              <w:rPr>
                <w:spacing w:val="-5"/>
                <w:sz w:val="22"/>
              </w:rPr>
              <w:t> </w:t>
            </w:r>
            <w:r>
              <w:rPr>
                <w:sz w:val="22"/>
              </w:rPr>
              <w:t>and</w:t>
            </w:r>
            <w:r>
              <w:rPr>
                <w:spacing w:val="-5"/>
                <w:sz w:val="22"/>
              </w:rPr>
              <w:t> </w:t>
            </w:r>
            <w:r>
              <w:rPr>
                <w:sz w:val="22"/>
              </w:rPr>
              <w:t>monetary policy statements relevant to the study period.</w:t>
            </w:r>
          </w:p>
        </w:tc>
      </w:tr>
      <w:tr>
        <w:trPr>
          <w:trHeight w:val="623" w:hRule="atLeast"/>
        </w:trPr>
        <w:tc>
          <w:tcPr>
            <w:tcW w:w="2603" w:type="dxa"/>
          </w:tcPr>
          <w:p>
            <w:pPr>
              <w:pStyle w:val="TableParagraph"/>
              <w:spacing w:before="183"/>
              <w:jc w:val="left"/>
              <w:rPr>
                <w:sz w:val="22"/>
              </w:rPr>
            </w:pPr>
            <w:r>
              <w:rPr>
                <w:sz w:val="22"/>
              </w:rPr>
              <w:t>SEBI</w:t>
            </w:r>
            <w:r>
              <w:rPr>
                <w:spacing w:val="-3"/>
                <w:sz w:val="22"/>
              </w:rPr>
              <w:t> </w:t>
            </w:r>
            <w:r>
              <w:rPr>
                <w:spacing w:val="-2"/>
                <w:sz w:val="22"/>
              </w:rPr>
              <w:t>(</w:t>
            </w:r>
            <w:hyperlink r:id="rId11">
              <w:r>
                <w:rPr>
                  <w:spacing w:val="-2"/>
                  <w:sz w:val="22"/>
                </w:rPr>
                <w:t>www.sebi.gov.in</w:t>
              </w:r>
            </w:hyperlink>
            <w:r>
              <w:rPr>
                <w:spacing w:val="-2"/>
                <w:sz w:val="22"/>
              </w:rPr>
              <w:t>)</w:t>
            </w:r>
          </w:p>
        </w:tc>
        <w:tc>
          <w:tcPr>
            <w:tcW w:w="6704" w:type="dxa"/>
          </w:tcPr>
          <w:p>
            <w:pPr>
              <w:pStyle w:val="TableParagraph"/>
              <w:ind w:left="1665" w:hanging="1278"/>
              <w:jc w:val="left"/>
              <w:rPr>
                <w:sz w:val="22"/>
              </w:rPr>
            </w:pPr>
            <w:r>
              <w:rPr>
                <w:sz w:val="22"/>
              </w:rPr>
              <w:t>SEBI</w:t>
            </w:r>
            <w:r>
              <w:rPr>
                <w:spacing w:val="-5"/>
                <w:sz w:val="22"/>
              </w:rPr>
              <w:t> </w:t>
            </w:r>
            <w:r>
              <w:rPr>
                <w:sz w:val="22"/>
              </w:rPr>
              <w:t>regulatory</w:t>
            </w:r>
            <w:r>
              <w:rPr>
                <w:spacing w:val="-7"/>
                <w:sz w:val="22"/>
              </w:rPr>
              <w:t> </w:t>
            </w:r>
            <w:r>
              <w:rPr>
                <w:sz w:val="22"/>
              </w:rPr>
              <w:t>announcements</w:t>
            </w:r>
            <w:r>
              <w:rPr>
                <w:spacing w:val="-3"/>
                <w:sz w:val="22"/>
              </w:rPr>
              <w:t> </w:t>
            </w:r>
            <w:r>
              <w:rPr>
                <w:sz w:val="22"/>
              </w:rPr>
              <w:t>and</w:t>
            </w:r>
            <w:r>
              <w:rPr>
                <w:spacing w:val="-7"/>
                <w:sz w:val="22"/>
              </w:rPr>
              <w:t> </w:t>
            </w:r>
            <w:r>
              <w:rPr>
                <w:sz w:val="22"/>
              </w:rPr>
              <w:t>circulars</w:t>
            </w:r>
            <w:r>
              <w:rPr>
                <w:spacing w:val="-6"/>
                <w:sz w:val="22"/>
              </w:rPr>
              <w:t> </w:t>
            </w:r>
            <w:r>
              <w:rPr>
                <w:sz w:val="22"/>
              </w:rPr>
              <w:t>relevant</w:t>
            </w:r>
            <w:r>
              <w:rPr>
                <w:spacing w:val="-2"/>
                <w:sz w:val="22"/>
              </w:rPr>
              <w:t> </w:t>
            </w:r>
            <w:r>
              <w:rPr>
                <w:sz w:val="22"/>
              </w:rPr>
              <w:t>to</w:t>
            </w:r>
            <w:r>
              <w:rPr>
                <w:spacing w:val="-7"/>
                <w:sz w:val="22"/>
              </w:rPr>
              <w:t> </w:t>
            </w:r>
            <w:r>
              <w:rPr>
                <w:sz w:val="22"/>
              </w:rPr>
              <w:t>2024–25, particularly F&amp;O framework changes.</w:t>
            </w:r>
          </w:p>
        </w:tc>
      </w:tr>
    </w:tbl>
    <w:sectPr>
      <w:pgSz w:w="12240" w:h="15840"/>
      <w:pgMar w:top="1820" w:bottom="2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03"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10" w:hanging="360"/>
      </w:pPr>
      <w:rPr>
        <w:rFonts w:hint="default"/>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3" w:hanging="282"/>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085" w:hanging="364"/>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01"/>
      <w:ind w:left="38" w:right="1469"/>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ind w:left="1441"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3"/>
      <w:ind w:left="8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www.nseindia.com/" TargetMode="External"/><Relationship Id="rId9" Type="http://schemas.openxmlformats.org/officeDocument/2006/relationships/hyperlink" Target="http://www.bseindia.com/" TargetMode="External"/><Relationship Id="rId10" Type="http://schemas.openxmlformats.org/officeDocument/2006/relationships/hyperlink" Target="http://www.rbi.org.in/" TargetMode="External"/><Relationship Id="rId11" Type="http://schemas.openxmlformats.org/officeDocument/2006/relationships/hyperlink" Target="http://www.sebi.gov.in/"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2026-08-31T12:41:45Z</dcterms:created>
  <dcterms:modified xsi:type="dcterms:W3CDTF">2026-08-31T12:41:45Z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2016</vt:lpwstr>
  </property>
  <property fmtid="{D5CDD505-2E9C-101B-9397-08002B2CF9AE}" pid="5" name="LastSaved">
    <vt:filetime>2026-08-31T00:00:00Z</vt:filetime>
  </property>
  <property fmtid="{D5CDD505-2E9C-101B-9397-08002B2CF9AE}" pid="6" name="Producer">
    <vt:lpwstr>www.ilovepdf.com</vt:lpwstr>
  </property>
</Properties>
</file>