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454B5" w14:textId="657CB91F" w:rsidR="007747D4" w:rsidRDefault="007747D4" w:rsidP="007747D4">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47D4">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 Market Risk Capital Calculation &amp; Monitoring under Basel III (FRTB)</w:t>
      </w:r>
    </w:p>
    <w:p w14:paraId="535F2A45" w14:textId="77777777" w:rsidR="007747D4" w:rsidRPr="007747D4" w:rsidRDefault="007747D4" w:rsidP="007747D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D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04E56BB7" w14:textId="2BB3F6AB" w:rsidR="007747D4" w:rsidRPr="007747D4" w:rsidRDefault="007747D4" w:rsidP="007747D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D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 June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7747D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2025</w:t>
      </w:r>
    </w:p>
    <w:p w14:paraId="70620C5E" w14:textId="77777777" w:rsidR="007747D4" w:rsidRPr="007747D4" w:rsidRDefault="007747D4" w:rsidP="007747D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7D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Harshal Patil</w:t>
      </w:r>
    </w:p>
    <w:p w14:paraId="7AB4CB9B" w14:textId="77777777" w:rsidR="007747D4" w:rsidRDefault="007747D4" w:rsidP="007747D4">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1179DC" w14:textId="7CD6D00C" w:rsidR="007747D4" w:rsidRPr="007747D4" w:rsidRDefault="007747D4" w:rsidP="007747D4">
      <w:pP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3637F8" w14:textId="77777777" w:rsidR="00640595" w:rsidRPr="007747D4" w:rsidRDefault="007747D4" w:rsidP="007747D4">
      <w:pPr>
        <w:pStyle w:val="Heading1"/>
      </w:pPr>
      <w:r>
        <w:br w:type="column"/>
      </w:r>
    </w:p>
    <w:sdt>
      <w:sdtPr>
        <w:id w:val="-86213626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6D0E1E1A" w14:textId="2F09F010" w:rsidR="00640595" w:rsidRDefault="00640595">
          <w:pPr>
            <w:pStyle w:val="TOCHeading"/>
          </w:pPr>
          <w:r>
            <w:t>Table of Contents</w:t>
          </w:r>
        </w:p>
        <w:p w14:paraId="06E7D572" w14:textId="0B59ED6B" w:rsidR="00640595" w:rsidRDefault="00640595">
          <w:pPr>
            <w:pStyle w:val="TOC1"/>
            <w:tabs>
              <w:tab w:val="right" w:leader="dot" w:pos="9016"/>
            </w:tabs>
            <w:rPr>
              <w:noProof/>
            </w:rPr>
          </w:pPr>
          <w:r>
            <w:fldChar w:fldCharType="begin"/>
          </w:r>
          <w:r>
            <w:instrText xml:space="preserve"> TOC \o "1-3" \h \z \u </w:instrText>
          </w:r>
          <w:r>
            <w:fldChar w:fldCharType="separate"/>
          </w:r>
          <w:hyperlink w:anchor="_Toc200792267" w:history="1">
            <w:r w:rsidRPr="005B597F">
              <w:rPr>
                <w:rStyle w:val="Hyperlink"/>
                <w:noProof/>
              </w:rPr>
              <w:t>1. Executive Summary</w:t>
            </w:r>
            <w:r>
              <w:rPr>
                <w:noProof/>
                <w:webHidden/>
              </w:rPr>
              <w:tab/>
            </w:r>
            <w:r>
              <w:rPr>
                <w:noProof/>
                <w:webHidden/>
              </w:rPr>
              <w:fldChar w:fldCharType="begin"/>
            </w:r>
            <w:r>
              <w:rPr>
                <w:noProof/>
                <w:webHidden/>
              </w:rPr>
              <w:instrText xml:space="preserve"> PAGEREF _Toc200792267 \h </w:instrText>
            </w:r>
            <w:r>
              <w:rPr>
                <w:noProof/>
                <w:webHidden/>
              </w:rPr>
            </w:r>
            <w:r>
              <w:rPr>
                <w:noProof/>
                <w:webHidden/>
              </w:rPr>
              <w:fldChar w:fldCharType="separate"/>
            </w:r>
            <w:r>
              <w:rPr>
                <w:noProof/>
                <w:webHidden/>
              </w:rPr>
              <w:t>3</w:t>
            </w:r>
            <w:r>
              <w:rPr>
                <w:noProof/>
                <w:webHidden/>
              </w:rPr>
              <w:fldChar w:fldCharType="end"/>
            </w:r>
          </w:hyperlink>
        </w:p>
        <w:p w14:paraId="06F41C8E" w14:textId="5BE0A827" w:rsidR="00640595" w:rsidRDefault="00640595">
          <w:pPr>
            <w:pStyle w:val="TOC1"/>
            <w:tabs>
              <w:tab w:val="right" w:leader="dot" w:pos="9016"/>
            </w:tabs>
            <w:rPr>
              <w:noProof/>
            </w:rPr>
          </w:pPr>
          <w:hyperlink w:anchor="_Toc200792268" w:history="1">
            <w:r w:rsidRPr="005B597F">
              <w:rPr>
                <w:rStyle w:val="Hyperlink"/>
                <w:noProof/>
              </w:rPr>
              <w:t>2. Project Objectives</w:t>
            </w:r>
            <w:r>
              <w:rPr>
                <w:noProof/>
                <w:webHidden/>
              </w:rPr>
              <w:tab/>
            </w:r>
            <w:r>
              <w:rPr>
                <w:noProof/>
                <w:webHidden/>
              </w:rPr>
              <w:fldChar w:fldCharType="begin"/>
            </w:r>
            <w:r>
              <w:rPr>
                <w:noProof/>
                <w:webHidden/>
              </w:rPr>
              <w:instrText xml:space="preserve"> PAGEREF _Toc200792268 \h </w:instrText>
            </w:r>
            <w:r>
              <w:rPr>
                <w:noProof/>
                <w:webHidden/>
              </w:rPr>
            </w:r>
            <w:r>
              <w:rPr>
                <w:noProof/>
                <w:webHidden/>
              </w:rPr>
              <w:fldChar w:fldCharType="separate"/>
            </w:r>
            <w:r>
              <w:rPr>
                <w:noProof/>
                <w:webHidden/>
              </w:rPr>
              <w:t>3</w:t>
            </w:r>
            <w:r>
              <w:rPr>
                <w:noProof/>
                <w:webHidden/>
              </w:rPr>
              <w:fldChar w:fldCharType="end"/>
            </w:r>
          </w:hyperlink>
        </w:p>
        <w:p w14:paraId="5DF83885" w14:textId="12BA81D8" w:rsidR="00640595" w:rsidRDefault="00640595">
          <w:pPr>
            <w:pStyle w:val="TOC1"/>
            <w:tabs>
              <w:tab w:val="right" w:leader="dot" w:pos="9016"/>
            </w:tabs>
            <w:rPr>
              <w:noProof/>
            </w:rPr>
          </w:pPr>
          <w:hyperlink w:anchor="_Toc200792269" w:history="1">
            <w:r w:rsidRPr="005B597F">
              <w:rPr>
                <w:rStyle w:val="Hyperlink"/>
                <w:noProof/>
              </w:rPr>
              <w:t>3. System Architecture and Key Components</w:t>
            </w:r>
            <w:r>
              <w:rPr>
                <w:noProof/>
                <w:webHidden/>
              </w:rPr>
              <w:tab/>
            </w:r>
            <w:r>
              <w:rPr>
                <w:noProof/>
                <w:webHidden/>
              </w:rPr>
              <w:fldChar w:fldCharType="begin"/>
            </w:r>
            <w:r>
              <w:rPr>
                <w:noProof/>
                <w:webHidden/>
              </w:rPr>
              <w:instrText xml:space="preserve"> PAGEREF _Toc200792269 \h </w:instrText>
            </w:r>
            <w:r>
              <w:rPr>
                <w:noProof/>
                <w:webHidden/>
              </w:rPr>
            </w:r>
            <w:r>
              <w:rPr>
                <w:noProof/>
                <w:webHidden/>
              </w:rPr>
              <w:fldChar w:fldCharType="separate"/>
            </w:r>
            <w:r>
              <w:rPr>
                <w:noProof/>
                <w:webHidden/>
              </w:rPr>
              <w:t>4</w:t>
            </w:r>
            <w:r>
              <w:rPr>
                <w:noProof/>
                <w:webHidden/>
              </w:rPr>
              <w:fldChar w:fldCharType="end"/>
            </w:r>
          </w:hyperlink>
        </w:p>
        <w:p w14:paraId="169D245B" w14:textId="519436A2" w:rsidR="00640595" w:rsidRDefault="00640595">
          <w:pPr>
            <w:pStyle w:val="TOC2"/>
            <w:tabs>
              <w:tab w:val="right" w:leader="dot" w:pos="9016"/>
            </w:tabs>
            <w:rPr>
              <w:noProof/>
            </w:rPr>
          </w:pPr>
          <w:hyperlink w:anchor="_Toc200792270" w:history="1">
            <w:r w:rsidRPr="005B597F">
              <w:rPr>
                <w:rStyle w:val="Hyperlink"/>
                <w:noProof/>
              </w:rPr>
              <w:t>3.1. Market Risk Capital Calculation Engine</w:t>
            </w:r>
            <w:r>
              <w:rPr>
                <w:noProof/>
                <w:webHidden/>
              </w:rPr>
              <w:tab/>
            </w:r>
            <w:r>
              <w:rPr>
                <w:noProof/>
                <w:webHidden/>
              </w:rPr>
              <w:fldChar w:fldCharType="begin"/>
            </w:r>
            <w:r>
              <w:rPr>
                <w:noProof/>
                <w:webHidden/>
              </w:rPr>
              <w:instrText xml:space="preserve"> PAGEREF _Toc200792270 \h </w:instrText>
            </w:r>
            <w:r>
              <w:rPr>
                <w:noProof/>
                <w:webHidden/>
              </w:rPr>
            </w:r>
            <w:r>
              <w:rPr>
                <w:noProof/>
                <w:webHidden/>
              </w:rPr>
              <w:fldChar w:fldCharType="separate"/>
            </w:r>
            <w:r>
              <w:rPr>
                <w:noProof/>
                <w:webHidden/>
              </w:rPr>
              <w:t>4</w:t>
            </w:r>
            <w:r>
              <w:rPr>
                <w:noProof/>
                <w:webHidden/>
              </w:rPr>
              <w:fldChar w:fldCharType="end"/>
            </w:r>
          </w:hyperlink>
        </w:p>
        <w:p w14:paraId="258868F6" w14:textId="40FEB72D" w:rsidR="00640595" w:rsidRDefault="00640595">
          <w:pPr>
            <w:pStyle w:val="TOC2"/>
            <w:tabs>
              <w:tab w:val="right" w:leader="dot" w:pos="9016"/>
            </w:tabs>
            <w:rPr>
              <w:noProof/>
            </w:rPr>
          </w:pPr>
          <w:hyperlink w:anchor="_Toc200792271" w:history="1">
            <w:r w:rsidRPr="005B597F">
              <w:rPr>
                <w:rStyle w:val="Hyperlink"/>
                <w:noProof/>
              </w:rPr>
              <w:t>3.2. Quantitative Risk Measurement Modules</w:t>
            </w:r>
            <w:r>
              <w:rPr>
                <w:noProof/>
                <w:webHidden/>
              </w:rPr>
              <w:tab/>
            </w:r>
            <w:r>
              <w:rPr>
                <w:noProof/>
                <w:webHidden/>
              </w:rPr>
              <w:fldChar w:fldCharType="begin"/>
            </w:r>
            <w:r>
              <w:rPr>
                <w:noProof/>
                <w:webHidden/>
              </w:rPr>
              <w:instrText xml:space="preserve"> PAGEREF _Toc200792271 \h </w:instrText>
            </w:r>
            <w:r>
              <w:rPr>
                <w:noProof/>
                <w:webHidden/>
              </w:rPr>
            </w:r>
            <w:r>
              <w:rPr>
                <w:noProof/>
                <w:webHidden/>
              </w:rPr>
              <w:fldChar w:fldCharType="separate"/>
            </w:r>
            <w:r>
              <w:rPr>
                <w:noProof/>
                <w:webHidden/>
              </w:rPr>
              <w:t>4</w:t>
            </w:r>
            <w:r>
              <w:rPr>
                <w:noProof/>
                <w:webHidden/>
              </w:rPr>
              <w:fldChar w:fldCharType="end"/>
            </w:r>
          </w:hyperlink>
        </w:p>
        <w:p w14:paraId="7D2F7E27" w14:textId="767C39E2" w:rsidR="00640595" w:rsidRDefault="00640595">
          <w:pPr>
            <w:pStyle w:val="TOC2"/>
            <w:tabs>
              <w:tab w:val="right" w:leader="dot" w:pos="9016"/>
            </w:tabs>
            <w:rPr>
              <w:noProof/>
            </w:rPr>
          </w:pPr>
          <w:hyperlink w:anchor="_Toc200792272" w:history="1">
            <w:r w:rsidRPr="005B597F">
              <w:rPr>
                <w:rStyle w:val="Hyperlink"/>
                <w:noProof/>
              </w:rPr>
              <w:t>3.3. Model Validation and Capital Add-on Modules</w:t>
            </w:r>
            <w:r>
              <w:rPr>
                <w:noProof/>
                <w:webHidden/>
              </w:rPr>
              <w:tab/>
            </w:r>
            <w:r>
              <w:rPr>
                <w:noProof/>
                <w:webHidden/>
              </w:rPr>
              <w:fldChar w:fldCharType="begin"/>
            </w:r>
            <w:r>
              <w:rPr>
                <w:noProof/>
                <w:webHidden/>
              </w:rPr>
              <w:instrText xml:space="preserve"> PAGEREF _Toc200792272 \h </w:instrText>
            </w:r>
            <w:r>
              <w:rPr>
                <w:noProof/>
                <w:webHidden/>
              </w:rPr>
            </w:r>
            <w:r>
              <w:rPr>
                <w:noProof/>
                <w:webHidden/>
              </w:rPr>
              <w:fldChar w:fldCharType="separate"/>
            </w:r>
            <w:r>
              <w:rPr>
                <w:noProof/>
                <w:webHidden/>
              </w:rPr>
              <w:t>4</w:t>
            </w:r>
            <w:r>
              <w:rPr>
                <w:noProof/>
                <w:webHidden/>
              </w:rPr>
              <w:fldChar w:fldCharType="end"/>
            </w:r>
          </w:hyperlink>
        </w:p>
        <w:p w14:paraId="2207A7BD" w14:textId="353AE2E0" w:rsidR="00640595" w:rsidRDefault="00640595">
          <w:pPr>
            <w:pStyle w:val="TOC1"/>
            <w:tabs>
              <w:tab w:val="right" w:leader="dot" w:pos="9016"/>
            </w:tabs>
            <w:rPr>
              <w:noProof/>
            </w:rPr>
          </w:pPr>
          <w:hyperlink w:anchor="_Toc200792273" w:history="1">
            <w:r w:rsidRPr="005B597F">
              <w:rPr>
                <w:rStyle w:val="Hyperlink"/>
                <w:noProof/>
              </w:rPr>
              <w:t>4. Technical Implementation</w:t>
            </w:r>
            <w:r>
              <w:rPr>
                <w:noProof/>
                <w:webHidden/>
              </w:rPr>
              <w:tab/>
            </w:r>
            <w:r>
              <w:rPr>
                <w:noProof/>
                <w:webHidden/>
              </w:rPr>
              <w:fldChar w:fldCharType="begin"/>
            </w:r>
            <w:r>
              <w:rPr>
                <w:noProof/>
                <w:webHidden/>
              </w:rPr>
              <w:instrText xml:space="preserve"> PAGEREF _Toc200792273 \h </w:instrText>
            </w:r>
            <w:r>
              <w:rPr>
                <w:noProof/>
                <w:webHidden/>
              </w:rPr>
            </w:r>
            <w:r>
              <w:rPr>
                <w:noProof/>
                <w:webHidden/>
              </w:rPr>
              <w:fldChar w:fldCharType="separate"/>
            </w:r>
            <w:r>
              <w:rPr>
                <w:noProof/>
                <w:webHidden/>
              </w:rPr>
              <w:t>5</w:t>
            </w:r>
            <w:r>
              <w:rPr>
                <w:noProof/>
                <w:webHidden/>
              </w:rPr>
              <w:fldChar w:fldCharType="end"/>
            </w:r>
          </w:hyperlink>
        </w:p>
        <w:p w14:paraId="1ABAC405" w14:textId="40FD7FBF" w:rsidR="00640595" w:rsidRDefault="00640595">
          <w:pPr>
            <w:pStyle w:val="TOC1"/>
            <w:tabs>
              <w:tab w:val="right" w:leader="dot" w:pos="9016"/>
            </w:tabs>
            <w:rPr>
              <w:noProof/>
            </w:rPr>
          </w:pPr>
          <w:hyperlink w:anchor="_Toc200792274" w:history="1">
            <w:r w:rsidRPr="005B597F">
              <w:rPr>
                <w:rStyle w:val="Hyperlink"/>
                <w:noProof/>
              </w:rPr>
              <w:t>5. Data Management and Pipelines</w:t>
            </w:r>
            <w:r>
              <w:rPr>
                <w:noProof/>
                <w:webHidden/>
              </w:rPr>
              <w:tab/>
            </w:r>
            <w:r>
              <w:rPr>
                <w:noProof/>
                <w:webHidden/>
              </w:rPr>
              <w:fldChar w:fldCharType="begin"/>
            </w:r>
            <w:r>
              <w:rPr>
                <w:noProof/>
                <w:webHidden/>
              </w:rPr>
              <w:instrText xml:space="preserve"> PAGEREF _Toc200792274 \h </w:instrText>
            </w:r>
            <w:r>
              <w:rPr>
                <w:noProof/>
                <w:webHidden/>
              </w:rPr>
            </w:r>
            <w:r>
              <w:rPr>
                <w:noProof/>
                <w:webHidden/>
              </w:rPr>
              <w:fldChar w:fldCharType="separate"/>
            </w:r>
            <w:r>
              <w:rPr>
                <w:noProof/>
                <w:webHidden/>
              </w:rPr>
              <w:t>6</w:t>
            </w:r>
            <w:r>
              <w:rPr>
                <w:noProof/>
                <w:webHidden/>
              </w:rPr>
              <w:fldChar w:fldCharType="end"/>
            </w:r>
          </w:hyperlink>
        </w:p>
        <w:p w14:paraId="09FEBCCD" w14:textId="1143FF19" w:rsidR="00640595" w:rsidRDefault="00640595">
          <w:pPr>
            <w:pStyle w:val="TOC1"/>
            <w:tabs>
              <w:tab w:val="right" w:leader="dot" w:pos="9016"/>
            </w:tabs>
            <w:rPr>
              <w:noProof/>
            </w:rPr>
          </w:pPr>
          <w:hyperlink w:anchor="_Toc200792275" w:history="1">
            <w:r w:rsidRPr="005B597F">
              <w:rPr>
                <w:rStyle w:val="Hyperlink"/>
                <w:noProof/>
              </w:rPr>
              <w:t>6. Front-End Dashboards and Monitoring</w:t>
            </w:r>
            <w:r>
              <w:rPr>
                <w:noProof/>
                <w:webHidden/>
              </w:rPr>
              <w:tab/>
            </w:r>
            <w:r>
              <w:rPr>
                <w:noProof/>
                <w:webHidden/>
              </w:rPr>
              <w:fldChar w:fldCharType="begin"/>
            </w:r>
            <w:r>
              <w:rPr>
                <w:noProof/>
                <w:webHidden/>
              </w:rPr>
              <w:instrText xml:space="preserve"> PAGEREF _Toc200792275 \h </w:instrText>
            </w:r>
            <w:r>
              <w:rPr>
                <w:noProof/>
                <w:webHidden/>
              </w:rPr>
            </w:r>
            <w:r>
              <w:rPr>
                <w:noProof/>
                <w:webHidden/>
              </w:rPr>
              <w:fldChar w:fldCharType="separate"/>
            </w:r>
            <w:r>
              <w:rPr>
                <w:noProof/>
                <w:webHidden/>
              </w:rPr>
              <w:t>7</w:t>
            </w:r>
            <w:r>
              <w:rPr>
                <w:noProof/>
                <w:webHidden/>
              </w:rPr>
              <w:fldChar w:fldCharType="end"/>
            </w:r>
          </w:hyperlink>
        </w:p>
        <w:p w14:paraId="0C9DB4CE" w14:textId="639F8144" w:rsidR="00640595" w:rsidRDefault="00640595">
          <w:pPr>
            <w:pStyle w:val="TOC1"/>
            <w:tabs>
              <w:tab w:val="right" w:leader="dot" w:pos="9016"/>
            </w:tabs>
            <w:rPr>
              <w:noProof/>
            </w:rPr>
          </w:pPr>
          <w:hyperlink w:anchor="_Toc200792276" w:history="1">
            <w:r w:rsidRPr="005B597F">
              <w:rPr>
                <w:rStyle w:val="Hyperlink"/>
                <w:noProof/>
              </w:rPr>
              <w:t>7. Regulatory Compliance and Strategic Impact</w:t>
            </w:r>
            <w:r>
              <w:rPr>
                <w:noProof/>
                <w:webHidden/>
              </w:rPr>
              <w:tab/>
            </w:r>
            <w:r>
              <w:rPr>
                <w:noProof/>
                <w:webHidden/>
              </w:rPr>
              <w:fldChar w:fldCharType="begin"/>
            </w:r>
            <w:r>
              <w:rPr>
                <w:noProof/>
                <w:webHidden/>
              </w:rPr>
              <w:instrText xml:space="preserve"> PAGEREF _Toc200792276 \h </w:instrText>
            </w:r>
            <w:r>
              <w:rPr>
                <w:noProof/>
                <w:webHidden/>
              </w:rPr>
            </w:r>
            <w:r>
              <w:rPr>
                <w:noProof/>
                <w:webHidden/>
              </w:rPr>
              <w:fldChar w:fldCharType="separate"/>
            </w:r>
            <w:r>
              <w:rPr>
                <w:noProof/>
                <w:webHidden/>
              </w:rPr>
              <w:t>8</w:t>
            </w:r>
            <w:r>
              <w:rPr>
                <w:noProof/>
                <w:webHidden/>
              </w:rPr>
              <w:fldChar w:fldCharType="end"/>
            </w:r>
          </w:hyperlink>
        </w:p>
        <w:p w14:paraId="192DFC62" w14:textId="1A7DAE41" w:rsidR="00640595" w:rsidRDefault="00640595">
          <w:pPr>
            <w:pStyle w:val="TOC1"/>
            <w:tabs>
              <w:tab w:val="right" w:leader="dot" w:pos="9016"/>
            </w:tabs>
            <w:rPr>
              <w:noProof/>
            </w:rPr>
          </w:pPr>
          <w:hyperlink w:anchor="_Toc200792277" w:history="1">
            <w:r w:rsidRPr="005B597F">
              <w:rPr>
                <w:rStyle w:val="Hyperlink"/>
                <w:noProof/>
              </w:rPr>
              <w:t>8. Conclusion</w:t>
            </w:r>
            <w:r>
              <w:rPr>
                <w:noProof/>
                <w:webHidden/>
              </w:rPr>
              <w:tab/>
            </w:r>
            <w:r>
              <w:rPr>
                <w:noProof/>
                <w:webHidden/>
              </w:rPr>
              <w:fldChar w:fldCharType="begin"/>
            </w:r>
            <w:r>
              <w:rPr>
                <w:noProof/>
                <w:webHidden/>
              </w:rPr>
              <w:instrText xml:space="preserve"> PAGEREF _Toc200792277 \h </w:instrText>
            </w:r>
            <w:r>
              <w:rPr>
                <w:noProof/>
                <w:webHidden/>
              </w:rPr>
            </w:r>
            <w:r>
              <w:rPr>
                <w:noProof/>
                <w:webHidden/>
              </w:rPr>
              <w:fldChar w:fldCharType="separate"/>
            </w:r>
            <w:r>
              <w:rPr>
                <w:noProof/>
                <w:webHidden/>
              </w:rPr>
              <w:t>8</w:t>
            </w:r>
            <w:r>
              <w:rPr>
                <w:noProof/>
                <w:webHidden/>
              </w:rPr>
              <w:fldChar w:fldCharType="end"/>
            </w:r>
          </w:hyperlink>
        </w:p>
        <w:p w14:paraId="51A5B2B2" w14:textId="6292A67D" w:rsidR="00640595" w:rsidRDefault="00640595">
          <w:r>
            <w:rPr>
              <w:b/>
              <w:bCs/>
              <w:noProof/>
            </w:rPr>
            <w:fldChar w:fldCharType="end"/>
          </w:r>
        </w:p>
      </w:sdtContent>
    </w:sdt>
    <w:p w14:paraId="52525C8C" w14:textId="6D89CACE" w:rsidR="007747D4" w:rsidRPr="007747D4" w:rsidRDefault="007747D4" w:rsidP="007747D4">
      <w:pPr>
        <w:pStyle w:val="Heading1"/>
      </w:pPr>
      <w:r>
        <w:br w:type="column"/>
      </w:r>
      <w:bookmarkStart w:id="0" w:name="_Toc200792267"/>
      <w:r w:rsidRPr="007747D4">
        <w:lastRenderedPageBreak/>
        <w:t>1. Executive Summary</w:t>
      </w:r>
      <w:bookmarkEnd w:id="0"/>
    </w:p>
    <w:p w14:paraId="3CB55AEC" w14:textId="77777777" w:rsidR="007747D4" w:rsidRPr="007747D4" w:rsidRDefault="007747D4" w:rsidP="007747D4">
      <w:r w:rsidRPr="007747D4">
        <w:t>This project involved the design and implementation of a robust, comprehensive market risk capital calculation and monitoring system, fully compliant with the Basel III Fundamental Review of the Trading Book (FRTB) framework. The system integrates both the Internal Model Approach (IMA) and Standardized Approach (SA) for capital charge computation, leveraging high-performance quantitative methods and sophisticated data engineering. A key focus was on enhancing regulatory compliance, ensuring rigorous model validity through P&amp;L Attribution (PLA) and Non-Modellable Risk Factors (NMRF) modules, and providing intuitive interactive dashboards for real-time risk analysis.</w:t>
      </w:r>
    </w:p>
    <w:p w14:paraId="146DF770" w14:textId="77777777" w:rsidR="007747D4" w:rsidRPr="007747D4" w:rsidRDefault="007747D4" w:rsidP="007747D4">
      <w:pPr>
        <w:pStyle w:val="Heading1"/>
      </w:pPr>
      <w:bookmarkStart w:id="1" w:name="_Toc200792268"/>
      <w:r w:rsidRPr="007747D4">
        <w:t>2. Project Objectives</w:t>
      </w:r>
      <w:bookmarkEnd w:id="1"/>
    </w:p>
    <w:p w14:paraId="59BA4626" w14:textId="77777777" w:rsidR="007747D4" w:rsidRPr="007747D4" w:rsidRDefault="007747D4" w:rsidP="007747D4">
      <w:r w:rsidRPr="007747D4">
        <w:t>The primary objectives of this project were to:</w:t>
      </w:r>
    </w:p>
    <w:p w14:paraId="5A21FE10" w14:textId="77777777" w:rsidR="007747D4" w:rsidRPr="007747D4" w:rsidRDefault="007747D4" w:rsidP="007747D4">
      <w:pPr>
        <w:numPr>
          <w:ilvl w:val="0"/>
          <w:numId w:val="1"/>
        </w:numPr>
      </w:pPr>
      <w:r w:rsidRPr="007747D4">
        <w:rPr>
          <w:b/>
          <w:bCs/>
        </w:rPr>
        <w:t>Achieve Basel III FRTB Compliance:</w:t>
      </w:r>
      <w:r w:rsidRPr="007747D4">
        <w:t xml:space="preserve"> Design and implement a system capable of accurately calculating market risk capital charges according to the stringent requirements of FRTB, encompassing both IMA and SA methodologies.</w:t>
      </w:r>
    </w:p>
    <w:p w14:paraId="651C98FB" w14:textId="77777777" w:rsidR="007747D4" w:rsidRPr="007747D4" w:rsidRDefault="007747D4" w:rsidP="007747D4">
      <w:pPr>
        <w:numPr>
          <w:ilvl w:val="0"/>
          <w:numId w:val="1"/>
        </w:numPr>
      </w:pPr>
      <w:r w:rsidRPr="007747D4">
        <w:rPr>
          <w:b/>
          <w:bCs/>
        </w:rPr>
        <w:t>Develop High-Performance Risk Measurement:</w:t>
      </w:r>
      <w:r w:rsidRPr="007747D4">
        <w:t xml:space="preserve"> Implement efficient and scalable algorithms for computing Value at Risk (</w:t>
      </w:r>
      <w:proofErr w:type="spellStart"/>
      <w:r w:rsidRPr="007747D4">
        <w:t>VaR</w:t>
      </w:r>
      <w:proofErr w:type="spellEnd"/>
      <w:r w:rsidRPr="007747D4">
        <w:t>) and Expected Shortfall (ES) across diverse trading book portfolios using advanced simulation techniques.</w:t>
      </w:r>
    </w:p>
    <w:p w14:paraId="1525C7FA" w14:textId="77777777" w:rsidR="007747D4" w:rsidRPr="007747D4" w:rsidRDefault="007747D4" w:rsidP="007747D4">
      <w:pPr>
        <w:numPr>
          <w:ilvl w:val="0"/>
          <w:numId w:val="1"/>
        </w:numPr>
      </w:pPr>
      <w:r w:rsidRPr="007747D4">
        <w:rPr>
          <w:b/>
          <w:bCs/>
        </w:rPr>
        <w:t>Ensure Model Validity and Completeness:</w:t>
      </w:r>
      <w:r w:rsidRPr="007747D4">
        <w:t xml:space="preserve"> Integrate modules for P&amp;L Attribution (PLA) and Non-Modellable Risk Factors (NMRF) to validate internal models and capture all necessary capital add-ons, addressing regulatory scrutiny.</w:t>
      </w:r>
    </w:p>
    <w:p w14:paraId="65757FC9" w14:textId="77777777" w:rsidR="007747D4" w:rsidRPr="007747D4" w:rsidRDefault="007747D4" w:rsidP="007747D4">
      <w:pPr>
        <w:numPr>
          <w:ilvl w:val="0"/>
          <w:numId w:val="1"/>
        </w:numPr>
      </w:pPr>
      <w:r w:rsidRPr="007747D4">
        <w:rPr>
          <w:b/>
          <w:bCs/>
        </w:rPr>
        <w:t>Establish Robust Data Infrastructure:</w:t>
      </w:r>
      <w:r w:rsidRPr="007747D4">
        <w:t xml:space="preserve"> Engineer high-throughput, low-latency data pipelines to ingest and process real-time trade and market data, ensuring data quality and supporting daily capital computations.</w:t>
      </w:r>
    </w:p>
    <w:p w14:paraId="67B4242C" w14:textId="77777777" w:rsidR="007747D4" w:rsidRPr="007747D4" w:rsidRDefault="007747D4" w:rsidP="007747D4">
      <w:pPr>
        <w:numPr>
          <w:ilvl w:val="0"/>
          <w:numId w:val="1"/>
        </w:numPr>
      </w:pPr>
      <w:r w:rsidRPr="007747D4">
        <w:rPr>
          <w:b/>
          <w:bCs/>
        </w:rPr>
        <w:t>Empower Risk Analysts:</w:t>
      </w:r>
      <w:r w:rsidRPr="007747D4">
        <w:t xml:space="preserve"> Develop user-friendly front-end dashboards to enable market risk analysts to perform real-time scenario analysis, stress testing, and model </w:t>
      </w:r>
      <w:proofErr w:type="spellStart"/>
      <w:r w:rsidRPr="007747D4">
        <w:t>backtesting</w:t>
      </w:r>
      <w:proofErr w:type="spellEnd"/>
      <w:r w:rsidRPr="007747D4">
        <w:t>, facilitating informed decision-making and risk oversight.</w:t>
      </w:r>
    </w:p>
    <w:p w14:paraId="04DCAA3E" w14:textId="77777777" w:rsidR="007747D4" w:rsidRPr="007747D4" w:rsidRDefault="007747D4" w:rsidP="007747D4">
      <w:pPr>
        <w:numPr>
          <w:ilvl w:val="0"/>
          <w:numId w:val="1"/>
        </w:numPr>
      </w:pPr>
      <w:r w:rsidRPr="007747D4">
        <w:rPr>
          <w:b/>
          <w:bCs/>
        </w:rPr>
        <w:t>Enhance Operational Efficiency:</w:t>
      </w:r>
      <w:r w:rsidRPr="007747D4">
        <w:t xml:space="preserve"> Automate capital calculation and reporting processes to reduce manual effort and improve the speed and accuracy of daily risk assessments.</w:t>
      </w:r>
    </w:p>
    <w:p w14:paraId="207BC279" w14:textId="58BD2837" w:rsidR="007747D4" w:rsidRPr="007747D4" w:rsidRDefault="007747D4" w:rsidP="007747D4">
      <w:pPr>
        <w:pStyle w:val="Heading1"/>
      </w:pPr>
      <w:r>
        <w:br w:type="column"/>
      </w:r>
      <w:bookmarkStart w:id="2" w:name="_Toc200792269"/>
      <w:r w:rsidRPr="007747D4">
        <w:lastRenderedPageBreak/>
        <w:t>3. System Architecture and Key Components</w:t>
      </w:r>
      <w:bookmarkEnd w:id="2"/>
    </w:p>
    <w:p w14:paraId="46E06D67" w14:textId="77777777" w:rsidR="007747D4" w:rsidRPr="007747D4" w:rsidRDefault="007747D4" w:rsidP="007747D4">
      <w:r w:rsidRPr="007747D4">
        <w:t>The system was designed with a modular architecture to ensure scalability, maintainability, and adaptability to evolving regulatory requirements.</w:t>
      </w:r>
    </w:p>
    <w:p w14:paraId="2AD1F344" w14:textId="77777777" w:rsidR="007747D4" w:rsidRPr="007747D4" w:rsidRDefault="007747D4" w:rsidP="007747D4">
      <w:pPr>
        <w:pStyle w:val="Heading2"/>
      </w:pPr>
      <w:bookmarkStart w:id="3" w:name="_Toc200792270"/>
      <w:r w:rsidRPr="007747D4">
        <w:t>3.1. Market Risk Capital Calculation Engine</w:t>
      </w:r>
      <w:bookmarkEnd w:id="3"/>
    </w:p>
    <w:p w14:paraId="536E524A" w14:textId="77777777" w:rsidR="007747D4" w:rsidRPr="007747D4" w:rsidRDefault="007747D4" w:rsidP="007747D4">
      <w:pPr>
        <w:numPr>
          <w:ilvl w:val="0"/>
          <w:numId w:val="2"/>
        </w:numPr>
      </w:pPr>
      <w:r w:rsidRPr="007747D4">
        <w:rPr>
          <w:b/>
          <w:bCs/>
        </w:rPr>
        <w:t>Internal Model Approach (IMA):</w:t>
      </w:r>
    </w:p>
    <w:p w14:paraId="4A57D1E0" w14:textId="77777777" w:rsidR="007747D4" w:rsidRPr="007747D4" w:rsidRDefault="007747D4" w:rsidP="007747D4">
      <w:pPr>
        <w:numPr>
          <w:ilvl w:val="1"/>
          <w:numId w:val="2"/>
        </w:numPr>
      </w:pPr>
      <w:r w:rsidRPr="007747D4">
        <w:t>Implemented algorithms for calculating Expected Shortfall (ES) at a 97.5% confidence level, considering both default risk and non-default risk components, in accordance with FRTB guidelines.</w:t>
      </w:r>
    </w:p>
    <w:p w14:paraId="261B54EB" w14:textId="77777777" w:rsidR="007747D4" w:rsidRPr="007747D4" w:rsidRDefault="007747D4" w:rsidP="007747D4">
      <w:pPr>
        <w:numPr>
          <w:ilvl w:val="1"/>
          <w:numId w:val="2"/>
        </w:numPr>
      </w:pPr>
      <w:r w:rsidRPr="007747D4">
        <w:t xml:space="preserve">Developed capabilities for risk factor eligibility testing and </w:t>
      </w:r>
      <w:proofErr w:type="spellStart"/>
      <w:r w:rsidRPr="007747D4">
        <w:t>backtesting</w:t>
      </w:r>
      <w:proofErr w:type="spellEnd"/>
      <w:r w:rsidRPr="007747D4">
        <w:t xml:space="preserve"> of ES models.</w:t>
      </w:r>
    </w:p>
    <w:p w14:paraId="01958D59" w14:textId="77777777" w:rsidR="007747D4" w:rsidRPr="007747D4" w:rsidRDefault="007747D4" w:rsidP="007747D4">
      <w:pPr>
        <w:numPr>
          <w:ilvl w:val="1"/>
          <w:numId w:val="2"/>
        </w:numPr>
      </w:pPr>
      <w:r w:rsidRPr="007747D4">
        <w:t>Supported various aggregation levels for risk factors and legal entities.</w:t>
      </w:r>
    </w:p>
    <w:p w14:paraId="615C37DE" w14:textId="77777777" w:rsidR="007747D4" w:rsidRPr="007747D4" w:rsidRDefault="007747D4" w:rsidP="007747D4">
      <w:pPr>
        <w:numPr>
          <w:ilvl w:val="0"/>
          <w:numId w:val="2"/>
        </w:numPr>
      </w:pPr>
      <w:r w:rsidRPr="007747D4">
        <w:rPr>
          <w:b/>
          <w:bCs/>
        </w:rPr>
        <w:t>Standardized Approach (SA):</w:t>
      </w:r>
    </w:p>
    <w:p w14:paraId="29D823C1" w14:textId="77777777" w:rsidR="007747D4" w:rsidRPr="007747D4" w:rsidRDefault="007747D4" w:rsidP="007747D4">
      <w:pPr>
        <w:numPr>
          <w:ilvl w:val="1"/>
          <w:numId w:val="2"/>
        </w:numPr>
      </w:pPr>
      <w:r w:rsidRPr="007747D4">
        <w:t xml:space="preserve">Integrated the Sensitivities-Based Method (SBM) for calculating capital charges based on delta, </w:t>
      </w:r>
      <w:proofErr w:type="spellStart"/>
      <w:r w:rsidRPr="007747D4">
        <w:t>vega</w:t>
      </w:r>
      <w:proofErr w:type="spellEnd"/>
      <w:r w:rsidRPr="007747D4">
        <w:t>, and curvature risks.</w:t>
      </w:r>
    </w:p>
    <w:p w14:paraId="63E07BD4" w14:textId="77777777" w:rsidR="007747D4" w:rsidRPr="007747D4" w:rsidRDefault="007747D4" w:rsidP="007747D4">
      <w:pPr>
        <w:numPr>
          <w:ilvl w:val="1"/>
          <w:numId w:val="2"/>
        </w:numPr>
      </w:pPr>
      <w:r w:rsidRPr="007747D4">
        <w:t>Implemented the Default Risk Charge (DRC) and Residual Risk Add-on (RRAO) components.</w:t>
      </w:r>
    </w:p>
    <w:p w14:paraId="35FB5041" w14:textId="77777777" w:rsidR="007747D4" w:rsidRPr="007747D4" w:rsidRDefault="007747D4" w:rsidP="007747D4">
      <w:pPr>
        <w:numPr>
          <w:ilvl w:val="1"/>
          <w:numId w:val="2"/>
        </w:numPr>
      </w:pPr>
      <w:r w:rsidRPr="007747D4">
        <w:t>Ensured adherence to prescribed correlations and risk weights.</w:t>
      </w:r>
    </w:p>
    <w:p w14:paraId="05429819" w14:textId="77777777" w:rsidR="007747D4" w:rsidRPr="007747D4" w:rsidRDefault="007747D4" w:rsidP="007747D4">
      <w:pPr>
        <w:pStyle w:val="Heading2"/>
      </w:pPr>
      <w:bookmarkStart w:id="4" w:name="_Toc200792271"/>
      <w:r w:rsidRPr="007747D4">
        <w:t>3.2. Quantitative Risk Measurement Modules</w:t>
      </w:r>
      <w:bookmarkEnd w:id="4"/>
    </w:p>
    <w:p w14:paraId="66D19952" w14:textId="77777777" w:rsidR="007747D4" w:rsidRPr="007747D4" w:rsidRDefault="007747D4" w:rsidP="007747D4">
      <w:pPr>
        <w:numPr>
          <w:ilvl w:val="0"/>
          <w:numId w:val="3"/>
        </w:numPr>
      </w:pPr>
      <w:r w:rsidRPr="007747D4">
        <w:rPr>
          <w:b/>
          <w:bCs/>
        </w:rPr>
        <w:t>Value at Risk (</w:t>
      </w:r>
      <w:proofErr w:type="spellStart"/>
      <w:r w:rsidRPr="007747D4">
        <w:rPr>
          <w:b/>
          <w:bCs/>
        </w:rPr>
        <w:t>VaR</w:t>
      </w:r>
      <w:proofErr w:type="spellEnd"/>
      <w:r w:rsidRPr="007747D4">
        <w:rPr>
          <w:b/>
          <w:bCs/>
        </w:rPr>
        <w:t>) and Expected Shortfall (ES) Calculation:</w:t>
      </w:r>
    </w:p>
    <w:p w14:paraId="11F3DF5F" w14:textId="77777777" w:rsidR="007747D4" w:rsidRPr="007747D4" w:rsidRDefault="007747D4" w:rsidP="007747D4">
      <w:pPr>
        <w:numPr>
          <w:ilvl w:val="1"/>
          <w:numId w:val="3"/>
        </w:numPr>
      </w:pPr>
      <w:r w:rsidRPr="007747D4">
        <w:rPr>
          <w:b/>
          <w:bCs/>
        </w:rPr>
        <w:t>Historical Simulation:</w:t>
      </w:r>
      <w:r w:rsidRPr="007747D4">
        <w:t xml:space="preserve"> Utilized historical market data to re-evaluate portfolio values and generate a distribution of P&amp;L, from which </w:t>
      </w:r>
      <w:proofErr w:type="spellStart"/>
      <w:r w:rsidRPr="007747D4">
        <w:t>VaR</w:t>
      </w:r>
      <w:proofErr w:type="spellEnd"/>
      <w:r w:rsidRPr="007747D4">
        <w:t xml:space="preserve"> and ES were derived. This method leveraged multi-year historical lookback periods to capture extreme events.</w:t>
      </w:r>
    </w:p>
    <w:p w14:paraId="53CCE74C" w14:textId="77777777" w:rsidR="007747D4" w:rsidRPr="007747D4" w:rsidRDefault="007747D4" w:rsidP="007747D4">
      <w:pPr>
        <w:numPr>
          <w:ilvl w:val="1"/>
          <w:numId w:val="3"/>
        </w:numPr>
      </w:pPr>
      <w:r w:rsidRPr="007747D4">
        <w:rPr>
          <w:b/>
          <w:bCs/>
        </w:rPr>
        <w:t>Monte Carlo Simulation:</w:t>
      </w:r>
      <w:r w:rsidRPr="007747D4">
        <w:t xml:space="preserve"> Employed sophisticated Monte Carlo methods to simulate future market movements and generate a large number of potential portfolio outcomes. This approach allowed for flexible </w:t>
      </w:r>
      <w:proofErr w:type="spellStart"/>
      <w:r w:rsidRPr="007747D4">
        <w:t>modeling</w:t>
      </w:r>
      <w:proofErr w:type="spellEnd"/>
      <w:r w:rsidRPr="007747D4">
        <w:t xml:space="preserve"> of complex dependencies and non-linear payoffs.</w:t>
      </w:r>
    </w:p>
    <w:p w14:paraId="76D239C1" w14:textId="77777777" w:rsidR="007747D4" w:rsidRPr="007747D4" w:rsidRDefault="007747D4" w:rsidP="007747D4">
      <w:pPr>
        <w:numPr>
          <w:ilvl w:val="1"/>
          <w:numId w:val="3"/>
        </w:numPr>
      </w:pPr>
      <w:r w:rsidRPr="007747D4">
        <w:rPr>
          <w:b/>
          <w:bCs/>
        </w:rPr>
        <w:t>Portfolio Scope:</w:t>
      </w:r>
      <w:r w:rsidRPr="007747D4">
        <w:t xml:space="preserve"> Calculations were performed across diverse trading book portfolios, including fixed income, equities, commodities, FX, and derivatives, ensuring comprehensive coverage.</w:t>
      </w:r>
    </w:p>
    <w:p w14:paraId="79FE9792" w14:textId="77777777" w:rsidR="007747D4" w:rsidRPr="007747D4" w:rsidRDefault="007747D4" w:rsidP="007747D4">
      <w:pPr>
        <w:pStyle w:val="Heading2"/>
      </w:pPr>
      <w:bookmarkStart w:id="5" w:name="_Toc200792272"/>
      <w:r w:rsidRPr="007747D4">
        <w:t>3.3. Model Validation and Capital Add-on Modules</w:t>
      </w:r>
      <w:bookmarkEnd w:id="5"/>
    </w:p>
    <w:p w14:paraId="3709C2FC" w14:textId="77777777" w:rsidR="007747D4" w:rsidRPr="007747D4" w:rsidRDefault="007747D4" w:rsidP="007747D4">
      <w:pPr>
        <w:numPr>
          <w:ilvl w:val="0"/>
          <w:numId w:val="4"/>
        </w:numPr>
      </w:pPr>
      <w:r w:rsidRPr="007747D4">
        <w:rPr>
          <w:b/>
          <w:bCs/>
        </w:rPr>
        <w:t>P&amp;L Attribution (PLA):</w:t>
      </w:r>
    </w:p>
    <w:p w14:paraId="0C8A1CA2" w14:textId="77777777" w:rsidR="007747D4" w:rsidRPr="007747D4" w:rsidRDefault="007747D4" w:rsidP="007747D4">
      <w:pPr>
        <w:numPr>
          <w:ilvl w:val="1"/>
          <w:numId w:val="4"/>
        </w:numPr>
      </w:pPr>
      <w:r w:rsidRPr="007747D4">
        <w:t>Designed and integrated a robust PLA module to rigorously compare hypothetical and actual P&amp;L generated by the trading desk with the P&amp;L predicted by the internal risk model.</w:t>
      </w:r>
    </w:p>
    <w:p w14:paraId="29793996" w14:textId="77777777" w:rsidR="007747D4" w:rsidRDefault="007747D4" w:rsidP="007747D4">
      <w:pPr>
        <w:numPr>
          <w:ilvl w:val="1"/>
          <w:numId w:val="4"/>
        </w:numPr>
      </w:pPr>
      <w:r w:rsidRPr="007747D4">
        <w:t>Developed metrics and thresholds for identifying "failure zones" in model performance, as required by FRTB, thereby ensuring continuous model validity.</w:t>
      </w:r>
    </w:p>
    <w:p w14:paraId="0E009DC7" w14:textId="77777777" w:rsidR="007747D4" w:rsidRPr="007747D4" w:rsidRDefault="007747D4" w:rsidP="007747D4">
      <w:pPr>
        <w:ind w:left="1080"/>
      </w:pPr>
    </w:p>
    <w:p w14:paraId="2AA2F4F4" w14:textId="77777777" w:rsidR="007747D4" w:rsidRPr="007747D4" w:rsidRDefault="007747D4" w:rsidP="007747D4">
      <w:pPr>
        <w:numPr>
          <w:ilvl w:val="0"/>
          <w:numId w:val="4"/>
        </w:numPr>
      </w:pPr>
      <w:r w:rsidRPr="007747D4">
        <w:rPr>
          <w:b/>
          <w:bCs/>
        </w:rPr>
        <w:lastRenderedPageBreak/>
        <w:t>Non-Modellable Risk Factors (NMRF):</w:t>
      </w:r>
    </w:p>
    <w:p w14:paraId="489BF6BA" w14:textId="77777777" w:rsidR="007747D4" w:rsidRPr="007747D4" w:rsidRDefault="007747D4" w:rsidP="007747D4">
      <w:pPr>
        <w:numPr>
          <w:ilvl w:val="1"/>
          <w:numId w:val="4"/>
        </w:numPr>
      </w:pPr>
      <w:r w:rsidRPr="007747D4">
        <w:t>Implemented a framework for identifying and capturing Non-Modellable Risk Factors (NMRFs) that do not have sufficient observable data inputs for inclusion in the IMA.</w:t>
      </w:r>
    </w:p>
    <w:p w14:paraId="22551F5B" w14:textId="77777777" w:rsidR="007747D4" w:rsidRPr="007747D4" w:rsidRDefault="007747D4" w:rsidP="007747D4">
      <w:pPr>
        <w:numPr>
          <w:ilvl w:val="1"/>
          <w:numId w:val="4"/>
        </w:numPr>
      </w:pPr>
      <w:r w:rsidRPr="007747D4">
        <w:t>Developed methods for calculating capital add-ons for NMRFs based on conservative liquidity horizons and stressed scenarios, significantly enhancing the regulatory capital posture.</w:t>
      </w:r>
    </w:p>
    <w:p w14:paraId="36A09B1C" w14:textId="77777777" w:rsidR="007747D4" w:rsidRPr="007747D4" w:rsidRDefault="007747D4" w:rsidP="00E777C5">
      <w:pPr>
        <w:pStyle w:val="Heading1"/>
      </w:pPr>
      <w:bookmarkStart w:id="6" w:name="_Toc200792273"/>
      <w:r w:rsidRPr="007747D4">
        <w:t>4. Technical Implementation</w:t>
      </w:r>
      <w:bookmarkEnd w:id="6"/>
    </w:p>
    <w:p w14:paraId="4A6B4BBA" w14:textId="77777777" w:rsidR="007747D4" w:rsidRPr="007747D4" w:rsidRDefault="007747D4" w:rsidP="007747D4">
      <w:r w:rsidRPr="007747D4">
        <w:t>The system's technical backbone was built for performance, scalability, and data integrity.</w:t>
      </w:r>
    </w:p>
    <w:p w14:paraId="1144EE26" w14:textId="77777777" w:rsidR="007747D4" w:rsidRPr="007747D4" w:rsidRDefault="007747D4" w:rsidP="007747D4">
      <w:pPr>
        <w:numPr>
          <w:ilvl w:val="0"/>
          <w:numId w:val="5"/>
        </w:numPr>
      </w:pPr>
      <w:r w:rsidRPr="007747D4">
        <w:rPr>
          <w:b/>
          <w:bCs/>
        </w:rPr>
        <w:t>Programming Language:</w:t>
      </w:r>
      <w:r w:rsidRPr="007747D4">
        <w:t xml:space="preserve"> High-performance </w:t>
      </w:r>
      <w:r w:rsidRPr="007747D4">
        <w:rPr>
          <w:b/>
          <w:bCs/>
        </w:rPr>
        <w:t>Python</w:t>
      </w:r>
      <w:r w:rsidRPr="007747D4">
        <w:t xml:space="preserve"> was the core language used for all quantitative calculations, data processing, and module development. Libraries such as NumPy, Pandas, and SciPy were extensively utilized for numerical operations and data manipulation.</w:t>
      </w:r>
    </w:p>
    <w:p w14:paraId="1C70D789" w14:textId="77777777" w:rsidR="007747D4" w:rsidRPr="007747D4" w:rsidRDefault="007747D4" w:rsidP="007747D4">
      <w:pPr>
        <w:numPr>
          <w:ilvl w:val="0"/>
          <w:numId w:val="5"/>
        </w:numPr>
      </w:pPr>
      <w:r w:rsidRPr="007747D4">
        <w:rPr>
          <w:b/>
          <w:bCs/>
        </w:rPr>
        <w:t>Database Management:</w:t>
      </w:r>
      <w:r w:rsidRPr="007747D4">
        <w:t xml:space="preserve"> </w:t>
      </w:r>
      <w:r w:rsidRPr="007747D4">
        <w:rPr>
          <w:b/>
          <w:bCs/>
        </w:rPr>
        <w:t>SQL</w:t>
      </w:r>
      <w:r w:rsidRPr="007747D4">
        <w:t xml:space="preserve"> databases (e.g., PostgreSQL, MS SQL Server) were used for persistent storage of market data, trade data, historical risk figures, and configuration settings. Database optimization techniques were applied to ensure efficient data retrieval and storage.</w:t>
      </w:r>
    </w:p>
    <w:p w14:paraId="3009714C" w14:textId="77777777" w:rsidR="007747D4" w:rsidRPr="007747D4" w:rsidRDefault="007747D4" w:rsidP="007747D4">
      <w:pPr>
        <w:numPr>
          <w:ilvl w:val="0"/>
          <w:numId w:val="5"/>
        </w:numPr>
      </w:pPr>
      <w:r w:rsidRPr="007747D4">
        <w:rPr>
          <w:b/>
          <w:bCs/>
        </w:rPr>
        <w:t>Simulation Techniques:</w:t>
      </w:r>
    </w:p>
    <w:p w14:paraId="754C31DE" w14:textId="77777777" w:rsidR="007747D4" w:rsidRPr="007747D4" w:rsidRDefault="007747D4" w:rsidP="007747D4">
      <w:pPr>
        <w:numPr>
          <w:ilvl w:val="1"/>
          <w:numId w:val="5"/>
        </w:numPr>
      </w:pPr>
      <w:r w:rsidRPr="007747D4">
        <w:rPr>
          <w:b/>
          <w:bCs/>
        </w:rPr>
        <w:t>Historical Simulation:</w:t>
      </w:r>
      <w:r w:rsidRPr="007747D4">
        <w:t xml:space="preserve"> Involved efficient vectorization of portfolio revaluation and optimization of data lookups to quickly process large historical datasets.</w:t>
      </w:r>
    </w:p>
    <w:p w14:paraId="072219DF" w14:textId="77777777" w:rsidR="007747D4" w:rsidRPr="007747D4" w:rsidRDefault="007747D4" w:rsidP="007747D4">
      <w:pPr>
        <w:numPr>
          <w:ilvl w:val="1"/>
          <w:numId w:val="5"/>
        </w:numPr>
      </w:pPr>
      <w:r w:rsidRPr="007747D4">
        <w:rPr>
          <w:b/>
          <w:bCs/>
        </w:rPr>
        <w:t>Monte Carlo Simulation:</w:t>
      </w:r>
      <w:r w:rsidRPr="007747D4">
        <w:t xml:space="preserve"> Leveraged parallel processing (e.g., Python's multiprocessing or </w:t>
      </w:r>
      <w:proofErr w:type="spellStart"/>
      <w:r w:rsidRPr="007747D4">
        <w:t>Dask</w:t>
      </w:r>
      <w:proofErr w:type="spellEnd"/>
      <w:r w:rsidRPr="007747D4">
        <w:t>) to accelerate the generation of numerous market scenarios and portfolio valuations, ensuring timely results.</w:t>
      </w:r>
    </w:p>
    <w:p w14:paraId="42473C2E" w14:textId="34CD902B" w:rsidR="007747D4" w:rsidRPr="007747D4" w:rsidRDefault="00E777C5" w:rsidP="00E777C5">
      <w:pPr>
        <w:pStyle w:val="Heading1"/>
      </w:pPr>
      <w:r>
        <w:br w:type="column"/>
      </w:r>
      <w:bookmarkStart w:id="7" w:name="_Toc200792274"/>
      <w:r w:rsidR="007747D4" w:rsidRPr="007747D4">
        <w:lastRenderedPageBreak/>
        <w:t>5. Data Management and Pipelines</w:t>
      </w:r>
      <w:bookmarkEnd w:id="7"/>
    </w:p>
    <w:p w14:paraId="41DC8515" w14:textId="77777777" w:rsidR="007747D4" w:rsidRPr="007747D4" w:rsidRDefault="007747D4" w:rsidP="007747D4">
      <w:r w:rsidRPr="007747D4">
        <w:t>Efficient and reliable data ingestion was critical for the daily capital charge computations.</w:t>
      </w:r>
    </w:p>
    <w:p w14:paraId="43EA3E56" w14:textId="77777777" w:rsidR="007747D4" w:rsidRPr="007747D4" w:rsidRDefault="007747D4" w:rsidP="007747D4">
      <w:pPr>
        <w:numPr>
          <w:ilvl w:val="0"/>
          <w:numId w:val="6"/>
        </w:numPr>
      </w:pPr>
      <w:r w:rsidRPr="007747D4">
        <w:rPr>
          <w:b/>
          <w:bCs/>
        </w:rPr>
        <w:t>Data Sources:</w:t>
      </w:r>
      <w:r w:rsidRPr="007747D4">
        <w:t xml:space="preserve"> Integrated with various internal and external data sources, including:</w:t>
      </w:r>
    </w:p>
    <w:p w14:paraId="0C663C91" w14:textId="77777777" w:rsidR="007747D4" w:rsidRPr="007747D4" w:rsidRDefault="007747D4" w:rsidP="007747D4">
      <w:pPr>
        <w:numPr>
          <w:ilvl w:val="1"/>
          <w:numId w:val="6"/>
        </w:numPr>
      </w:pPr>
      <w:r w:rsidRPr="007747D4">
        <w:t>Real-time trade booking systems.</w:t>
      </w:r>
    </w:p>
    <w:p w14:paraId="492E398D" w14:textId="77777777" w:rsidR="007747D4" w:rsidRPr="007747D4" w:rsidRDefault="007747D4" w:rsidP="007747D4">
      <w:pPr>
        <w:numPr>
          <w:ilvl w:val="1"/>
          <w:numId w:val="6"/>
        </w:numPr>
      </w:pPr>
      <w:r w:rsidRPr="007747D4">
        <w:t>Market data providers (e.g., Bloomberg, Refinitiv) for instrument prices, volatilities, and interest rates.</w:t>
      </w:r>
    </w:p>
    <w:p w14:paraId="0D62BCE1" w14:textId="77777777" w:rsidR="007747D4" w:rsidRPr="007747D4" w:rsidRDefault="007747D4" w:rsidP="007747D4">
      <w:pPr>
        <w:numPr>
          <w:ilvl w:val="1"/>
          <w:numId w:val="6"/>
        </w:numPr>
      </w:pPr>
      <w:r w:rsidRPr="007747D4">
        <w:t>Static data repositories (e.g., instrument master data, counterparty information).</w:t>
      </w:r>
    </w:p>
    <w:p w14:paraId="1FF4B15F" w14:textId="77777777" w:rsidR="007747D4" w:rsidRPr="007747D4" w:rsidRDefault="007747D4" w:rsidP="007747D4">
      <w:pPr>
        <w:numPr>
          <w:ilvl w:val="0"/>
          <w:numId w:val="6"/>
        </w:numPr>
      </w:pPr>
      <w:r w:rsidRPr="007747D4">
        <w:rPr>
          <w:b/>
          <w:bCs/>
        </w:rPr>
        <w:t>Data Pipelines (Python, SQL):</w:t>
      </w:r>
    </w:p>
    <w:p w14:paraId="094554BE" w14:textId="77777777" w:rsidR="007747D4" w:rsidRPr="007747D4" w:rsidRDefault="007747D4" w:rsidP="007747D4">
      <w:pPr>
        <w:numPr>
          <w:ilvl w:val="1"/>
          <w:numId w:val="6"/>
        </w:numPr>
      </w:pPr>
      <w:r w:rsidRPr="007747D4">
        <w:t xml:space="preserve">Engineered automated data pipelines using </w:t>
      </w:r>
      <w:r w:rsidRPr="007747D4">
        <w:rPr>
          <w:b/>
          <w:bCs/>
        </w:rPr>
        <w:t>Python scripts and SQL stored procedures</w:t>
      </w:r>
      <w:r w:rsidRPr="007747D4">
        <w:t xml:space="preserve"> for extraction, transformation, and loading (ETL) of data.</w:t>
      </w:r>
    </w:p>
    <w:p w14:paraId="43D0BE96" w14:textId="77777777" w:rsidR="007747D4" w:rsidRPr="007747D4" w:rsidRDefault="007747D4" w:rsidP="007747D4">
      <w:pPr>
        <w:numPr>
          <w:ilvl w:val="1"/>
          <w:numId w:val="6"/>
        </w:numPr>
      </w:pPr>
      <w:r w:rsidRPr="007747D4">
        <w:t>Implemented data quality checks and validation rules at each stage of the pipeline to ensure accuracy and consistency.</w:t>
      </w:r>
    </w:p>
    <w:p w14:paraId="3A2C57DC" w14:textId="77777777" w:rsidR="007747D4" w:rsidRPr="007747D4" w:rsidRDefault="007747D4" w:rsidP="007747D4">
      <w:pPr>
        <w:numPr>
          <w:ilvl w:val="1"/>
          <w:numId w:val="6"/>
        </w:numPr>
      </w:pPr>
      <w:r w:rsidRPr="007747D4">
        <w:t xml:space="preserve">Designed pipelines for </w:t>
      </w:r>
      <w:r w:rsidRPr="007747D4">
        <w:rPr>
          <w:b/>
          <w:bCs/>
        </w:rPr>
        <w:t>low-latency daily capital charge computations</w:t>
      </w:r>
      <w:r w:rsidRPr="007747D4">
        <w:t>, ensuring that the system could process and deliver results within tight operational windows.</w:t>
      </w:r>
    </w:p>
    <w:p w14:paraId="523364D1" w14:textId="77777777" w:rsidR="007747D4" w:rsidRPr="007747D4" w:rsidRDefault="007747D4" w:rsidP="007747D4">
      <w:pPr>
        <w:numPr>
          <w:ilvl w:val="1"/>
          <w:numId w:val="6"/>
        </w:numPr>
      </w:pPr>
      <w:r w:rsidRPr="007747D4">
        <w:t>Utilized scheduling tools (e.g., Apache Airflow) for orchestrating and monitoring data flows.</w:t>
      </w:r>
    </w:p>
    <w:p w14:paraId="18AF9439" w14:textId="4F0100C1" w:rsidR="007747D4" w:rsidRPr="007747D4" w:rsidRDefault="00126F5F" w:rsidP="00126F5F">
      <w:pPr>
        <w:pStyle w:val="Heading1"/>
      </w:pPr>
      <w:r>
        <w:br w:type="column"/>
      </w:r>
      <w:bookmarkStart w:id="8" w:name="_Toc200792275"/>
      <w:r w:rsidR="007747D4" w:rsidRPr="007747D4">
        <w:lastRenderedPageBreak/>
        <w:t>6. Front-End Dashboards and Monitoring</w:t>
      </w:r>
      <w:bookmarkEnd w:id="8"/>
    </w:p>
    <w:p w14:paraId="22D61092" w14:textId="77777777" w:rsidR="007747D4" w:rsidRPr="007747D4" w:rsidRDefault="007747D4" w:rsidP="007747D4">
      <w:r w:rsidRPr="007747D4">
        <w:t>A user-friendly front-end was developed to provide market risk analysts with powerful tools for analysis and monitoring.</w:t>
      </w:r>
    </w:p>
    <w:p w14:paraId="09467DEB" w14:textId="77777777" w:rsidR="007747D4" w:rsidRPr="007747D4" w:rsidRDefault="007747D4" w:rsidP="007747D4">
      <w:pPr>
        <w:numPr>
          <w:ilvl w:val="0"/>
          <w:numId w:val="7"/>
        </w:numPr>
      </w:pPr>
      <w:r w:rsidRPr="007747D4">
        <w:rPr>
          <w:b/>
          <w:bCs/>
        </w:rPr>
        <w:t>Interactive Dashboards:</w:t>
      </w:r>
      <w:r w:rsidRPr="007747D4">
        <w:t xml:space="preserve"> Designed and collaborated on the development of interactive web-based dashboards using modern front-end frameworks (e.g., React, Angular, or a similar data visualization library).</w:t>
      </w:r>
    </w:p>
    <w:p w14:paraId="705961C8" w14:textId="77777777" w:rsidR="007747D4" w:rsidRPr="007747D4" w:rsidRDefault="007747D4" w:rsidP="007747D4">
      <w:pPr>
        <w:numPr>
          <w:ilvl w:val="0"/>
          <w:numId w:val="7"/>
        </w:numPr>
      </w:pPr>
      <w:r w:rsidRPr="007747D4">
        <w:rPr>
          <w:b/>
          <w:bCs/>
        </w:rPr>
        <w:t>Real-time Scenario Analysis:</w:t>
      </w:r>
      <w:r w:rsidRPr="007747D4">
        <w:t xml:space="preserve"> Enabled analysts to define and run custom market scenarios (e.g., interest rate shocks, equity market crashes) and instantly visualize their impact on market risk capital.</w:t>
      </w:r>
    </w:p>
    <w:p w14:paraId="30092573" w14:textId="77777777" w:rsidR="007747D4" w:rsidRPr="007747D4" w:rsidRDefault="007747D4" w:rsidP="007747D4">
      <w:pPr>
        <w:numPr>
          <w:ilvl w:val="0"/>
          <w:numId w:val="7"/>
        </w:numPr>
      </w:pPr>
      <w:r w:rsidRPr="007747D4">
        <w:rPr>
          <w:b/>
          <w:bCs/>
        </w:rPr>
        <w:t>Comprehensive Stress Testing:</w:t>
      </w:r>
      <w:r w:rsidRPr="007747D4">
        <w:t xml:space="preserve"> Provided capabilities for both historical and hypothetical stress tests, allowing analysts to assess portfolio resilience under extreme but plausible market conditions.</w:t>
      </w:r>
    </w:p>
    <w:p w14:paraId="69EE86EA" w14:textId="77777777" w:rsidR="007747D4" w:rsidRPr="007747D4" w:rsidRDefault="007747D4" w:rsidP="007747D4">
      <w:pPr>
        <w:numPr>
          <w:ilvl w:val="0"/>
          <w:numId w:val="7"/>
        </w:numPr>
      </w:pPr>
      <w:r w:rsidRPr="007747D4">
        <w:rPr>
          <w:b/>
          <w:bCs/>
        </w:rPr>
        <w:t xml:space="preserve">Rigorous Model </w:t>
      </w:r>
      <w:proofErr w:type="spellStart"/>
      <w:r w:rsidRPr="007747D4">
        <w:rPr>
          <w:b/>
          <w:bCs/>
        </w:rPr>
        <w:t>Backtesting</w:t>
      </w:r>
      <w:proofErr w:type="spellEnd"/>
      <w:r w:rsidRPr="007747D4">
        <w:rPr>
          <w:b/>
          <w:bCs/>
        </w:rPr>
        <w:t>:</w:t>
      </w:r>
      <w:r w:rsidRPr="007747D4">
        <w:t xml:space="preserve"> Offered functionalities to visualize </w:t>
      </w:r>
      <w:proofErr w:type="spellStart"/>
      <w:r w:rsidRPr="007747D4">
        <w:t>backtesting</w:t>
      </w:r>
      <w:proofErr w:type="spellEnd"/>
      <w:r w:rsidRPr="007747D4">
        <w:t xml:space="preserve"> results for </w:t>
      </w:r>
      <w:proofErr w:type="spellStart"/>
      <w:r w:rsidRPr="007747D4">
        <w:t>VaR</w:t>
      </w:r>
      <w:proofErr w:type="spellEnd"/>
      <w:r w:rsidRPr="007747D4">
        <w:t xml:space="preserve"> and ES models, including violation counts, P&amp;L distributions, and statistical tests (e.g., Kupiec, Christoffersen), demonstrating a </w:t>
      </w:r>
      <w:r w:rsidRPr="007747D4">
        <w:rPr>
          <w:b/>
          <w:bCs/>
        </w:rPr>
        <w:t>holistic understanding of risk system functionality and quantitative validation workflows</w:t>
      </w:r>
      <w:r w:rsidRPr="007747D4">
        <w:t>.</w:t>
      </w:r>
    </w:p>
    <w:p w14:paraId="7EBAAC8D" w14:textId="77777777" w:rsidR="007747D4" w:rsidRPr="007747D4" w:rsidRDefault="007747D4" w:rsidP="007747D4">
      <w:pPr>
        <w:numPr>
          <w:ilvl w:val="0"/>
          <w:numId w:val="7"/>
        </w:numPr>
      </w:pPr>
      <w:r w:rsidRPr="007747D4">
        <w:rPr>
          <w:b/>
          <w:bCs/>
        </w:rPr>
        <w:t>Reporting and Drill-down:</w:t>
      </w:r>
      <w:r w:rsidRPr="007747D4">
        <w:t xml:space="preserve"> Supported generation of regulatory reports and provided drill-down capabilities from aggregate capital figures to individual trading desks, portfolios, and risk factors.</w:t>
      </w:r>
    </w:p>
    <w:p w14:paraId="5A7A8C7D" w14:textId="78EC1F3D" w:rsidR="007747D4" w:rsidRPr="007747D4" w:rsidRDefault="00126F5F" w:rsidP="00126F5F">
      <w:pPr>
        <w:pStyle w:val="Heading1"/>
      </w:pPr>
      <w:r>
        <w:br w:type="column"/>
      </w:r>
      <w:bookmarkStart w:id="9" w:name="_Toc200792276"/>
      <w:r w:rsidR="007747D4" w:rsidRPr="007747D4">
        <w:lastRenderedPageBreak/>
        <w:t>7. Regulatory Compliance and Strategic Impact</w:t>
      </w:r>
      <w:bookmarkEnd w:id="9"/>
    </w:p>
    <w:p w14:paraId="2A6C8D93" w14:textId="77777777" w:rsidR="007747D4" w:rsidRPr="007747D4" w:rsidRDefault="007747D4" w:rsidP="007747D4">
      <w:r w:rsidRPr="007747D4">
        <w:t>The project significantly enhanced the institution's regulatory compliance posture and provided strategic advantages:</w:t>
      </w:r>
    </w:p>
    <w:p w14:paraId="2180050A" w14:textId="77777777" w:rsidR="007747D4" w:rsidRPr="007747D4" w:rsidRDefault="007747D4" w:rsidP="007747D4">
      <w:pPr>
        <w:numPr>
          <w:ilvl w:val="0"/>
          <w:numId w:val="8"/>
        </w:numPr>
      </w:pPr>
      <w:r w:rsidRPr="007747D4">
        <w:rPr>
          <w:b/>
          <w:bCs/>
        </w:rPr>
        <w:t>Full FRTB Compliance:</w:t>
      </w:r>
      <w:r w:rsidRPr="007747D4">
        <w:t xml:space="preserve"> The system is fully compliant with Basel III FRTB requirements, allowing the institution to meet regulatory obligations and avoid potential penalties.</w:t>
      </w:r>
    </w:p>
    <w:p w14:paraId="474E12CB" w14:textId="77777777" w:rsidR="007747D4" w:rsidRPr="007747D4" w:rsidRDefault="007747D4" w:rsidP="007747D4">
      <w:pPr>
        <w:numPr>
          <w:ilvl w:val="0"/>
          <w:numId w:val="8"/>
        </w:numPr>
      </w:pPr>
      <w:r w:rsidRPr="007747D4">
        <w:rPr>
          <w:b/>
          <w:bCs/>
        </w:rPr>
        <w:t>Improved Risk Management:</w:t>
      </w:r>
      <w:r w:rsidRPr="007747D4">
        <w:t xml:space="preserve"> Provided a more accurate, timely, and granular view of market risk, enabling better risk oversight and more effective capital allocation.</w:t>
      </w:r>
    </w:p>
    <w:p w14:paraId="1933DE80" w14:textId="77777777" w:rsidR="007747D4" w:rsidRPr="007747D4" w:rsidRDefault="007747D4" w:rsidP="007747D4">
      <w:pPr>
        <w:numPr>
          <w:ilvl w:val="0"/>
          <w:numId w:val="8"/>
        </w:numPr>
      </w:pPr>
      <w:r w:rsidRPr="007747D4">
        <w:rPr>
          <w:b/>
          <w:bCs/>
        </w:rPr>
        <w:t>Enhanced Decision-Making:</w:t>
      </w:r>
      <w:r w:rsidRPr="007747D4">
        <w:t xml:space="preserve"> Empowered risk analysts and senior management with advanced analytical tools to make informed decisions regarding trading strategies, hedging activities, and capital planning.</w:t>
      </w:r>
    </w:p>
    <w:p w14:paraId="75EB856D" w14:textId="77777777" w:rsidR="007747D4" w:rsidRPr="007747D4" w:rsidRDefault="007747D4" w:rsidP="007747D4">
      <w:pPr>
        <w:numPr>
          <w:ilvl w:val="0"/>
          <w:numId w:val="8"/>
        </w:numPr>
      </w:pPr>
      <w:r w:rsidRPr="007747D4">
        <w:rPr>
          <w:b/>
          <w:bCs/>
        </w:rPr>
        <w:t>Operational Efficiency:</w:t>
      </w:r>
      <w:r w:rsidRPr="007747D4">
        <w:t xml:space="preserve"> Automated many aspects of market risk capital calculation, reducing manual errors and freeing up risk professionals to focus on higher-value analytical tasks.</w:t>
      </w:r>
    </w:p>
    <w:p w14:paraId="676A97E3" w14:textId="77777777" w:rsidR="007747D4" w:rsidRPr="007747D4" w:rsidRDefault="007747D4" w:rsidP="00126F5F">
      <w:pPr>
        <w:pStyle w:val="Heading1"/>
      </w:pPr>
      <w:bookmarkStart w:id="10" w:name="_Toc200792277"/>
      <w:r w:rsidRPr="007747D4">
        <w:t>8. Conclusion</w:t>
      </w:r>
      <w:bookmarkEnd w:id="10"/>
    </w:p>
    <w:p w14:paraId="7F51D1E0" w14:textId="77777777" w:rsidR="007747D4" w:rsidRPr="007747D4" w:rsidRDefault="007747D4" w:rsidP="007747D4">
      <w:r w:rsidRPr="007747D4">
        <w:t>This project successfully delivered a state-of-the-art market risk capital calculation and monitoring system under Basel III FRTB. By integrating advanced quantitative methodologies, robust data engineering, and intuitive analytical tools, the system not only ensured regulatory compliance but also significantly enhanced the institution's capabilities in managing and understanding market risk across its trading book portfolios.</w:t>
      </w:r>
    </w:p>
    <w:p w14:paraId="133229CF" w14:textId="77777777" w:rsidR="00A40E06" w:rsidRDefault="00A40E06"/>
    <w:sectPr w:rsidR="00A40E06" w:rsidSect="0039055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55F56" w14:textId="77777777" w:rsidR="00A95E19" w:rsidRDefault="00A95E19" w:rsidP="00390553">
      <w:pPr>
        <w:spacing w:after="0" w:line="240" w:lineRule="auto"/>
      </w:pPr>
      <w:r>
        <w:separator/>
      </w:r>
    </w:p>
  </w:endnote>
  <w:endnote w:type="continuationSeparator" w:id="0">
    <w:p w14:paraId="786BA428" w14:textId="77777777" w:rsidR="00A95E19" w:rsidRDefault="00A95E19" w:rsidP="00390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1FD16" w14:textId="77777777" w:rsidR="00390553" w:rsidRDefault="00390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EEBF1" w14:textId="77777777" w:rsidR="00390553" w:rsidRDefault="003905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77C0C" w14:textId="77777777" w:rsidR="00390553" w:rsidRDefault="00390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96A82" w14:textId="77777777" w:rsidR="00A95E19" w:rsidRDefault="00A95E19" w:rsidP="00390553">
      <w:pPr>
        <w:spacing w:after="0" w:line="240" w:lineRule="auto"/>
      </w:pPr>
      <w:r>
        <w:separator/>
      </w:r>
    </w:p>
  </w:footnote>
  <w:footnote w:type="continuationSeparator" w:id="0">
    <w:p w14:paraId="1CD8B0B8" w14:textId="77777777" w:rsidR="00A95E19" w:rsidRDefault="00A95E19" w:rsidP="0039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E1E5E" w14:textId="77777777" w:rsidR="00390553" w:rsidRDefault="003905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349661"/>
      <w:docPartObj>
        <w:docPartGallery w:val="Watermarks"/>
        <w:docPartUnique/>
      </w:docPartObj>
    </w:sdtPr>
    <w:sdtContent>
      <w:p w14:paraId="786DFAA5" w14:textId="7C144B1C" w:rsidR="00390553" w:rsidRDefault="006C11AB">
        <w:pPr>
          <w:pStyle w:val="Header"/>
        </w:pPr>
        <w:r>
          <w:rPr>
            <w:noProof/>
          </w:rPr>
          <w:pict w14:anchorId="76DB87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090658" o:spid="_x0000_s1026" type="#_x0000_t136" style="position:absolute;margin-left:0;margin-top:0;width:600.75pt;height:35.3pt;rotation:315;z-index:-251657216;mso-position-horizontal:center;mso-position-horizontal-relative:margin;mso-position-vertical:center;mso-position-vertical-relative:margin" o:allowincell="f" fillcolor="silver" stroked="f">
              <v:fill opacity=".5"/>
              <v:textpath style="font-family:&quot;Calibri&quot;;font-size:1pt" string="Market Risk Capital Calculation &amp; Monitoring under Basel III (FRTB)"/>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B28E9" w14:textId="77777777" w:rsidR="00390553" w:rsidRDefault="00390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2CD0"/>
    <w:multiLevelType w:val="multilevel"/>
    <w:tmpl w:val="B490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27A71"/>
    <w:multiLevelType w:val="multilevel"/>
    <w:tmpl w:val="3122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EF7700"/>
    <w:multiLevelType w:val="multilevel"/>
    <w:tmpl w:val="130AB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331E"/>
    <w:multiLevelType w:val="multilevel"/>
    <w:tmpl w:val="60FA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A51FC"/>
    <w:multiLevelType w:val="multilevel"/>
    <w:tmpl w:val="E5FED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751A2"/>
    <w:multiLevelType w:val="multilevel"/>
    <w:tmpl w:val="FEA2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C324B"/>
    <w:multiLevelType w:val="multilevel"/>
    <w:tmpl w:val="696A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7362A"/>
    <w:multiLevelType w:val="multilevel"/>
    <w:tmpl w:val="4DDA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848359">
    <w:abstractNumId w:val="0"/>
  </w:num>
  <w:num w:numId="2" w16cid:durableId="1972247446">
    <w:abstractNumId w:val="2"/>
  </w:num>
  <w:num w:numId="3" w16cid:durableId="1015309053">
    <w:abstractNumId w:val="6"/>
  </w:num>
  <w:num w:numId="4" w16cid:durableId="990215539">
    <w:abstractNumId w:val="4"/>
  </w:num>
  <w:num w:numId="5" w16cid:durableId="879169477">
    <w:abstractNumId w:val="5"/>
  </w:num>
  <w:num w:numId="6" w16cid:durableId="121388115">
    <w:abstractNumId w:val="1"/>
  </w:num>
  <w:num w:numId="7" w16cid:durableId="1400055458">
    <w:abstractNumId w:val="7"/>
  </w:num>
  <w:num w:numId="8" w16cid:durableId="800801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D4"/>
    <w:rsid w:val="00126F5F"/>
    <w:rsid w:val="00273D62"/>
    <w:rsid w:val="002A54F2"/>
    <w:rsid w:val="00390553"/>
    <w:rsid w:val="00640595"/>
    <w:rsid w:val="006C11AB"/>
    <w:rsid w:val="007747D4"/>
    <w:rsid w:val="00875342"/>
    <w:rsid w:val="009B1410"/>
    <w:rsid w:val="00A40E06"/>
    <w:rsid w:val="00A95E19"/>
    <w:rsid w:val="00AA1246"/>
    <w:rsid w:val="00D34046"/>
    <w:rsid w:val="00D820D8"/>
    <w:rsid w:val="00E777C5"/>
    <w:rsid w:val="00EF4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F511F"/>
  <w15:chartTrackingRefBased/>
  <w15:docId w15:val="{156EE5E4-7F02-437F-923A-BC88488B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246"/>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34046"/>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semiHidden/>
    <w:unhideWhenUsed/>
    <w:qFormat/>
    <w:rsid w:val="007747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7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7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246"/>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34046"/>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semiHidden/>
    <w:rsid w:val="007747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7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7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7D4"/>
    <w:rPr>
      <w:rFonts w:eastAsiaTheme="majorEastAsia" w:cstheme="majorBidi"/>
      <w:color w:val="272727" w:themeColor="text1" w:themeTint="D8"/>
    </w:rPr>
  </w:style>
  <w:style w:type="paragraph" w:styleId="Title">
    <w:name w:val="Title"/>
    <w:basedOn w:val="Normal"/>
    <w:next w:val="Normal"/>
    <w:link w:val="TitleChar"/>
    <w:uiPriority w:val="10"/>
    <w:qFormat/>
    <w:rsid w:val="00774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7D4"/>
    <w:pPr>
      <w:spacing w:before="160"/>
      <w:jc w:val="center"/>
    </w:pPr>
    <w:rPr>
      <w:i/>
      <w:iCs/>
      <w:color w:val="404040" w:themeColor="text1" w:themeTint="BF"/>
    </w:rPr>
  </w:style>
  <w:style w:type="character" w:customStyle="1" w:styleId="QuoteChar">
    <w:name w:val="Quote Char"/>
    <w:basedOn w:val="DefaultParagraphFont"/>
    <w:link w:val="Quote"/>
    <w:uiPriority w:val="29"/>
    <w:rsid w:val="007747D4"/>
    <w:rPr>
      <w:i/>
      <w:iCs/>
      <w:color w:val="404040" w:themeColor="text1" w:themeTint="BF"/>
    </w:rPr>
  </w:style>
  <w:style w:type="paragraph" w:styleId="ListParagraph">
    <w:name w:val="List Paragraph"/>
    <w:basedOn w:val="Normal"/>
    <w:uiPriority w:val="34"/>
    <w:qFormat/>
    <w:rsid w:val="007747D4"/>
    <w:pPr>
      <w:ind w:left="720"/>
      <w:contextualSpacing/>
    </w:pPr>
  </w:style>
  <w:style w:type="character" w:styleId="IntenseEmphasis">
    <w:name w:val="Intense Emphasis"/>
    <w:basedOn w:val="DefaultParagraphFont"/>
    <w:uiPriority w:val="21"/>
    <w:qFormat/>
    <w:rsid w:val="007747D4"/>
    <w:rPr>
      <w:i/>
      <w:iCs/>
      <w:color w:val="2F5496" w:themeColor="accent1" w:themeShade="BF"/>
    </w:rPr>
  </w:style>
  <w:style w:type="paragraph" w:styleId="IntenseQuote">
    <w:name w:val="Intense Quote"/>
    <w:basedOn w:val="Normal"/>
    <w:next w:val="Normal"/>
    <w:link w:val="IntenseQuoteChar"/>
    <w:uiPriority w:val="30"/>
    <w:qFormat/>
    <w:rsid w:val="007747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7D4"/>
    <w:rPr>
      <w:i/>
      <w:iCs/>
      <w:color w:val="2F5496" w:themeColor="accent1" w:themeShade="BF"/>
    </w:rPr>
  </w:style>
  <w:style w:type="character" w:styleId="IntenseReference">
    <w:name w:val="Intense Reference"/>
    <w:basedOn w:val="DefaultParagraphFont"/>
    <w:uiPriority w:val="32"/>
    <w:qFormat/>
    <w:rsid w:val="007747D4"/>
    <w:rPr>
      <w:b/>
      <w:bCs/>
      <w:smallCaps/>
      <w:color w:val="2F5496" w:themeColor="accent1" w:themeShade="BF"/>
      <w:spacing w:val="5"/>
    </w:rPr>
  </w:style>
  <w:style w:type="paragraph" w:styleId="TOCHeading">
    <w:name w:val="TOC Heading"/>
    <w:basedOn w:val="Heading1"/>
    <w:next w:val="Normal"/>
    <w:uiPriority w:val="39"/>
    <w:unhideWhenUsed/>
    <w:qFormat/>
    <w:rsid w:val="00640595"/>
    <w:pPr>
      <w:spacing w:before="240" w:after="0"/>
      <w:outlineLvl w:val="9"/>
    </w:pPr>
    <w:rPr>
      <w:kern w:val="0"/>
      <w:szCs w:val="32"/>
      <w:lang w:val="en-US"/>
      <w14:ligatures w14:val="none"/>
    </w:rPr>
  </w:style>
  <w:style w:type="paragraph" w:styleId="TOC1">
    <w:name w:val="toc 1"/>
    <w:basedOn w:val="Normal"/>
    <w:next w:val="Normal"/>
    <w:autoRedefine/>
    <w:uiPriority w:val="39"/>
    <w:unhideWhenUsed/>
    <w:rsid w:val="00640595"/>
    <w:pPr>
      <w:spacing w:after="100"/>
    </w:pPr>
  </w:style>
  <w:style w:type="paragraph" w:styleId="TOC2">
    <w:name w:val="toc 2"/>
    <w:basedOn w:val="Normal"/>
    <w:next w:val="Normal"/>
    <w:autoRedefine/>
    <w:uiPriority w:val="39"/>
    <w:unhideWhenUsed/>
    <w:rsid w:val="00640595"/>
    <w:pPr>
      <w:spacing w:after="100"/>
      <w:ind w:left="220"/>
    </w:pPr>
  </w:style>
  <w:style w:type="character" w:styleId="Hyperlink">
    <w:name w:val="Hyperlink"/>
    <w:basedOn w:val="DefaultParagraphFont"/>
    <w:uiPriority w:val="99"/>
    <w:unhideWhenUsed/>
    <w:rsid w:val="00640595"/>
    <w:rPr>
      <w:color w:val="0563C1" w:themeColor="hyperlink"/>
      <w:u w:val="single"/>
    </w:rPr>
  </w:style>
  <w:style w:type="paragraph" w:styleId="Header">
    <w:name w:val="header"/>
    <w:basedOn w:val="Normal"/>
    <w:link w:val="HeaderChar"/>
    <w:uiPriority w:val="99"/>
    <w:unhideWhenUsed/>
    <w:rsid w:val="003905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553"/>
  </w:style>
  <w:style w:type="paragraph" w:styleId="Footer">
    <w:name w:val="footer"/>
    <w:basedOn w:val="Normal"/>
    <w:link w:val="FooterChar"/>
    <w:uiPriority w:val="99"/>
    <w:unhideWhenUsed/>
    <w:rsid w:val="003905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2483">
      <w:bodyDiv w:val="1"/>
      <w:marLeft w:val="0"/>
      <w:marRight w:val="0"/>
      <w:marTop w:val="0"/>
      <w:marBottom w:val="0"/>
      <w:divBdr>
        <w:top w:val="none" w:sz="0" w:space="0" w:color="auto"/>
        <w:left w:val="none" w:sz="0" w:space="0" w:color="auto"/>
        <w:bottom w:val="none" w:sz="0" w:space="0" w:color="auto"/>
        <w:right w:val="none" w:sz="0" w:space="0" w:color="auto"/>
      </w:divBdr>
    </w:div>
    <w:div w:id="196435462">
      <w:bodyDiv w:val="1"/>
      <w:marLeft w:val="0"/>
      <w:marRight w:val="0"/>
      <w:marTop w:val="0"/>
      <w:marBottom w:val="0"/>
      <w:divBdr>
        <w:top w:val="none" w:sz="0" w:space="0" w:color="auto"/>
        <w:left w:val="none" w:sz="0" w:space="0" w:color="auto"/>
        <w:bottom w:val="none" w:sz="0" w:space="0" w:color="auto"/>
        <w:right w:val="none" w:sz="0" w:space="0" w:color="auto"/>
      </w:divBdr>
    </w:div>
    <w:div w:id="1359817533">
      <w:bodyDiv w:val="1"/>
      <w:marLeft w:val="0"/>
      <w:marRight w:val="0"/>
      <w:marTop w:val="0"/>
      <w:marBottom w:val="0"/>
      <w:divBdr>
        <w:top w:val="none" w:sz="0" w:space="0" w:color="auto"/>
        <w:left w:val="none" w:sz="0" w:space="0" w:color="auto"/>
        <w:bottom w:val="none" w:sz="0" w:space="0" w:color="auto"/>
        <w:right w:val="none" w:sz="0" w:space="0" w:color="auto"/>
      </w:divBdr>
    </w:div>
    <w:div w:id="20014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4C63E-6C6A-42C7-A22A-E5EE79EA9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9</cp:revision>
  <dcterms:created xsi:type="dcterms:W3CDTF">2025-06-14T05:41:00Z</dcterms:created>
  <dcterms:modified xsi:type="dcterms:W3CDTF">2025-06-14T05:52:00Z</dcterms:modified>
</cp:coreProperties>
</file>