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A52E7" w14:textId="77777777" w:rsidR="00D67EC9" w:rsidRPr="00D67EC9" w:rsidRDefault="00D67EC9" w:rsidP="00D67EC9">
      <w:pPr>
        <w:rPr>
          <w:b/>
          <w:bCs/>
          <w:color w:val="1F3864" w:themeColor="accent1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67EC9">
        <w:rPr>
          <w:b/>
          <w:bCs/>
          <w:color w:val="1F3864" w:themeColor="accent1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Regulatory Compliance Memo: FRTB Impact Assessment for Market Risk Analytics Project</w:t>
      </w:r>
    </w:p>
    <w:p w14:paraId="6A5C60E8" w14:textId="77777777" w:rsidR="00D67EC9" w:rsidRDefault="00D67EC9" w:rsidP="00D67EC9">
      <w:r w:rsidRPr="00D67EC9">
        <w:rPr>
          <w:b/>
          <w:bCs/>
        </w:rPr>
        <w:t>To:</w:t>
      </w:r>
      <w:r w:rsidRPr="00D67EC9">
        <w:t xml:space="preserve"> Head of Market Risk Management </w:t>
      </w:r>
    </w:p>
    <w:p w14:paraId="66582D78" w14:textId="41A73A0D" w:rsidR="00D67EC9" w:rsidRDefault="00D67EC9" w:rsidP="00D67EC9">
      <w:r w:rsidRPr="00D67EC9">
        <w:rPr>
          <w:b/>
          <w:bCs/>
        </w:rPr>
        <w:t>From:</w:t>
      </w:r>
      <w:r w:rsidRPr="00D67EC9">
        <w:t xml:space="preserve"> </w:t>
      </w:r>
      <w:r>
        <w:t>Harshal Patil</w:t>
      </w:r>
      <w:r w:rsidRPr="00D67EC9">
        <w:t xml:space="preserve"> </w:t>
      </w:r>
    </w:p>
    <w:p w14:paraId="13A4C47F" w14:textId="77777777" w:rsidR="00D67EC9" w:rsidRDefault="00D67EC9" w:rsidP="00D67EC9">
      <w:r w:rsidRPr="00D67EC9">
        <w:rPr>
          <w:b/>
          <w:bCs/>
        </w:rPr>
        <w:t>Date:</w:t>
      </w:r>
      <w:r w:rsidRPr="00D67EC9">
        <w:t xml:space="preserve"> June 2, 2025 </w:t>
      </w:r>
    </w:p>
    <w:p w14:paraId="248B4CB3" w14:textId="5FD54429" w:rsidR="00D67EC9" w:rsidRDefault="00D67EC9" w:rsidP="00D67EC9">
      <w:r w:rsidRPr="00D67EC9">
        <w:rPr>
          <w:b/>
          <w:bCs/>
        </w:rPr>
        <w:t>Subject:</w:t>
      </w:r>
      <w:r w:rsidRPr="00D67EC9">
        <w:t xml:space="preserve"> Assessment of Market Risk Analytics Project Components against FRTB Requirements</w:t>
      </w:r>
    </w:p>
    <w:p w14:paraId="4F32A19A" w14:textId="77777777" w:rsidR="00D67EC9" w:rsidRPr="00D67EC9" w:rsidRDefault="00D67EC9" w:rsidP="00D67EC9"/>
    <w:sdt>
      <w:sdtPr>
        <w:id w:val="-18784520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6FEB839E" w14:textId="7EA1C890" w:rsidR="00D67EC9" w:rsidRDefault="00D67EC9">
          <w:pPr>
            <w:pStyle w:val="TOCHeading"/>
          </w:pPr>
          <w:r>
            <w:t>Table of Contents</w:t>
          </w:r>
        </w:p>
        <w:p w14:paraId="5C467E79" w14:textId="35D64BA7" w:rsidR="00D67EC9" w:rsidRDefault="00D67EC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19281" w:history="1">
            <w:r w:rsidRPr="00613A6B">
              <w:rPr>
                <w:rStyle w:val="Hyperlink"/>
                <w:noProof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CD30" w14:textId="6BDF0C54" w:rsidR="00D67EC9" w:rsidRDefault="00D67E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9819282" w:history="1">
            <w:r w:rsidRPr="00613A6B">
              <w:rPr>
                <w:rStyle w:val="Hyperlink"/>
                <w:noProof/>
              </w:rPr>
              <w:t>2. Project Components and FRTB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6D20" w14:textId="3793635C" w:rsidR="00D67EC9" w:rsidRDefault="00D67E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819283" w:history="1">
            <w:r w:rsidRPr="00613A6B">
              <w:rPr>
                <w:rStyle w:val="Hyperlink"/>
                <w:noProof/>
              </w:rPr>
              <w:t>2.1 Expected Shortfall (ES)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316E" w14:textId="2AC98D8B" w:rsidR="00D67EC9" w:rsidRDefault="00D67E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819284" w:history="1">
            <w:r w:rsidRPr="00613A6B">
              <w:rPr>
                <w:rStyle w:val="Hyperlink"/>
                <w:noProof/>
              </w:rPr>
              <w:t>2.2 Backtesting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0368" w14:textId="3119A7A7" w:rsidR="00D67EC9" w:rsidRDefault="00D67E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819285" w:history="1">
            <w:r w:rsidRPr="00613A6B">
              <w:rPr>
                <w:rStyle w:val="Hyperlink"/>
                <w:noProof/>
              </w:rPr>
              <w:t>2.3 Stress Testing and Scenario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7A56" w14:textId="4F6D2E39" w:rsidR="00D67EC9" w:rsidRDefault="00D67E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819286" w:history="1">
            <w:r w:rsidRPr="00613A6B">
              <w:rPr>
                <w:rStyle w:val="Hyperlink"/>
                <w:noProof/>
              </w:rPr>
              <w:t>2.4 Non-Modellable Risk Factors (NMRF)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6E8A4" w14:textId="3B4D0327" w:rsidR="00D67EC9" w:rsidRDefault="00D67E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819287" w:history="1">
            <w:r w:rsidRPr="00613A6B">
              <w:rPr>
                <w:rStyle w:val="Hyperlink"/>
                <w:noProof/>
              </w:rPr>
              <w:t>2.5 Default Risk Charge (DRC)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CCA5" w14:textId="710ED02F" w:rsidR="00D67EC9" w:rsidRDefault="00D67E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819288" w:history="1">
            <w:r w:rsidRPr="00613A6B">
              <w:rPr>
                <w:rStyle w:val="Hyperlink"/>
                <w:noProof/>
              </w:rPr>
              <w:t>2.6 P&amp;L Attribution (PLA)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BEEB" w14:textId="409F2751" w:rsidR="00D67EC9" w:rsidRDefault="00D67E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9819289" w:history="1">
            <w:r w:rsidRPr="00613A6B">
              <w:rPr>
                <w:rStyle w:val="Hyperlink"/>
                <w:noProof/>
              </w:rPr>
              <w:t>3.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4AAC" w14:textId="34B42951" w:rsidR="00D67EC9" w:rsidRDefault="00D67EC9">
          <w:r>
            <w:rPr>
              <w:b/>
              <w:bCs/>
              <w:noProof/>
            </w:rPr>
            <w:fldChar w:fldCharType="end"/>
          </w:r>
        </w:p>
      </w:sdtContent>
    </w:sdt>
    <w:p w14:paraId="0F0A2E45" w14:textId="476AEF45" w:rsidR="00D67EC9" w:rsidRPr="00D67EC9" w:rsidRDefault="00D67EC9" w:rsidP="00D67EC9">
      <w:pPr>
        <w:pStyle w:val="Heading1"/>
      </w:pPr>
      <w:r>
        <w:br w:type="column"/>
      </w:r>
      <w:bookmarkStart w:id="0" w:name="_Toc199819281"/>
      <w:r w:rsidRPr="00D67EC9">
        <w:lastRenderedPageBreak/>
        <w:t>1. Executive Summary</w:t>
      </w:r>
      <w:bookmarkEnd w:id="0"/>
    </w:p>
    <w:p w14:paraId="149DCC3C" w14:textId="77777777" w:rsidR="00D67EC9" w:rsidRPr="00D67EC9" w:rsidRDefault="00D67EC9" w:rsidP="00D67EC9">
      <w:r w:rsidRPr="00D67EC9">
        <w:t>This memo assesses the alignment of our Python-based Market Risk Analytics project's capabilities with the Fundamental Review of the Trading Book (FRTB) framework. The project successfully implements core market risk metrics (</w:t>
      </w:r>
      <w:proofErr w:type="spellStart"/>
      <w:r w:rsidRPr="00D67EC9">
        <w:t>VaR</w:t>
      </w:r>
      <w:proofErr w:type="spellEnd"/>
      <w:r w:rsidRPr="00D67EC9">
        <w:t xml:space="preserve">, ES), scenario analysis, stress testing, and basic </w:t>
      </w:r>
      <w:proofErr w:type="spellStart"/>
      <w:r w:rsidRPr="00D67EC9">
        <w:t>backtesting</w:t>
      </w:r>
      <w:proofErr w:type="spellEnd"/>
      <w:r w:rsidRPr="00D67EC9">
        <w:t>, providing a foundational quantitative toolkit. While a full FRTB implementation is highly complex and requires significant infrastructure, this project demonstrates a strong conceptual and practical understanding of key FRTB principles, particularly those relevant to the Internal Model Approach (IMA).</w:t>
      </w:r>
    </w:p>
    <w:p w14:paraId="04B0D1FF" w14:textId="77777777" w:rsidR="00D67EC9" w:rsidRPr="00D67EC9" w:rsidRDefault="00D67EC9" w:rsidP="00D67EC9">
      <w:pPr>
        <w:pStyle w:val="Heading1"/>
      </w:pPr>
      <w:bookmarkStart w:id="1" w:name="_Toc199819282"/>
      <w:r w:rsidRPr="00D67EC9">
        <w:t>2. Project Components and FRTB Alignment</w:t>
      </w:r>
      <w:bookmarkEnd w:id="1"/>
    </w:p>
    <w:p w14:paraId="0E74DFF5" w14:textId="77777777" w:rsidR="00D67EC9" w:rsidRPr="00D67EC9" w:rsidRDefault="00D67EC9" w:rsidP="00D67EC9">
      <w:pPr>
        <w:pStyle w:val="Heading2"/>
      </w:pPr>
      <w:bookmarkStart w:id="2" w:name="_Toc199819283"/>
      <w:r w:rsidRPr="00D67EC9">
        <w:t>2.1 Expected Shortfall (ES) Calculation</w:t>
      </w:r>
      <w:bookmarkEnd w:id="2"/>
    </w:p>
    <w:p w14:paraId="34C075F3" w14:textId="77777777" w:rsidR="00D67EC9" w:rsidRPr="00D67EC9" w:rsidRDefault="00D67EC9" w:rsidP="00D67EC9">
      <w:pPr>
        <w:numPr>
          <w:ilvl w:val="0"/>
          <w:numId w:val="1"/>
        </w:numPr>
      </w:pPr>
      <w:r w:rsidRPr="00D67EC9">
        <w:rPr>
          <w:b/>
          <w:bCs/>
        </w:rPr>
        <w:t>FRTB Requirement:</w:t>
      </w:r>
      <w:r w:rsidRPr="00D67EC9">
        <w:t xml:space="preserve"> FRTB mandates Expected Shortfall (ES) at a 97.5% confidence level over a 10-day horizon for the Internal Model Approach (IMA) capital charge.</w:t>
      </w:r>
    </w:p>
    <w:p w14:paraId="5679AABE" w14:textId="77777777" w:rsidR="00D67EC9" w:rsidRPr="00D67EC9" w:rsidRDefault="00D67EC9" w:rsidP="00D67EC9">
      <w:pPr>
        <w:numPr>
          <w:ilvl w:val="0"/>
          <w:numId w:val="1"/>
        </w:numPr>
      </w:pPr>
      <w:r w:rsidRPr="00D67EC9">
        <w:rPr>
          <w:b/>
          <w:bCs/>
        </w:rPr>
        <w:t>Project Alignment:</w:t>
      </w:r>
      <w:r w:rsidRPr="00D67EC9">
        <w:t xml:space="preserve"> Our project calculates Historical, Parametric, and Monte Carlo CVaR (which is synonymous with ES) at a user-defined confidence level (currently 99%).</w:t>
      </w:r>
    </w:p>
    <w:p w14:paraId="14980F19" w14:textId="77777777" w:rsidR="00D67EC9" w:rsidRPr="00D67EC9" w:rsidRDefault="00D67EC9" w:rsidP="00D67EC9">
      <w:pPr>
        <w:numPr>
          <w:ilvl w:val="0"/>
          <w:numId w:val="1"/>
        </w:numPr>
      </w:pPr>
      <w:r w:rsidRPr="00D67EC9">
        <w:rPr>
          <w:b/>
          <w:bCs/>
        </w:rPr>
        <w:t>Gap Analysis / Next Steps:</w:t>
      </w:r>
    </w:p>
    <w:p w14:paraId="2887DDEB" w14:textId="77777777" w:rsidR="00D67EC9" w:rsidRPr="00D67EC9" w:rsidRDefault="00D67EC9" w:rsidP="00D67EC9">
      <w:pPr>
        <w:numPr>
          <w:ilvl w:val="1"/>
          <w:numId w:val="1"/>
        </w:numPr>
      </w:pPr>
      <w:r w:rsidRPr="00D67EC9">
        <w:rPr>
          <w:b/>
          <w:bCs/>
        </w:rPr>
        <w:t>Confidence Level:</w:t>
      </w:r>
      <w:r w:rsidRPr="00D67EC9">
        <w:t xml:space="preserve"> Adjust the confidence level to 97.5% for direct FRTB IMA calculation.</w:t>
      </w:r>
    </w:p>
    <w:p w14:paraId="7F593DCF" w14:textId="77777777" w:rsidR="00D67EC9" w:rsidRPr="00D67EC9" w:rsidRDefault="00D67EC9" w:rsidP="00D67EC9">
      <w:pPr>
        <w:numPr>
          <w:ilvl w:val="1"/>
          <w:numId w:val="1"/>
        </w:numPr>
      </w:pPr>
      <w:r w:rsidRPr="00D67EC9">
        <w:rPr>
          <w:b/>
          <w:bCs/>
        </w:rPr>
        <w:t>Horizon:</w:t>
      </w:r>
      <w:r w:rsidRPr="00D67EC9">
        <w:t xml:space="preserve"> The current calculations are for a 1-day horizon. For FRTB, ES needs to be scaled to a 10-day horizon. This typically involves scaling daily ES by the square root of time (for independent returns) or, more accurately, by re-calculating ES over 10-day historical/simulated returns.</w:t>
      </w:r>
    </w:p>
    <w:p w14:paraId="1DA52C4E" w14:textId="77777777" w:rsidR="00D67EC9" w:rsidRPr="00D67EC9" w:rsidRDefault="00D67EC9" w:rsidP="00D67EC9">
      <w:pPr>
        <w:numPr>
          <w:ilvl w:val="1"/>
          <w:numId w:val="1"/>
        </w:numPr>
      </w:pPr>
      <w:r w:rsidRPr="00D67EC9">
        <w:rPr>
          <w:b/>
          <w:bCs/>
        </w:rPr>
        <w:t>Risk Factors:</w:t>
      </w:r>
      <w:r w:rsidRPr="00D67EC9">
        <w:t xml:space="preserve"> ES must be calculated for all risk factors identified by the bank's internal models, including interest rates, equities, FX, commodities, and credit spread risks. Our current model covers equities; expansion to other asset classes is a critical next step.</w:t>
      </w:r>
    </w:p>
    <w:p w14:paraId="64A17AC9" w14:textId="77777777" w:rsidR="00D67EC9" w:rsidRPr="00D67EC9" w:rsidRDefault="00D67EC9" w:rsidP="00D67EC9">
      <w:pPr>
        <w:pStyle w:val="Heading2"/>
      </w:pPr>
      <w:bookmarkStart w:id="3" w:name="_Toc199819284"/>
      <w:r w:rsidRPr="00D67EC9">
        <w:t xml:space="preserve">2.2 </w:t>
      </w:r>
      <w:proofErr w:type="spellStart"/>
      <w:r w:rsidRPr="00D67EC9">
        <w:t>Backtesting</w:t>
      </w:r>
      <w:proofErr w:type="spellEnd"/>
      <w:r w:rsidRPr="00D67EC9">
        <w:t xml:space="preserve"> Framework</w:t>
      </w:r>
      <w:bookmarkEnd w:id="3"/>
    </w:p>
    <w:p w14:paraId="21F051AE" w14:textId="77777777" w:rsidR="00D67EC9" w:rsidRPr="00D67EC9" w:rsidRDefault="00D67EC9" w:rsidP="00D67EC9">
      <w:pPr>
        <w:numPr>
          <w:ilvl w:val="0"/>
          <w:numId w:val="2"/>
        </w:numPr>
      </w:pPr>
      <w:r w:rsidRPr="00D67EC9">
        <w:rPr>
          <w:b/>
          <w:bCs/>
        </w:rPr>
        <w:t>FRTB Requirement:</w:t>
      </w:r>
      <w:r w:rsidRPr="00D67EC9">
        <w:t xml:space="preserve"> FRTB requires rigorous </w:t>
      </w:r>
      <w:proofErr w:type="spellStart"/>
      <w:r w:rsidRPr="00D67EC9">
        <w:t>backtesting</w:t>
      </w:r>
      <w:proofErr w:type="spellEnd"/>
      <w:r w:rsidRPr="00D67EC9">
        <w:t xml:space="preserve"> of ES models to ensure their accuracy. While specific ES </w:t>
      </w:r>
      <w:proofErr w:type="spellStart"/>
      <w:r w:rsidRPr="00D67EC9">
        <w:t>backtesting</w:t>
      </w:r>
      <w:proofErr w:type="spellEnd"/>
      <w:r w:rsidRPr="00D67EC9">
        <w:t xml:space="preserve"> tests are still evolving, the framework emphasizes both unconditional coverage (frequency of exceptions) and conditional coverage (independence of exceptions).</w:t>
      </w:r>
    </w:p>
    <w:p w14:paraId="1B7A3FD4" w14:textId="77777777" w:rsidR="00D67EC9" w:rsidRPr="00D67EC9" w:rsidRDefault="00D67EC9" w:rsidP="00D67EC9">
      <w:pPr>
        <w:numPr>
          <w:ilvl w:val="0"/>
          <w:numId w:val="2"/>
        </w:numPr>
      </w:pPr>
      <w:r w:rsidRPr="00D67EC9">
        <w:rPr>
          <w:b/>
          <w:bCs/>
        </w:rPr>
        <w:t>Project Alignment:</w:t>
      </w:r>
    </w:p>
    <w:p w14:paraId="3BEF63A9" w14:textId="77777777" w:rsidR="00D67EC9" w:rsidRPr="00D67EC9" w:rsidRDefault="00D67EC9" w:rsidP="00D67EC9">
      <w:pPr>
        <w:numPr>
          <w:ilvl w:val="1"/>
          <w:numId w:val="2"/>
        </w:numPr>
      </w:pPr>
      <w:proofErr w:type="spellStart"/>
      <w:r w:rsidRPr="00D67EC9">
        <w:rPr>
          <w:b/>
          <w:bCs/>
        </w:rPr>
        <w:t>VaR</w:t>
      </w:r>
      <w:proofErr w:type="spellEnd"/>
      <w:r w:rsidRPr="00D67EC9">
        <w:rPr>
          <w:b/>
          <w:bCs/>
        </w:rPr>
        <w:t xml:space="preserve"> </w:t>
      </w:r>
      <w:proofErr w:type="spellStart"/>
      <w:r w:rsidRPr="00D67EC9">
        <w:rPr>
          <w:b/>
          <w:bCs/>
        </w:rPr>
        <w:t>Backtesting</w:t>
      </w:r>
      <w:proofErr w:type="spellEnd"/>
      <w:r w:rsidRPr="00D67EC9">
        <w:rPr>
          <w:b/>
          <w:bCs/>
        </w:rPr>
        <w:t>:</w:t>
      </w:r>
      <w:r w:rsidRPr="00D67EC9">
        <w:t xml:space="preserve"> Implements Kupiec's Proportion of Failures (POF) test, a foundational unconditional coverage test for </w:t>
      </w:r>
      <w:proofErr w:type="spellStart"/>
      <w:r w:rsidRPr="00D67EC9">
        <w:t>VaR.</w:t>
      </w:r>
      <w:proofErr w:type="spellEnd"/>
    </w:p>
    <w:p w14:paraId="69CF1459" w14:textId="77777777" w:rsidR="00D67EC9" w:rsidRPr="00D67EC9" w:rsidRDefault="00D67EC9" w:rsidP="00D67EC9">
      <w:pPr>
        <w:numPr>
          <w:ilvl w:val="1"/>
          <w:numId w:val="2"/>
        </w:numPr>
      </w:pPr>
      <w:r w:rsidRPr="00D67EC9">
        <w:rPr>
          <w:b/>
          <w:bCs/>
        </w:rPr>
        <w:t xml:space="preserve">CVaR </w:t>
      </w:r>
      <w:proofErr w:type="spellStart"/>
      <w:r w:rsidRPr="00D67EC9">
        <w:rPr>
          <w:b/>
          <w:bCs/>
        </w:rPr>
        <w:t>Backtesting</w:t>
      </w:r>
      <w:proofErr w:type="spellEnd"/>
      <w:r w:rsidRPr="00D67EC9">
        <w:rPr>
          <w:b/>
          <w:bCs/>
        </w:rPr>
        <w:t>:</w:t>
      </w:r>
      <w:r w:rsidRPr="00D67EC9">
        <w:t xml:space="preserve"> Includes a qualitative Average Exceedance Test, comparing actual average losses on </w:t>
      </w:r>
      <w:proofErr w:type="spellStart"/>
      <w:r w:rsidRPr="00D67EC9">
        <w:t>VaR</w:t>
      </w:r>
      <w:proofErr w:type="spellEnd"/>
      <w:r w:rsidRPr="00D67EC9">
        <w:t xml:space="preserve"> breach days to predicted CVaR.</w:t>
      </w:r>
    </w:p>
    <w:p w14:paraId="484C7EE3" w14:textId="77777777" w:rsidR="00D67EC9" w:rsidRPr="00D67EC9" w:rsidRDefault="00D67EC9" w:rsidP="00D67EC9">
      <w:pPr>
        <w:numPr>
          <w:ilvl w:val="0"/>
          <w:numId w:val="2"/>
        </w:numPr>
      </w:pPr>
      <w:r w:rsidRPr="00D67EC9">
        <w:rPr>
          <w:b/>
          <w:bCs/>
        </w:rPr>
        <w:t>Gap Analysis / Next Steps:</w:t>
      </w:r>
    </w:p>
    <w:p w14:paraId="39AC9B2A" w14:textId="77777777" w:rsidR="00D67EC9" w:rsidRPr="00D67EC9" w:rsidRDefault="00D67EC9" w:rsidP="00D67EC9">
      <w:pPr>
        <w:numPr>
          <w:ilvl w:val="1"/>
          <w:numId w:val="2"/>
        </w:numPr>
      </w:pPr>
      <w:r w:rsidRPr="00D67EC9">
        <w:rPr>
          <w:b/>
          <w:bCs/>
        </w:rPr>
        <w:lastRenderedPageBreak/>
        <w:t xml:space="preserve">Formal ES </w:t>
      </w:r>
      <w:proofErr w:type="spellStart"/>
      <w:r w:rsidRPr="00D67EC9">
        <w:rPr>
          <w:b/>
          <w:bCs/>
        </w:rPr>
        <w:t>Backtesting</w:t>
      </w:r>
      <w:proofErr w:type="spellEnd"/>
      <w:r w:rsidRPr="00D67EC9">
        <w:rPr>
          <w:b/>
          <w:bCs/>
        </w:rPr>
        <w:t>:</w:t>
      </w:r>
      <w:r w:rsidRPr="00D67EC9">
        <w:t xml:space="preserve"> Implement more advanced statistical tests specifically designed for ES, which consider both the frequency and magnitude of tail losses (e.g., conditional coverage tests, magnitude-based tests).</w:t>
      </w:r>
    </w:p>
    <w:p w14:paraId="2DC965C9" w14:textId="77777777" w:rsidR="00D67EC9" w:rsidRPr="00D67EC9" w:rsidRDefault="00D67EC9" w:rsidP="00D67EC9">
      <w:pPr>
        <w:numPr>
          <w:ilvl w:val="1"/>
          <w:numId w:val="2"/>
        </w:numPr>
      </w:pPr>
      <w:r w:rsidRPr="00D67EC9">
        <w:rPr>
          <w:b/>
          <w:bCs/>
        </w:rPr>
        <w:t>Rolling Window:</w:t>
      </w:r>
      <w:r w:rsidRPr="00D67EC9">
        <w:t xml:space="preserve"> Implement a rolling window approach for </w:t>
      </w:r>
      <w:proofErr w:type="spellStart"/>
      <w:r w:rsidRPr="00D67EC9">
        <w:t>VaR</w:t>
      </w:r>
      <w:proofErr w:type="spellEnd"/>
      <w:r w:rsidRPr="00D67EC9">
        <w:t xml:space="preserve">/ES calculation and </w:t>
      </w:r>
      <w:proofErr w:type="spellStart"/>
      <w:r w:rsidRPr="00D67EC9">
        <w:t>backtesting</w:t>
      </w:r>
      <w:proofErr w:type="spellEnd"/>
      <w:r w:rsidRPr="00D67EC9">
        <w:t>, as required by FRTB to reflect current market conditions and model performance over time.</w:t>
      </w:r>
    </w:p>
    <w:p w14:paraId="2252AD75" w14:textId="77777777" w:rsidR="00D67EC9" w:rsidRPr="00D67EC9" w:rsidRDefault="00D67EC9" w:rsidP="00D67EC9">
      <w:pPr>
        <w:numPr>
          <w:ilvl w:val="1"/>
          <w:numId w:val="2"/>
        </w:numPr>
      </w:pPr>
      <w:r w:rsidRPr="00D67EC9">
        <w:rPr>
          <w:b/>
          <w:bCs/>
        </w:rPr>
        <w:t>Traffic Light System:</w:t>
      </w:r>
      <w:r w:rsidRPr="00D67EC9">
        <w:t xml:space="preserve"> Integrate a "traffic light" system (green, yellow, red zones) for </w:t>
      </w:r>
      <w:proofErr w:type="spellStart"/>
      <w:r w:rsidRPr="00D67EC9">
        <w:t>backtesting</w:t>
      </w:r>
      <w:proofErr w:type="spellEnd"/>
      <w:r w:rsidRPr="00D67EC9">
        <w:t xml:space="preserve"> results, as used by regulators to assess model performance and potential capital add-ons.</w:t>
      </w:r>
    </w:p>
    <w:p w14:paraId="58D52863" w14:textId="77777777" w:rsidR="00D67EC9" w:rsidRPr="00D67EC9" w:rsidRDefault="00D67EC9" w:rsidP="00D67EC9">
      <w:pPr>
        <w:pStyle w:val="Heading2"/>
      </w:pPr>
      <w:bookmarkStart w:id="4" w:name="_Toc199819285"/>
      <w:r w:rsidRPr="00D67EC9">
        <w:t>2.3 Stress Testing and Scenario Analysis</w:t>
      </w:r>
      <w:bookmarkEnd w:id="4"/>
    </w:p>
    <w:p w14:paraId="047B315D" w14:textId="77777777" w:rsidR="00D67EC9" w:rsidRPr="00D67EC9" w:rsidRDefault="00D67EC9" w:rsidP="00D67EC9">
      <w:pPr>
        <w:numPr>
          <w:ilvl w:val="0"/>
          <w:numId w:val="3"/>
        </w:numPr>
      </w:pPr>
      <w:r w:rsidRPr="00D67EC9">
        <w:rPr>
          <w:b/>
          <w:bCs/>
        </w:rPr>
        <w:t>FRTB Requirement:</w:t>
      </w:r>
      <w:r w:rsidRPr="00D67EC9">
        <w:t xml:space="preserve"> FRTB mandates comprehensive stress testing to capture risks not adequately covered by ES, particularly for non-modellable risk factors and severe market events.</w:t>
      </w:r>
    </w:p>
    <w:p w14:paraId="052176A2" w14:textId="77777777" w:rsidR="00D67EC9" w:rsidRPr="00D67EC9" w:rsidRDefault="00D67EC9" w:rsidP="00D67EC9">
      <w:pPr>
        <w:numPr>
          <w:ilvl w:val="0"/>
          <w:numId w:val="3"/>
        </w:numPr>
      </w:pPr>
      <w:r w:rsidRPr="00D67EC9">
        <w:rPr>
          <w:b/>
          <w:bCs/>
        </w:rPr>
        <w:t>Project Alignment:</w:t>
      </w:r>
      <w:r w:rsidRPr="00D67EC9">
        <w:t xml:space="preserve"> Our project includes a framework for defining and applying various stress scenarios (e.g., general market downturns, sector-specific shocks, historical crisis replications like 2008 GFC and COVID-19). It quantifies the potential loss under each scenario.</w:t>
      </w:r>
    </w:p>
    <w:p w14:paraId="6FD0E104" w14:textId="77777777" w:rsidR="00D67EC9" w:rsidRPr="00D67EC9" w:rsidRDefault="00D67EC9" w:rsidP="00D67EC9">
      <w:pPr>
        <w:numPr>
          <w:ilvl w:val="0"/>
          <w:numId w:val="3"/>
        </w:numPr>
      </w:pPr>
      <w:r w:rsidRPr="00D67EC9">
        <w:rPr>
          <w:b/>
          <w:bCs/>
        </w:rPr>
        <w:t>Gap Analysis / Next Steps:</w:t>
      </w:r>
    </w:p>
    <w:p w14:paraId="3B555130" w14:textId="77777777" w:rsidR="00D67EC9" w:rsidRPr="00D67EC9" w:rsidRDefault="00D67EC9" w:rsidP="00D67EC9">
      <w:pPr>
        <w:numPr>
          <w:ilvl w:val="1"/>
          <w:numId w:val="3"/>
        </w:numPr>
      </w:pPr>
      <w:r w:rsidRPr="00D67EC9">
        <w:rPr>
          <w:b/>
          <w:bCs/>
        </w:rPr>
        <w:t>Granularity:</w:t>
      </w:r>
      <w:r w:rsidRPr="00D67EC9">
        <w:t xml:space="preserve"> Expand scenarios to cover a wider range of market risk factors (interest rates, FX, credit spreads, volatility surfaces) and their interdependencies.</w:t>
      </w:r>
    </w:p>
    <w:p w14:paraId="5318664B" w14:textId="77777777" w:rsidR="00D67EC9" w:rsidRPr="00D67EC9" w:rsidRDefault="00D67EC9" w:rsidP="00D67EC9">
      <w:pPr>
        <w:numPr>
          <w:ilvl w:val="1"/>
          <w:numId w:val="3"/>
        </w:numPr>
      </w:pPr>
      <w:r w:rsidRPr="00D67EC9">
        <w:rPr>
          <w:b/>
          <w:bCs/>
        </w:rPr>
        <w:t>Factor-Based Stressing:</w:t>
      </w:r>
      <w:r w:rsidRPr="00D67EC9">
        <w:t xml:space="preserve"> Move towards factor-based stress testing, where shocks are applied to underlying risk factors rather than directly to asset prices.</w:t>
      </w:r>
    </w:p>
    <w:p w14:paraId="6A192C80" w14:textId="77777777" w:rsidR="00D67EC9" w:rsidRPr="00D67EC9" w:rsidRDefault="00D67EC9" w:rsidP="00D67EC9">
      <w:pPr>
        <w:numPr>
          <w:ilvl w:val="1"/>
          <w:numId w:val="3"/>
        </w:numPr>
      </w:pPr>
      <w:r w:rsidRPr="00D67EC9">
        <w:rPr>
          <w:b/>
          <w:bCs/>
        </w:rPr>
        <w:t>Reverse Stress Testing:</w:t>
      </w:r>
      <w:r w:rsidRPr="00D67EC9">
        <w:t xml:space="preserve"> Develop capabilities for reverse stress testing to identify scenarios that could lead to a specific, unacceptable level of loss for the firm.</w:t>
      </w:r>
    </w:p>
    <w:p w14:paraId="62CD21DC" w14:textId="77777777" w:rsidR="00D67EC9" w:rsidRPr="00D67EC9" w:rsidRDefault="00D67EC9" w:rsidP="00D67EC9">
      <w:pPr>
        <w:pStyle w:val="Heading2"/>
      </w:pPr>
      <w:bookmarkStart w:id="5" w:name="_Toc199819286"/>
      <w:r w:rsidRPr="00D67EC9">
        <w:t>2.4 Non-Modellable Risk Factors (NMRF)</w:t>
      </w:r>
      <w:bookmarkEnd w:id="5"/>
    </w:p>
    <w:p w14:paraId="7298DC52" w14:textId="77777777" w:rsidR="00D67EC9" w:rsidRPr="00D67EC9" w:rsidRDefault="00D67EC9" w:rsidP="00D67EC9">
      <w:pPr>
        <w:numPr>
          <w:ilvl w:val="0"/>
          <w:numId w:val="4"/>
        </w:numPr>
      </w:pPr>
      <w:r w:rsidRPr="00D67EC9">
        <w:rPr>
          <w:b/>
          <w:bCs/>
        </w:rPr>
        <w:t>FRTB Requirement:</w:t>
      </w:r>
      <w:r w:rsidRPr="00D67EC9">
        <w:t xml:space="preserve"> FRTB introduces a capital charge for NMRFs – risk factors for which there are insufficient observable market prices to reliably model their </w:t>
      </w:r>
      <w:proofErr w:type="spellStart"/>
      <w:r w:rsidRPr="00D67EC9">
        <w:t>behavior</w:t>
      </w:r>
      <w:proofErr w:type="spellEnd"/>
      <w:r w:rsidRPr="00D67EC9">
        <w:t>.</w:t>
      </w:r>
    </w:p>
    <w:p w14:paraId="6D49291A" w14:textId="77777777" w:rsidR="00D67EC9" w:rsidRPr="00D67EC9" w:rsidRDefault="00D67EC9" w:rsidP="00D67EC9">
      <w:pPr>
        <w:numPr>
          <w:ilvl w:val="0"/>
          <w:numId w:val="4"/>
        </w:numPr>
      </w:pPr>
      <w:r w:rsidRPr="00D67EC9">
        <w:rPr>
          <w:b/>
          <w:bCs/>
        </w:rPr>
        <w:t>Project Alignment:</w:t>
      </w:r>
      <w:r w:rsidRPr="00D67EC9">
        <w:t xml:space="preserve"> Our current project does not explicitly identify or calculate capital for NMRFs.</w:t>
      </w:r>
    </w:p>
    <w:p w14:paraId="2ABAB944" w14:textId="77777777" w:rsidR="00D67EC9" w:rsidRPr="00D67EC9" w:rsidRDefault="00D67EC9" w:rsidP="00D67EC9">
      <w:pPr>
        <w:numPr>
          <w:ilvl w:val="0"/>
          <w:numId w:val="4"/>
        </w:numPr>
      </w:pPr>
      <w:r w:rsidRPr="00D67EC9">
        <w:rPr>
          <w:b/>
          <w:bCs/>
        </w:rPr>
        <w:t>Gap Analysis / Next Steps:</w:t>
      </w:r>
      <w:r w:rsidRPr="00D67EC9">
        <w:t xml:space="preserve"> Develop a methodology to identify NMRFs within the portfolio and implement a capital charge calculation for them, as per FRTB guidelines. This would involve assessing data availability and liquidity for each risk factor.</w:t>
      </w:r>
    </w:p>
    <w:p w14:paraId="5862320E" w14:textId="77777777" w:rsidR="00D67EC9" w:rsidRPr="00D67EC9" w:rsidRDefault="00D67EC9" w:rsidP="00D67EC9">
      <w:pPr>
        <w:pStyle w:val="Heading2"/>
      </w:pPr>
      <w:bookmarkStart w:id="6" w:name="_Toc199819287"/>
      <w:r w:rsidRPr="00D67EC9">
        <w:t>2.5 Default Risk Charge (DRC)</w:t>
      </w:r>
      <w:bookmarkEnd w:id="6"/>
    </w:p>
    <w:p w14:paraId="4A272072" w14:textId="77777777" w:rsidR="00D67EC9" w:rsidRPr="00D67EC9" w:rsidRDefault="00D67EC9" w:rsidP="00D67EC9">
      <w:pPr>
        <w:numPr>
          <w:ilvl w:val="0"/>
          <w:numId w:val="5"/>
        </w:numPr>
      </w:pPr>
      <w:r w:rsidRPr="00D67EC9">
        <w:rPr>
          <w:b/>
          <w:bCs/>
        </w:rPr>
        <w:t>FRTB Requirement:</w:t>
      </w:r>
      <w:r w:rsidRPr="00D67EC9">
        <w:t xml:space="preserve"> FRTB introduces a separate capital charge for default risk in the trading book, covering both idiosyncratic and jump-to-default risks.</w:t>
      </w:r>
    </w:p>
    <w:p w14:paraId="5A149BB1" w14:textId="77777777" w:rsidR="00D67EC9" w:rsidRPr="00D67EC9" w:rsidRDefault="00D67EC9" w:rsidP="00D67EC9">
      <w:pPr>
        <w:numPr>
          <w:ilvl w:val="0"/>
          <w:numId w:val="5"/>
        </w:numPr>
      </w:pPr>
      <w:r w:rsidRPr="00D67EC9">
        <w:rPr>
          <w:b/>
          <w:bCs/>
        </w:rPr>
        <w:t>Project Alignment:</w:t>
      </w:r>
      <w:r w:rsidRPr="00D67EC9">
        <w:t xml:space="preserve"> Our current project focuses on market price risk.</w:t>
      </w:r>
    </w:p>
    <w:p w14:paraId="63A5ACD1" w14:textId="77777777" w:rsidR="00D67EC9" w:rsidRPr="00D67EC9" w:rsidRDefault="00D67EC9" w:rsidP="00D67EC9">
      <w:pPr>
        <w:numPr>
          <w:ilvl w:val="0"/>
          <w:numId w:val="5"/>
        </w:numPr>
      </w:pPr>
      <w:r w:rsidRPr="00D67EC9">
        <w:rPr>
          <w:b/>
          <w:bCs/>
        </w:rPr>
        <w:t>Gap Analysis / Next Steps:</w:t>
      </w:r>
      <w:r w:rsidRPr="00D67EC9">
        <w:t xml:space="preserve"> Integrate a component for calculating the Default Risk Charge, which would involve credit risk </w:t>
      </w:r>
      <w:proofErr w:type="spellStart"/>
      <w:r w:rsidRPr="00D67EC9">
        <w:t>modeling</w:t>
      </w:r>
      <w:proofErr w:type="spellEnd"/>
      <w:r w:rsidRPr="00D67EC9">
        <w:t xml:space="preserve"> (e.g., probability of default, loss given default, exposure at default for trading book instruments).</w:t>
      </w:r>
    </w:p>
    <w:p w14:paraId="65E3ADC2" w14:textId="77777777" w:rsidR="00D67EC9" w:rsidRPr="00D67EC9" w:rsidRDefault="00D67EC9" w:rsidP="00D67EC9">
      <w:pPr>
        <w:pStyle w:val="Heading2"/>
      </w:pPr>
      <w:bookmarkStart w:id="7" w:name="_Toc199819288"/>
      <w:r w:rsidRPr="00D67EC9">
        <w:lastRenderedPageBreak/>
        <w:t>2.6 P&amp;L Attribution (PLA)</w:t>
      </w:r>
      <w:bookmarkEnd w:id="7"/>
    </w:p>
    <w:p w14:paraId="6A8DD187" w14:textId="77777777" w:rsidR="00D67EC9" w:rsidRPr="00D67EC9" w:rsidRDefault="00D67EC9" w:rsidP="00D67EC9">
      <w:pPr>
        <w:numPr>
          <w:ilvl w:val="0"/>
          <w:numId w:val="6"/>
        </w:numPr>
      </w:pPr>
      <w:r w:rsidRPr="00D67EC9">
        <w:rPr>
          <w:b/>
          <w:bCs/>
        </w:rPr>
        <w:t>FRTB Requirement:</w:t>
      </w:r>
      <w:r w:rsidRPr="00D67EC9">
        <w:t xml:space="preserve"> FRTB requires a P&amp;L Attribution test to ensure that the risk factors used in the internal risk model adequately explain the daily P&amp;L of the trading desk.</w:t>
      </w:r>
    </w:p>
    <w:p w14:paraId="5DAC1104" w14:textId="77777777" w:rsidR="00D67EC9" w:rsidRPr="00D67EC9" w:rsidRDefault="00D67EC9" w:rsidP="00D67EC9">
      <w:pPr>
        <w:numPr>
          <w:ilvl w:val="0"/>
          <w:numId w:val="6"/>
        </w:numPr>
      </w:pPr>
      <w:r w:rsidRPr="00D67EC9">
        <w:rPr>
          <w:b/>
          <w:bCs/>
        </w:rPr>
        <w:t>Project Alignment:</w:t>
      </w:r>
      <w:r w:rsidRPr="00D67EC9">
        <w:t xml:space="preserve"> Our current project does not include PLA.</w:t>
      </w:r>
    </w:p>
    <w:p w14:paraId="2D15B2A7" w14:textId="77777777" w:rsidR="00D67EC9" w:rsidRPr="00D67EC9" w:rsidRDefault="00D67EC9" w:rsidP="00D67EC9">
      <w:pPr>
        <w:numPr>
          <w:ilvl w:val="0"/>
          <w:numId w:val="6"/>
        </w:numPr>
      </w:pPr>
      <w:r w:rsidRPr="00D67EC9">
        <w:rPr>
          <w:b/>
          <w:bCs/>
        </w:rPr>
        <w:t>Gap Analysis / Next Steps:</w:t>
      </w:r>
      <w:r w:rsidRPr="00D67EC9">
        <w:t xml:space="preserve"> Implement a PLA framework to compare theoretical P&amp;L (from risk factor changes) with actual P&amp;L, identifying any unexplained P&amp;L.</w:t>
      </w:r>
    </w:p>
    <w:p w14:paraId="34736F3C" w14:textId="77777777" w:rsidR="00D67EC9" w:rsidRPr="00D67EC9" w:rsidRDefault="00D67EC9" w:rsidP="00D67EC9">
      <w:pPr>
        <w:pStyle w:val="Heading1"/>
      </w:pPr>
      <w:bookmarkStart w:id="8" w:name="_Toc199819289"/>
      <w:r w:rsidRPr="00D67EC9">
        <w:t>3. Conclusion</w:t>
      </w:r>
      <w:bookmarkEnd w:id="8"/>
    </w:p>
    <w:p w14:paraId="4B7F1DF9" w14:textId="77777777" w:rsidR="00D67EC9" w:rsidRPr="00D67EC9" w:rsidRDefault="00D67EC9" w:rsidP="00D67EC9">
      <w:r w:rsidRPr="00D67EC9">
        <w:t xml:space="preserve">The Market Risk Analytics project serves as a robust quantitative foundation, demonstrating key skills in market risk measurement and validation. Its current capabilities directly support several core aspects of FRTB, particularly the ES calculation, </w:t>
      </w:r>
      <w:proofErr w:type="spellStart"/>
      <w:r w:rsidRPr="00D67EC9">
        <w:t>backtesting</w:t>
      </w:r>
      <w:proofErr w:type="spellEnd"/>
      <w:r w:rsidRPr="00D67EC9">
        <w:t>, and stress testing components for IMA. Future enhancements, as outlined above, will be critical to achieving full FRTB compliance and strengthening the bank's market risk management capabilities.</w:t>
      </w:r>
    </w:p>
    <w:p w14:paraId="66ADB6BE" w14:textId="77777777" w:rsidR="00D67EC9" w:rsidRPr="00D67EC9" w:rsidRDefault="00D67EC9" w:rsidP="00D67EC9">
      <w:r w:rsidRPr="00D67EC9">
        <w:t>This project provides a valuable practical demonstration of the knowledge and skills required for a Quant Analyst role focused on market risk and FRTB.</w:t>
      </w:r>
    </w:p>
    <w:p w14:paraId="255E80B9" w14:textId="77777777" w:rsidR="00A40E06" w:rsidRDefault="00A40E06"/>
    <w:sectPr w:rsidR="00A4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3184"/>
    <w:multiLevelType w:val="multilevel"/>
    <w:tmpl w:val="BB36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93769"/>
    <w:multiLevelType w:val="multilevel"/>
    <w:tmpl w:val="F5EE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A6B55"/>
    <w:multiLevelType w:val="multilevel"/>
    <w:tmpl w:val="F190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F4451"/>
    <w:multiLevelType w:val="multilevel"/>
    <w:tmpl w:val="2E76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96D01"/>
    <w:multiLevelType w:val="multilevel"/>
    <w:tmpl w:val="009E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0346C"/>
    <w:multiLevelType w:val="multilevel"/>
    <w:tmpl w:val="B532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93897">
    <w:abstractNumId w:val="3"/>
  </w:num>
  <w:num w:numId="2" w16cid:durableId="1044479957">
    <w:abstractNumId w:val="1"/>
  </w:num>
  <w:num w:numId="3" w16cid:durableId="343360027">
    <w:abstractNumId w:val="5"/>
  </w:num>
  <w:num w:numId="4" w16cid:durableId="1638877839">
    <w:abstractNumId w:val="2"/>
  </w:num>
  <w:num w:numId="5" w16cid:durableId="1896698841">
    <w:abstractNumId w:val="0"/>
  </w:num>
  <w:num w:numId="6" w16cid:durableId="1131941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C9"/>
    <w:rsid w:val="00273D62"/>
    <w:rsid w:val="002A54F2"/>
    <w:rsid w:val="00875342"/>
    <w:rsid w:val="009B1410"/>
    <w:rsid w:val="00A40E06"/>
    <w:rsid w:val="00D67EC9"/>
    <w:rsid w:val="00EE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D727"/>
  <w15:chartTrackingRefBased/>
  <w15:docId w15:val="{FA1A6C3D-FF16-4D5A-9E78-7887F8FE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7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EC9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67EC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67E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7E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7E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B5A32-54E2-4E1F-8883-E3AF0381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Patil</dc:creator>
  <cp:keywords/>
  <dc:description/>
  <cp:lastModifiedBy>Dhruv Patil</cp:lastModifiedBy>
  <cp:revision>1</cp:revision>
  <dcterms:created xsi:type="dcterms:W3CDTF">2025-06-02T23:26:00Z</dcterms:created>
  <dcterms:modified xsi:type="dcterms:W3CDTF">2025-06-02T23:31:00Z</dcterms:modified>
</cp:coreProperties>
</file>