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bCs/>
          <w:sz w:val="28"/>
          <w:szCs w:val="28"/>
          <w:u w:val="single"/>
        </w:rPr>
      </w:pPr>
      <w:bookmarkStart w:id="0" w:name="_GoBack"/>
      <w:bookmarkEnd w:id="0"/>
      <w:r>
        <w:rPr>
          <w:b/>
          <w:bCs/>
          <w:sz w:val="28"/>
          <w:szCs w:val="28"/>
          <w:u w:val="single"/>
        </w:rPr>
        <w:t>Topics: Descriptive Statistics and Probability</w:t>
      </w:r>
    </w:p>
    <w:p>
      <w:pPr>
        <w:pStyle w:val="Normal"/>
        <w:spacing w:before="0" w:after="0"/>
        <w:rPr>
          <w:b/>
          <w:b/>
          <w:bCs/>
        </w:rPr>
      </w:pPr>
      <w:r>
        <w:rPr>
          <w:b/>
          <w:bCs/>
        </w:rPr>
      </w:r>
    </w:p>
    <w:p>
      <w:pPr>
        <w:pStyle w:val="Normal"/>
        <w:spacing w:before="0" w:after="0"/>
        <w:rPr/>
      </w:pPr>
      <w:r>
        <w:rPr/>
      </w:r>
    </w:p>
    <w:p>
      <w:pPr>
        <w:pStyle w:val="ListParagraph"/>
        <w:numPr>
          <w:ilvl w:val="0"/>
          <w:numId w:val="4"/>
        </w:numPr>
        <w:spacing w:before="0" w:after="0"/>
        <w:contextualSpacing/>
        <w:rPr/>
      </w:pPr>
      <w:r>
        <w:rPr/>
        <w:t xml:space="preserve">Look at the data given below. Plot the data, find the outliers and find out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σ</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p>
    <w:p>
      <w:pPr>
        <w:pStyle w:val="ListParagraph"/>
        <w:spacing w:before="0" w:after="0"/>
        <w:contextualSpacing/>
        <w:rPr/>
      </w:pPr>
      <w:r>
        <w:rPr/>
      </w:r>
    </w:p>
    <w:tbl>
      <w:tblPr>
        <w:tblW w:w="382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76"/>
        <w:gridCol w:w="1349"/>
      </w:tblGrid>
      <w:tr>
        <w:trPr>
          <w:trHeight w:val="300" w:hRule="atLeast"/>
        </w:trPr>
        <w:tc>
          <w:tcPr>
            <w:tcW w:w="24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b/>
                <w:b/>
                <w:color w:val="000000"/>
              </w:rPr>
            </w:pPr>
            <w:r>
              <w:rPr>
                <w:rFonts w:eastAsia="Times New Roman" w:cs="Times New Roman"/>
                <w:b/>
                <w:color w:val="000000"/>
              </w:rPr>
              <w:t>Name of company</w:t>
            </w:r>
          </w:p>
        </w:tc>
        <w:tc>
          <w:tcPr>
            <w:tcW w:w="1349"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b/>
                <w:b/>
                <w:color w:val="000000"/>
              </w:rPr>
            </w:pPr>
            <w:r>
              <w:rPr>
                <w:rFonts w:eastAsia="Times New Roman" w:cs="Times New Roman"/>
                <w:b/>
                <w:color w:val="000000"/>
              </w:rPr>
              <w:t>Measure X</w:t>
            </w:r>
          </w:p>
        </w:tc>
      </w:tr>
      <w:tr>
        <w:trPr>
          <w:trHeight w:val="300" w:hRule="atLeast"/>
        </w:trPr>
        <w:tc>
          <w:tcPr>
            <w:tcW w:w="24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Allied Signal</w:t>
            </w:r>
          </w:p>
        </w:tc>
        <w:tc>
          <w:tcPr>
            <w:tcW w:w="1349"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24.23%</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Bankers Trust</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25.53%</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General Mills</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25.41%</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ITT Industries</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24.14%</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J.P.Morgan &amp; Co.</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29.62%</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Lehman Brothers</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28.25%</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Marriott</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25.81%</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MCI</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24.39%</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Merrill Lynch</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40.26%</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Microsoft</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32.95%</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Morgan Stanley</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91.36%</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Sun Microsystems</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25.99%</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Travelers</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39.42%</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US Airways</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26.71%</w:t>
            </w:r>
          </w:p>
        </w:tc>
      </w:tr>
      <w:tr>
        <w:trPr>
          <w:trHeight w:val="300" w:hRule="atLeast"/>
        </w:trPr>
        <w:tc>
          <w:tcPr>
            <w:tcW w:w="247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Times New Roman"/>
                <w:color w:val="000000"/>
              </w:rPr>
            </w:pPr>
            <w:r>
              <w:rPr>
                <w:rFonts w:eastAsia="Times New Roman" w:cs="Times New Roman"/>
                <w:color w:val="000000"/>
              </w:rPr>
              <w:t>Warner-Lambert</w:t>
            </w:r>
          </w:p>
        </w:tc>
        <w:tc>
          <w:tcPr>
            <w:tcW w:w="13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Times New Roman"/>
                <w:color w:val="000000"/>
              </w:rPr>
            </w:pPr>
            <w:r>
              <w:rPr>
                <w:rFonts w:eastAsia="Times New Roman" w:cs="Times New Roman"/>
                <w:color w:val="000000"/>
              </w:rPr>
              <w:t>35.00%</w:t>
            </w:r>
          </w:p>
        </w:tc>
      </w:tr>
    </w:tbl>
    <w:p>
      <w:pPr>
        <w:pStyle w:val="Normal"/>
        <w:spacing w:before="0" w:after="0"/>
        <w:rPr/>
      </w:pPr>
      <w:r>
        <w:rPr/>
      </w:r>
    </w:p>
    <w:p>
      <w:pPr>
        <w:pStyle w:val="Normal"/>
        <w:spacing w:before="0" w:after="0"/>
        <w:rPr/>
      </w:pPr>
      <w:r>
        <w:rPr/>
        <w:t xml:space="preserve">Ans) </w:t>
        <w:tab/>
        <w:t xml:space="preserve">The value for </w:t>
      </w:r>
      <w:r>
        <w:rPr>
          <w:rFonts w:eastAsia="Times New Roman" w:cs="Times New Roman"/>
          <w:color w:val="000000"/>
        </w:rPr>
        <w:t>Morgan Stanley (91.36%) is an outlier.</w:t>
      </w:r>
    </w:p>
    <w:p>
      <w:pPr>
        <w:pStyle w:val="Normal"/>
        <w:spacing w:before="0" w:after="0"/>
        <w:rPr/>
      </w:pPr>
      <w:r>
        <w:rPr>
          <w:rFonts w:eastAsia="Times New Roman" w:cs="Times New Roman"/>
          <w:color w:val="000000"/>
        </w:rPr>
        <w:tab/>
        <w:t xml:space="preserve">Mean </w:t>
        <w:tab/>
        <w:tab/>
        <w:tab/>
        <w:t>=</w:t>
        <w:tab/>
        <w:t>33.271333</w:t>
      </w:r>
    </w:p>
    <w:p>
      <w:pPr>
        <w:pStyle w:val="Normal"/>
        <w:spacing w:before="0" w:after="0"/>
        <w:rPr/>
      </w:pPr>
      <w:r>
        <w:rPr>
          <w:rFonts w:eastAsia="Times New Roman" w:cs="Times New Roman"/>
          <w:color w:val="000000"/>
        </w:rPr>
        <w:tab/>
        <w:t xml:space="preserve">Standard Deviation </w:t>
        <w:tab/>
        <w:t xml:space="preserve">= </w:t>
        <w:tab/>
        <w:t>16.945</w:t>
      </w:r>
    </w:p>
    <w:p>
      <w:pPr>
        <w:pStyle w:val="Normal"/>
        <w:spacing w:before="0" w:after="0"/>
        <w:rPr/>
      </w:pPr>
      <w:r>
        <w:rPr>
          <w:rFonts w:eastAsia="Times New Roman" w:cs="Times New Roman"/>
          <w:color w:val="000000"/>
        </w:rPr>
        <w:tab/>
        <w:t xml:space="preserve">Variance </w:t>
        <w:tab/>
        <w:tab/>
        <w:t xml:space="preserve">= </w:t>
        <w:tab/>
        <w:t>287.146</w:t>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numPr>
          <w:ilvl w:val="0"/>
          <w:numId w:val="4"/>
        </w:numPr>
        <w:spacing w:before="0" w:after="0"/>
        <w:contextualSpacing/>
        <w:rPr/>
      </w:pPr>
      <w:r>
        <w:rPr/>
      </w:r>
    </w:p>
    <w:p>
      <w:pPr>
        <w:pStyle w:val="ListParagraph"/>
        <w:spacing w:before="0" w:after="0"/>
        <w:ind w:left="0" w:hanging="0"/>
        <w:contextualSpacing/>
        <w:rPr/>
      </w:pPr>
      <w:r>
        <w:rPr/>
        <w:drawing>
          <wp:inline distT="0" distB="0" distL="0" distR="0">
            <wp:extent cx="5943600" cy="2600325"/>
            <wp:effectExtent l="0" t="0" r="0" b="0"/>
            <wp:docPr id="1"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30644.ISBDOMAIN1\Dropbox\Ours\BA course\Our Era as TA's\Statistical Analysis 1-Estimation and Testing\Practice Problems\Boxplot Q1.jpeg"/>
                    <pic:cNvPicPr>
                      <a:picLocks noChangeAspect="1" noChangeArrowheads="1"/>
                    </pic:cNvPicPr>
                  </pic:nvPicPr>
                  <pic:blipFill>
                    <a:blip r:embed="rId2"/>
                    <a:stretch>
                      <a:fillRect/>
                    </a:stretch>
                  </pic:blipFill>
                  <pic:spPr bwMode="auto">
                    <a:xfrm>
                      <a:off x="0" y="0"/>
                      <a:ext cx="5943600" cy="2600325"/>
                    </a:xfrm>
                    <a:prstGeom prst="rect">
                      <a:avLst/>
                    </a:prstGeom>
                  </pic:spPr>
                </pic:pic>
              </a:graphicData>
            </a:graphic>
          </wp:inline>
        </w:drawing>
      </w:r>
    </w:p>
    <w:p>
      <w:pPr>
        <w:pStyle w:val="ListParagraph"/>
        <w:spacing w:before="0" w:after="0"/>
        <w:contextualSpacing/>
        <w:rPr/>
      </w:pPr>
      <w:r>
        <w:rPr/>
        <w:t>Answer the following three questions based on the box-plot above.</w:t>
      </w:r>
    </w:p>
    <w:p>
      <w:pPr>
        <w:pStyle w:val="ListParagraph"/>
        <w:numPr>
          <w:ilvl w:val="0"/>
          <w:numId w:val="2"/>
        </w:numPr>
        <w:spacing w:before="0" w:after="0"/>
        <w:contextualSpacing/>
        <w:rPr/>
      </w:pPr>
      <w:r>
        <w:rPr/>
        <w:t>What is inter-quartile range of this dataset? (please approximate the numbers) In one line, explain what this value implies.</w:t>
      </w:r>
    </w:p>
    <w:p>
      <w:pPr>
        <w:pStyle w:val="ListParagraph"/>
        <w:numPr>
          <w:ilvl w:val="0"/>
          <w:numId w:val="0"/>
        </w:numPr>
        <w:spacing w:before="0" w:after="0"/>
        <w:ind w:left="1440" w:hanging="0"/>
        <w:contextualSpacing/>
        <w:rPr/>
      </w:pPr>
      <w:r>
        <w:rPr/>
        <w:t>Ans) IQR is 12 - 5 = 7. This is the range of the middle half of the dataset.</w:t>
      </w:r>
    </w:p>
    <w:p>
      <w:pPr>
        <w:pStyle w:val="ListParagraph"/>
        <w:numPr>
          <w:ilvl w:val="0"/>
          <w:numId w:val="2"/>
        </w:numPr>
        <w:spacing w:before="0" w:after="0"/>
        <w:contextualSpacing/>
        <w:rPr/>
      </w:pPr>
      <w:r>
        <w:rPr/>
        <w:t>What can we say about the skewness of this dataset?</w:t>
      </w:r>
    </w:p>
    <w:p>
      <w:pPr>
        <w:pStyle w:val="ListParagraph"/>
        <w:numPr>
          <w:ilvl w:val="0"/>
          <w:numId w:val="0"/>
        </w:numPr>
        <w:spacing w:before="0" w:after="0"/>
        <w:ind w:left="1440" w:hanging="0"/>
        <w:contextualSpacing/>
        <w:rPr/>
      </w:pPr>
      <w:r>
        <w:rPr/>
        <w:t>Ans) Data is slightly right skewed.</w:t>
      </w:r>
    </w:p>
    <w:p>
      <w:pPr>
        <w:pStyle w:val="ListParagraph"/>
        <w:numPr>
          <w:ilvl w:val="0"/>
          <w:numId w:val="2"/>
        </w:numPr>
        <w:spacing w:before="0" w:after="0"/>
        <w:contextualSpacing/>
        <w:rPr/>
      </w:pPr>
      <w:r>
        <w:rPr/>
        <w:t>If it was found that the data point with the value 25 is actually 2.5, how would the new box-plot be affected?</w:t>
      </w:r>
    </w:p>
    <w:p>
      <w:pPr>
        <w:pStyle w:val="ListParagraph"/>
        <w:numPr>
          <w:ilvl w:val="0"/>
          <w:numId w:val="0"/>
        </w:numPr>
        <w:spacing w:before="0" w:after="0"/>
        <w:ind w:left="1440" w:hanging="0"/>
        <w:contextualSpacing/>
        <w:rPr/>
      </w:pPr>
      <w:r>
        <w:rPr/>
        <w:t>Ans) The mean would be smaller, and the data would be slightly more right skewed.</w:t>
      </w:r>
    </w:p>
    <w:p>
      <w:pPr>
        <w:pStyle w:val="Normal"/>
        <w:spacing w:before="0" w:after="0"/>
        <w:rPr/>
      </w:pPr>
      <w:r>
        <w:rPr/>
      </w:r>
    </w:p>
    <w:p>
      <w:pPr>
        <w:pStyle w:val="ListParagraph"/>
        <w:numPr>
          <w:ilvl w:val="0"/>
          <w:numId w:val="4"/>
        </w:numPr>
        <w:tabs>
          <w:tab w:val="left" w:pos="720" w:leader="none"/>
        </w:tabs>
        <w:spacing w:before="0" w:after="0"/>
        <w:contextualSpacing/>
        <w:rPr/>
      </w:pPr>
      <w:r>
        <w:rPr/>
      </w:r>
    </w:p>
    <w:p>
      <w:pPr>
        <w:pStyle w:val="ListParagraph"/>
        <w:spacing w:before="0" w:after="0"/>
        <w:ind w:left="0" w:hanging="0"/>
        <w:contextualSpacing/>
        <w:rPr/>
      </w:pPr>
      <w:r>
        <w:rPr/>
        <w:drawing>
          <wp:inline distT="0" distB="0" distL="0" distR="0">
            <wp:extent cx="5940425" cy="4123690"/>
            <wp:effectExtent l="0" t="0" r="0" b="0"/>
            <wp:docPr id="2"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30644.ISBDOMAIN1\Dropbox\Ours\BA course\Our Era as TA's\Statistical Analysis 1-Estimation and Testing\Practice Problems\Histogram Q2.jpeg"/>
                    <pic:cNvPicPr>
                      <a:picLocks noChangeAspect="1" noChangeArrowheads="1"/>
                    </pic:cNvPicPr>
                  </pic:nvPicPr>
                  <pic:blipFill>
                    <a:blip r:embed="rId3"/>
                    <a:stretch>
                      <a:fillRect/>
                    </a:stretch>
                  </pic:blipFill>
                  <pic:spPr bwMode="auto">
                    <a:xfrm>
                      <a:off x="0" y="0"/>
                      <a:ext cx="5940425" cy="4123690"/>
                    </a:xfrm>
                    <a:prstGeom prst="rect">
                      <a:avLst/>
                    </a:prstGeom>
                  </pic:spPr>
                </pic:pic>
              </a:graphicData>
            </a:graphic>
          </wp:inline>
        </w:drawing>
      </w:r>
    </w:p>
    <w:p>
      <w:pPr>
        <w:pStyle w:val="ListParagraph"/>
        <w:spacing w:before="0" w:after="0"/>
        <w:contextualSpacing/>
        <w:rPr/>
      </w:pPr>
      <w:r>
        <w:rPr/>
      </w:r>
    </w:p>
    <w:p>
      <w:pPr>
        <w:pStyle w:val="ListParagraph"/>
        <w:spacing w:before="0" w:after="0"/>
        <w:contextualSpacing/>
        <w:rPr/>
      </w:pPr>
      <w:r>
        <w:rPr/>
        <w:t>Answer the following three questions based on the histogram above.</w:t>
      </w:r>
    </w:p>
    <w:p>
      <w:pPr>
        <w:pStyle w:val="ListParagraph"/>
        <w:numPr>
          <w:ilvl w:val="0"/>
          <w:numId w:val="3"/>
        </w:numPr>
        <w:spacing w:before="0" w:after="0"/>
        <w:ind w:left="1440" w:hanging="720"/>
        <w:contextualSpacing/>
        <w:rPr/>
      </w:pPr>
      <w:r>
        <w:rPr/>
        <w:t>Where would the mode of this dataset lie?</w:t>
      </w:r>
    </w:p>
    <w:p>
      <w:pPr>
        <w:pStyle w:val="ListParagraph"/>
        <w:numPr>
          <w:ilvl w:val="0"/>
          <w:numId w:val="0"/>
        </w:numPr>
        <w:spacing w:before="0" w:after="0"/>
        <w:ind w:left="1440" w:hanging="0"/>
        <w:contextualSpacing/>
        <w:rPr/>
      </w:pPr>
      <w:r>
        <w:rPr/>
        <w:t>Ans) 4, 5, 6, 7, or a combination of them</w:t>
      </w:r>
    </w:p>
    <w:p>
      <w:pPr>
        <w:pStyle w:val="ListParagraph"/>
        <w:numPr>
          <w:ilvl w:val="0"/>
          <w:numId w:val="3"/>
        </w:numPr>
        <w:spacing w:before="0" w:after="0"/>
        <w:ind w:left="1440" w:hanging="720"/>
        <w:contextualSpacing/>
        <w:rPr/>
      </w:pPr>
      <w:r>
        <w:rPr/>
        <w:t>Comment on the skewness of the dataset.</w:t>
        <w:tab/>
      </w:r>
    </w:p>
    <w:p>
      <w:pPr>
        <w:pStyle w:val="ListParagraph"/>
        <w:numPr>
          <w:ilvl w:val="0"/>
          <w:numId w:val="0"/>
        </w:numPr>
        <w:spacing w:before="0" w:after="0"/>
        <w:ind w:left="1440" w:hanging="0"/>
        <w:contextualSpacing/>
        <w:rPr/>
      </w:pPr>
      <w:r>
        <w:rPr/>
        <w:t>Ans) Right-skewed</w:t>
      </w:r>
    </w:p>
    <w:p>
      <w:pPr>
        <w:pStyle w:val="ListParagraph"/>
        <w:numPr>
          <w:ilvl w:val="0"/>
          <w:numId w:val="3"/>
        </w:numPr>
        <w:spacing w:before="0" w:after="0"/>
        <w:ind w:left="1440" w:hanging="720"/>
        <w:contextualSpacing/>
        <w:rPr/>
      </w:pPr>
      <w:r>
        <w:rPr/>
        <w:t xml:space="preserve">Suppose that the above histogram and the box-plot in question 2 are plotted for the same dataset. Explain how these graphs complement each other in providing information about any dataset. </w:t>
      </w:r>
    </w:p>
    <w:p>
      <w:pPr>
        <w:pStyle w:val="ListParagraph"/>
        <w:numPr>
          <w:ilvl w:val="0"/>
          <w:numId w:val="0"/>
        </w:numPr>
        <w:spacing w:before="0" w:after="0"/>
        <w:ind w:left="1440" w:hanging="0"/>
        <w:contextualSpacing/>
        <w:rPr/>
      </w:pPr>
      <w:r>
        <w:rPr/>
        <w:t>Ans) Both plots provide the same inferences. While the boxplot shows outliers specifically, with the histogram, we have to consider the distribution of the data, and infer the outliers by the gap between it and the remaining data and by it falling outside the estimated distribution assumed by visual inspection. Histogram is a better representation of density at each value of the random variable, providing a better visual representation of the distribution. Boxplot provides quartiles and from them, we can infer the shape of the distribution but not as precisely as with a histogram.</w:t>
      </w:r>
    </w:p>
    <w:p>
      <w:pPr>
        <w:pStyle w:val="Normal"/>
        <w:tabs>
          <w:tab w:val="clear" w:pos="720"/>
          <w:tab w:val="left" w:pos="540" w:leader="none"/>
        </w:tabs>
        <w:spacing w:before="0" w:after="0"/>
        <w:rPr/>
      </w:pPr>
      <w:r>
        <w:rPr/>
      </w:r>
    </w:p>
    <w:p>
      <w:pPr>
        <w:pStyle w:val="Normal"/>
        <w:spacing w:before="0" w:after="0"/>
        <w:rPr/>
      </w:pPr>
      <w:r>
        <w:rPr/>
      </w:r>
    </w:p>
    <w:p>
      <w:pPr>
        <w:pStyle w:val="ListParagraph"/>
        <w:numPr>
          <w:ilvl w:val="0"/>
          <w:numId w:val="4"/>
        </w:numPr>
        <w:spacing w:before="0" w:after="0"/>
        <w:contextualSpacing/>
        <w:rPr/>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ListParagraph"/>
        <w:spacing w:before="0" w:after="0"/>
        <w:contextualSpacing/>
        <w:rPr>
          <w:rFonts w:cs="BaskervilleBE-Regular"/>
        </w:rPr>
      </w:pPr>
      <w:r>
        <w:rPr>
          <w:rFonts w:cs="BaskervilleBE-Regular"/>
        </w:rPr>
        <w:t xml:space="preserve">Ans) </w:t>
      </w:r>
      <w:r>
        <w:rPr/>
        <w:t>2.4</w:t>
      </w:r>
      <w:r>
        <w:rPr/>
        <w:t>75</w:t>
      </w:r>
      <w:r>
        <w:rPr/>
        <w:t xml:space="preserve">% </w:t>
      </w:r>
      <w:r>
        <w:rPr/>
        <w:t>see notebook</w:t>
      </w:r>
    </w:p>
    <w:p>
      <w:pPr>
        <w:pStyle w:val="ListParagraph"/>
        <w:spacing w:before="0" w:after="0"/>
        <w:contextualSpacing/>
        <w:rPr>
          <w:rFonts w:cs="BaskervilleBE-Regular"/>
        </w:rPr>
      </w:pPr>
      <w:r>
        <w:rPr>
          <w:rFonts w:cs="BaskervilleBE-Regular"/>
        </w:rPr>
      </w:r>
    </w:p>
    <w:p>
      <w:pPr>
        <w:pStyle w:val="ListParagraph"/>
        <w:numPr>
          <w:ilvl w:val="0"/>
          <w:numId w:val="4"/>
        </w:numPr>
        <w:spacing w:before="0" w:after="0"/>
        <w:contextualSpacing/>
        <w:rPr/>
      </w:pPr>
      <w:r>
        <w:rPr/>
        <w:t>Returns on a certain business venture, to the nearest $1,000, are known to follow the following probability distribution</w:t>
      </w:r>
    </w:p>
    <w:tbl>
      <w:tblPr>
        <w:tblStyle w:val="TableGrid"/>
        <w:tblW w:w="41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077"/>
        <w:gridCol w:w="2072"/>
      </w:tblGrid>
      <w:tr>
        <w:trPr>
          <w:trHeight w:val="276" w:hRule="atLeast"/>
        </w:trPr>
        <w:tc>
          <w:tcPr>
            <w:tcW w:w="2077"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x</w:t>
            </w:r>
          </w:p>
        </w:tc>
        <w:tc>
          <w:tcPr>
            <w:tcW w:w="2072"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P(x)</w:t>
            </w:r>
          </w:p>
        </w:tc>
      </w:tr>
      <w:tr>
        <w:trPr>
          <w:trHeight w:val="276" w:hRule="atLeast"/>
        </w:trPr>
        <w:tc>
          <w:tcPr>
            <w:tcW w:w="2077"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-2,000</w:t>
            </w:r>
          </w:p>
        </w:tc>
        <w:tc>
          <w:tcPr>
            <w:tcW w:w="2072"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0.1</w:t>
            </w:r>
          </w:p>
        </w:tc>
      </w:tr>
      <w:tr>
        <w:trPr>
          <w:trHeight w:val="276" w:hRule="atLeast"/>
        </w:trPr>
        <w:tc>
          <w:tcPr>
            <w:tcW w:w="2077"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-1,000</w:t>
            </w:r>
          </w:p>
        </w:tc>
        <w:tc>
          <w:tcPr>
            <w:tcW w:w="2072"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0.1</w:t>
            </w:r>
          </w:p>
        </w:tc>
      </w:tr>
      <w:tr>
        <w:trPr>
          <w:trHeight w:val="276" w:hRule="atLeast"/>
        </w:trPr>
        <w:tc>
          <w:tcPr>
            <w:tcW w:w="2077"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0</w:t>
            </w:r>
          </w:p>
        </w:tc>
        <w:tc>
          <w:tcPr>
            <w:tcW w:w="2072"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0.2</w:t>
            </w:r>
          </w:p>
        </w:tc>
      </w:tr>
      <w:tr>
        <w:trPr>
          <w:trHeight w:val="276" w:hRule="atLeast"/>
        </w:trPr>
        <w:tc>
          <w:tcPr>
            <w:tcW w:w="2077"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1000</w:t>
            </w:r>
          </w:p>
        </w:tc>
        <w:tc>
          <w:tcPr>
            <w:tcW w:w="2072"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0.2</w:t>
            </w:r>
          </w:p>
        </w:tc>
      </w:tr>
      <w:tr>
        <w:trPr>
          <w:trHeight w:val="276" w:hRule="atLeast"/>
        </w:trPr>
        <w:tc>
          <w:tcPr>
            <w:tcW w:w="2077"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2000</w:t>
            </w:r>
          </w:p>
        </w:tc>
        <w:tc>
          <w:tcPr>
            <w:tcW w:w="2072"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0.3</w:t>
            </w:r>
          </w:p>
        </w:tc>
      </w:tr>
      <w:tr>
        <w:trPr>
          <w:trHeight w:val="276" w:hRule="atLeast"/>
        </w:trPr>
        <w:tc>
          <w:tcPr>
            <w:tcW w:w="2077"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3000</w:t>
            </w:r>
          </w:p>
        </w:tc>
        <w:tc>
          <w:tcPr>
            <w:tcW w:w="2072" w:type="dxa"/>
            <w:tcBorders/>
          </w:tcPr>
          <w:p>
            <w:pPr>
              <w:pStyle w:val="ListParagraph"/>
              <w:widowControl w:val="false"/>
              <w:suppressAutoHyphens w:val="true"/>
              <w:spacing w:lineRule="auto" w:line="240" w:before="0" w:after="0"/>
              <w:ind w:left="0" w:hanging="0"/>
              <w:contextualSpacing/>
              <w:jc w:val="center"/>
              <w:rPr>
                <w:rFonts w:ascii="Calibri" w:hAnsi="Calibri" w:cs=""/>
                <w:kern w:val="0"/>
                <w:sz w:val="22"/>
                <w:szCs w:val="22"/>
                <w:lang w:val="en-US" w:eastAsia="en-US" w:bidi="ar-SA"/>
              </w:rPr>
            </w:pPr>
            <w:r>
              <w:rPr>
                <w:rFonts w:cs=""/>
                <w:kern w:val="0"/>
                <w:sz w:val="22"/>
                <w:szCs w:val="22"/>
                <w:lang w:val="en-US" w:eastAsia="en-US" w:bidi="ar-SA"/>
              </w:rPr>
              <w:t>0.1</w:t>
            </w:r>
          </w:p>
        </w:tc>
      </w:tr>
    </w:tbl>
    <w:p>
      <w:pPr>
        <w:pStyle w:val="ListParagraph"/>
        <w:spacing w:before="0" w:after="0"/>
        <w:contextualSpacing/>
        <w:rPr/>
      </w:pPr>
      <w:r>
        <w:rPr/>
      </w:r>
    </w:p>
    <w:p>
      <w:pPr>
        <w:pStyle w:val="ListParagraph"/>
        <w:numPr>
          <w:ilvl w:val="0"/>
          <w:numId w:val="1"/>
        </w:numPr>
        <w:spacing w:before="0" w:after="0"/>
        <w:contextualSpacing/>
        <w:rPr/>
      </w:pPr>
      <w:r>
        <w:rPr/>
        <w:t>What is the most likely monetary outcome of the business venture?</w:t>
      </w:r>
    </w:p>
    <w:p>
      <w:pPr>
        <w:pStyle w:val="ListParagraph"/>
        <w:numPr>
          <w:ilvl w:val="0"/>
          <w:numId w:val="0"/>
        </w:numPr>
        <w:spacing w:before="0" w:after="0"/>
        <w:ind w:left="1440" w:hanging="0"/>
        <w:contextualSpacing/>
        <w:rPr/>
      </w:pPr>
      <w:r>
        <w:rPr/>
        <w:t>Ans) $2000 which has the highest probability i.e. 0.3</w:t>
      </w:r>
    </w:p>
    <w:p>
      <w:pPr>
        <w:pStyle w:val="ListParagraph"/>
        <w:numPr>
          <w:ilvl w:val="0"/>
          <w:numId w:val="1"/>
        </w:numPr>
        <w:spacing w:before="0" w:after="0"/>
        <w:contextualSpacing/>
        <w:rPr/>
      </w:pPr>
      <w:r>
        <w:rPr/>
        <w:t>Is the venture likely to be successful? Explain</w:t>
      </w:r>
    </w:p>
    <w:p>
      <w:pPr>
        <w:pStyle w:val="ListParagraph"/>
        <w:numPr>
          <w:ilvl w:val="0"/>
          <w:numId w:val="0"/>
        </w:numPr>
        <w:spacing w:before="0" w:after="0"/>
        <w:ind w:left="1440" w:hanging="0"/>
        <w:contextualSpacing/>
        <w:rPr/>
      </w:pPr>
      <w:r>
        <w:rPr/>
        <w:t>Ans) The venture is likely to be successful as the probability for profit (0.2 + 0.3 + 0.1 = 0.6) is greater than probability for failure (0.1 + 0.1 = 0.2)</w:t>
      </w:r>
    </w:p>
    <w:p>
      <w:pPr>
        <w:pStyle w:val="ListParagraph"/>
        <w:numPr>
          <w:ilvl w:val="0"/>
          <w:numId w:val="1"/>
        </w:numPr>
        <w:spacing w:before="0" w:after="0"/>
        <w:contextualSpacing/>
        <w:rPr/>
      </w:pPr>
      <w:r>
        <w:rPr/>
        <w:t>What is the long-term average earning of business ventures of this kind? Explain</w:t>
      </w:r>
    </w:p>
    <w:p>
      <w:pPr>
        <w:pStyle w:val="ListParagraph"/>
        <w:numPr>
          <w:ilvl w:val="0"/>
          <w:numId w:val="0"/>
        </w:numPr>
        <w:spacing w:before="0" w:after="0"/>
        <w:ind w:left="1440" w:hanging="0"/>
        <w:contextualSpacing/>
        <w:rPr/>
      </w:pPr>
      <w:r>
        <w:rPr/>
        <w:t>Ans) Average earning would be the expected value which is sum of product of each x with its probability</w:t>
      </w:r>
    </w:p>
    <w:p>
      <w:pPr>
        <w:pStyle w:val="ListParagraph"/>
        <w:numPr>
          <w:ilvl w:val="0"/>
          <w:numId w:val="0"/>
        </w:numPr>
        <w:spacing w:before="0" w:after="0"/>
        <w:ind w:left="1440" w:hanging="0"/>
        <w:contextualSpacing/>
        <w:rPr/>
      </w:pPr>
      <w:r>
        <w:rPr/>
        <w:t>0.1*-2000 + 0.1*-1000 + 0.2*0 + 0.2*1000 + 0.3*2000 + 0.1*3000 = $800</w:t>
      </w:r>
    </w:p>
    <w:p>
      <w:pPr>
        <w:pStyle w:val="ListParagraph"/>
        <w:numPr>
          <w:ilvl w:val="0"/>
          <w:numId w:val="1"/>
        </w:numPr>
        <w:spacing w:before="0" w:after="0"/>
        <w:contextualSpacing/>
        <w:rPr/>
      </w:pPr>
      <w:r>
        <w:rPr/>
        <w:t>What is the good measure of the risk involved in a venture of this kind? Compute this measure</w:t>
      </w:r>
    </w:p>
    <w:p>
      <w:pPr>
        <w:pStyle w:val="ListParagraph"/>
        <w:numPr>
          <w:ilvl w:val="0"/>
          <w:numId w:val="0"/>
        </w:numPr>
        <w:spacing w:before="0" w:after="0"/>
        <w:ind w:left="1440" w:hanging="0"/>
        <w:contextualSpacing/>
        <w:rPr/>
      </w:pPr>
      <w:r>
        <w:rPr/>
        <w:t>Ans) Risk can be described by standard deviation which is the variation around the mean (expected value) which is $800.</w:t>
      </w:r>
    </w:p>
    <w:p>
      <w:pPr>
        <w:pStyle w:val="ListParagraph"/>
        <w:numPr>
          <w:ilvl w:val="0"/>
          <w:numId w:val="0"/>
        </w:numPr>
        <w:spacing w:before="0" w:after="0"/>
        <w:ind w:left="1440" w:hanging="0"/>
        <w:contextualSpacing/>
        <w:rPr/>
      </w:pPr>
      <w:r>
        <w:rPr/>
        <w:t>np.sqrt((-2000-800)**2*0.1 + (-1000-800)**2*0.1 + (0-800)**2*0.2 + (1000-800)**2*0.2 + (2000-800)**2*0.3 + (3000-800)**2*0.1) = $1469.69</w:t>
      </w:r>
    </w:p>
    <w:p>
      <w:pPr>
        <w:pStyle w:val="Normal"/>
        <w:widowControl/>
        <w:bidi w:val="0"/>
        <w:spacing w:lineRule="auto" w:line="276" w:before="0" w:after="200"/>
        <w:jc w:val="left"/>
        <w:rPr/>
      </w:pPr>
      <w:r>
        <w:rPr/>
      </w:r>
    </w:p>
    <w:sectPr>
      <w:footerReference w:type="default" r:id="rId4"/>
      <w:type w:val="nextPage"/>
      <w:pgSz w:w="12240" w:h="15840"/>
      <w:pgMar w:left="1440" w:right="1440" w:gutter="0" w:header="0" w:top="900" w:footer="0" w:bottom="9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1260" w:hanging="0"/>
      <w:rPr>
        <w:i/>
        <w:i/>
        <w:sz w:val="20"/>
      </w:rPr>
    </w:pPr>
    <w:r>
      <w:rPr>
        <w:sz w:val="20"/>
      </w:rPr>
      <w:t xml:space="preserve">Questions referred to from </w:t>
    </w:r>
    <w:r>
      <w:rPr>
        <w:i/>
        <w:sz w:val="20"/>
      </w:rPr>
      <w:t>Aczel A., Sounderpandian J., Complete Business Statistics (7ed.)</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Roman"/>
      <w:lvlText w:val="(%1)"/>
      <w:lvlJc w:val="left"/>
      <w:pPr>
        <w:tabs>
          <w:tab w:val="num" w:pos="0"/>
        </w:tabs>
        <w:ind w:left="2160" w:hanging="72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e22b2"/>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0e22b2"/>
    <w:rPr>
      <w:rFonts w:eastAsia="" w:eastAsiaTheme="minorEastAsia"/>
    </w:rPr>
  </w:style>
  <w:style w:type="character" w:styleId="BalloonTextChar" w:customStyle="1">
    <w:name w:val="Balloon Text Char"/>
    <w:basedOn w:val="DefaultParagraphFont"/>
    <w:link w:val="BalloonText"/>
    <w:uiPriority w:val="99"/>
    <w:semiHidden/>
    <w:qFormat/>
    <w:rsid w:val="000e22b2"/>
    <w:rPr>
      <w:rFonts w:ascii="Tahoma" w:hAnsi="Tahoma" w:eastAsia="" w:cs="Tahoma" w:eastAsiaTheme="minorEastAsi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ListParagraph">
    <w:name w:val="List Paragraph"/>
    <w:basedOn w:val="Normal"/>
    <w:uiPriority w:val="34"/>
    <w:qFormat/>
    <w:rsid w:val="000e22b2"/>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0e22b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e22b2"/>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e22b2"/>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LibreOffice/7.3.3.2$Windows_X86_64 LibreOffice_project/d1d0ea68f081ee2800a922cac8f79445e4603348</Application>
  <AppVersion>15.0000</AppVersion>
  <Pages>4</Pages>
  <Words>673</Words>
  <Characters>3428</Characters>
  <CharactersWithSpaces>4022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dc:description/>
  <dc:language>en-IN</dc:language>
  <cp:lastModifiedBy/>
  <dcterms:modified xsi:type="dcterms:W3CDTF">2023-03-01T20:31:58Z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