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center"/>
      </w:pPr>
      <w:r>
        <w:rPr>
          <w:rFonts w:ascii="Times New Roman" w:hAnsi="Times New Roman"/>
          <w:b/>
          <w:color w:val="000000"/>
          <w:sz w:val="40"/>
        </w:rPr>
        <w:t>Intellis Solar Power Generation Scheduling System</w:t>
        <w:br/>
      </w:r>
      <w:r>
        <w:rPr>
          <w:rFonts w:ascii="Times New Roman" w:hAnsi="Times New Roman"/>
          <w:color w:val="000000"/>
          <w:sz w:val="24"/>
        </w:rPr>
        <w:t>Day-Ahead (DA) Low-Level Algorithmic Specification, Multi-Agency Selection Engine, and LLM JSON-to-CSV Pipeline</w:t>
      </w:r>
    </w:p>
    <w:tbl>
      <w:tblPr>
        <w:tblW w:type="auto" w:w="0"/>
        <w:jc w:val="center"/>
        <w:tblLook w:firstColumn="1" w:firstRow="1" w:lastColumn="0" w:lastRow="0" w:noHBand="0" w:noVBand="1" w:val="04A0"/>
      </w:tblPr>
      <w:tblGrid>
        <w:gridCol w:w="9936"/>
      </w:tblGrid>
      <w:tr>
        <w:tc>
          <w:tcPr>
            <w:tcW w:type="dxa" w:w="9936"/>
            <w:shd w:fill="F2F2F2"/>
            <w:tcMar>
              <w:top w:w="140" w:type="dxa"/>
              <w:bottom w:w="140" w:type="dxa"/>
              <w:left w:w="200" w:type="dxa"/>
              <w:right w:w="200" w:type="dxa"/>
            </w:tcMar>
          </w:tcPr>
          <w:p>
            <w:pPr>
              <w:spacing w:after="0"/>
            </w:pPr>
            <w:r>
              <w:rPr>
                <w:rFonts w:ascii="Times New Roman" w:hAnsi="Times New Roman"/>
                <w:i/>
                <w:color w:val="000000"/>
                <w:sz w:val="19"/>
              </w:rPr>
              <w:t>System Version: 3.4.0-Solar-DA  |  Author: Vedanjay Power Intellis Architecture Team  |  Target Domain: Day-Ahead Solar Power Forecasting (96 Blocks)  |  Document Type: Low-Level Algorithmic Specification</w:t>
            </w:r>
          </w:p>
        </w:tc>
      </w:tr>
    </w:tbl>
    <w:p>
      <w:pPr>
        <w:spacing w:after="200"/>
      </w:pPr>
    </w:p>
    <w:p>
      <w:pPr>
        <w:keepNext/>
        <w:spacing w:before="320" w:after="120"/>
      </w:pPr>
      <w:r>
        <w:rPr>
          <w:rFonts w:ascii="Times New Roman" w:hAnsi="Times New Roman"/>
          <w:b/>
          <w:color w:val="000000"/>
          <w:sz w:val="32"/>
        </w:rPr>
        <w:t>1. Global Variables, System Parameters &amp; Plant Profile Usage Matrix</w:t>
      </w:r>
    </w:p>
    <w:p>
      <w:pPr>
        <w:spacing w:after="160" w:line="276" w:lineRule="auto"/>
      </w:pPr>
      <w:r>
        <w:rPr>
          <w:rFonts w:ascii="Times New Roman" w:hAnsi="Times New Roman"/>
          <w:color w:val="000000"/>
          <w:sz w:val="21"/>
        </w:rPr>
        <w:t>This section documents the operational parameters, mathematical constants, 24h-48h forecast lead-time thresholds, diurnal MOS selection parameters, clear-sky irradiance bounds, and statutory gate-closure timing governing the Day-Ahead (DA) Solar Generation Forecasting Engine. In contrast to intraday rolling revisions, Day-Ahead forecasting operates without live telemetry for Day T+1 and relies on multi-model NWP super-ensembles, physical transposition, 24h lead-time historical MOS calibration, and strategic LLM regime arbitration.</w:t>
      </w:r>
    </w:p>
    <w:tbl>
      <w:tblPr>
        <w:tblW w:type="auto" w:w="0"/>
        <w:jc w:val="center"/>
        <w:tblLook w:firstColumn="1" w:firstRow="1" w:lastColumn="0" w:lastRow="0" w:noHBand="0" w:noVBand="1" w:val="04A0"/>
        <w:tblBorders>
          <w:top w:val="single" w:sz="6" w:space="0" w:color="666666"/>
          <w:left w:val="single" w:sz="6" w:space="0" w:color="666666"/>
          <w:bottom w:val="single" w:sz="6" w:space="0" w:color="666666"/>
          <w:right w:val="single" w:sz="6" w:space="0" w:color="666666"/>
          <w:insideH w:val="single" w:sz="4" w:space="0" w:color="666666"/>
          <w:insideV w:val="single" w:sz="4" w:space="0" w:color="666666"/>
        </w:tblBorders>
      </w:tblPr>
      <w:tblGrid>
        <w:gridCol w:w="2484"/>
        <w:gridCol w:w="2484"/>
        <w:gridCol w:w="2484"/>
        <w:gridCol w:w="2484"/>
      </w:tblGrid>
      <w:tr>
        <w:tc>
          <w:tcPr>
            <w:tcW w:type="dxa" w:w="2592"/>
            <w:tcMar>
              <w:top w:w="100" w:type="dxa"/>
              <w:bottom w:w="100" w:type="dxa"/>
              <w:left w:w="120" w:type="dxa"/>
              <w:right w:w="120" w:type="dxa"/>
            </w:tcMar>
            <w:shd w:fill="E6E6E6"/>
          </w:tcPr>
          <w:p>
            <w:pPr>
              <w:spacing w:after="0" w:line="264" w:lineRule="auto"/>
            </w:pPr>
            <w:r>
              <w:rPr>
                <w:rFonts w:ascii="Times New Roman" w:hAnsi="Times New Roman"/>
                <w:b/>
                <w:color w:val="000000"/>
                <w:sz w:val="19"/>
              </w:rPr>
              <w:t>Parameter Name</w:t>
            </w:r>
          </w:p>
        </w:tc>
        <w:tc>
          <w:tcPr>
            <w:tcW w:type="dxa" w:w="1872"/>
            <w:tcMar>
              <w:top w:w="100" w:type="dxa"/>
              <w:bottom w:w="100" w:type="dxa"/>
              <w:left w:w="120" w:type="dxa"/>
              <w:right w:w="120" w:type="dxa"/>
            </w:tcMar>
            <w:shd w:fill="E6E6E6"/>
          </w:tcPr>
          <w:p>
            <w:pPr>
              <w:spacing w:after="0" w:line="264" w:lineRule="auto"/>
            </w:pPr>
            <w:r>
              <w:rPr>
                <w:rFonts w:ascii="Times New Roman" w:hAnsi="Times New Roman"/>
                <w:b/>
                <w:color w:val="000000"/>
                <w:sz w:val="19"/>
              </w:rPr>
              <w:t>Symbol / Variable</w:t>
            </w:r>
          </w:p>
        </w:tc>
        <w:tc>
          <w:tcPr>
            <w:tcW w:type="dxa" w:w="1872"/>
            <w:tcMar>
              <w:top w:w="100" w:type="dxa"/>
              <w:bottom w:w="100" w:type="dxa"/>
              <w:left w:w="120" w:type="dxa"/>
              <w:right w:w="120" w:type="dxa"/>
            </w:tcMar>
            <w:shd w:fill="E6E6E6"/>
          </w:tcPr>
          <w:p>
            <w:pPr>
              <w:spacing w:after="0" w:line="264" w:lineRule="auto"/>
            </w:pPr>
            <w:r>
              <w:rPr>
                <w:rFonts w:ascii="Times New Roman" w:hAnsi="Times New Roman"/>
                <w:b/>
                <w:color w:val="000000"/>
                <w:sz w:val="19"/>
              </w:rPr>
              <w:t>Default Value / Bound</w:t>
            </w:r>
          </w:p>
        </w:tc>
        <w:tc>
          <w:tcPr>
            <w:tcW w:type="dxa" w:w="3456"/>
            <w:tcMar>
              <w:top w:w="100" w:type="dxa"/>
              <w:bottom w:w="100" w:type="dxa"/>
              <w:left w:w="120" w:type="dxa"/>
              <w:right w:w="120" w:type="dxa"/>
            </w:tcMar>
            <w:shd w:fill="E6E6E6"/>
          </w:tcPr>
          <w:p>
            <w:pPr>
              <w:spacing w:after="0" w:line="264" w:lineRule="auto"/>
            </w:pPr>
            <w:r>
              <w:rPr>
                <w:rFonts w:ascii="Times New Roman" w:hAnsi="Times New Roman"/>
                <w:b/>
                <w:color w:val="000000"/>
                <w:sz w:val="19"/>
              </w:rPr>
              <w:t>System Description &amp; Role</w:t>
            </w:r>
          </w:p>
        </w:tc>
      </w:tr>
      <w:tr>
        <w:tc>
          <w:tcPr>
            <w:tcW w:type="dxa" w:w="2592"/>
            <w:tcMar>
              <w:top w:w="100" w:type="dxa"/>
              <w:bottom w:w="100" w:type="dxa"/>
              <w:left w:w="120" w:type="dxa"/>
              <w:right w:w="120" w:type="dxa"/>
            </w:tcMar>
            <w:shd w:fill="F9F9F9"/>
          </w:tcPr>
          <w:p>
            <w:pPr>
              <w:spacing w:after="0" w:line="264" w:lineRule="auto"/>
            </w:pPr>
            <w:r>
              <w:rPr>
                <w:rFonts w:ascii="Times New Roman" w:hAnsi="Times New Roman"/>
                <w:color w:val="000000"/>
                <w:sz w:val="19"/>
              </w:rPr>
              <w:t>AC Interconnect Capacity</w:t>
            </w:r>
          </w:p>
        </w:tc>
        <w:tc>
          <w:tcPr>
            <w:tcW w:type="dxa" w:w="1872"/>
            <w:tcMar>
              <w:top w:w="100" w:type="dxa"/>
              <w:bottom w:w="100" w:type="dxa"/>
              <w:left w:w="120" w:type="dxa"/>
              <w:right w:w="120" w:type="dxa"/>
            </w:tcMar>
            <w:shd w:fill="F9F9F9"/>
          </w:tcPr>
          <w:p>
            <w:pPr>
              <w:spacing w:after="0" w:line="264" w:lineRule="auto"/>
            </w:pPr>
            <w:r>
              <w:rPr>
                <w:rFonts w:ascii="Times New Roman" w:hAnsi="Times New Roman"/>
                <w:color w:val="000000"/>
                <w:sz w:val="19"/>
              </w:rPr>
              <w:t>P_CAP_AC</w:t>
            </w:r>
          </w:p>
        </w:tc>
        <w:tc>
          <w:tcPr>
            <w:tcW w:type="dxa" w:w="1872"/>
            <w:tcMar>
              <w:top w:w="100" w:type="dxa"/>
              <w:bottom w:w="100" w:type="dxa"/>
              <w:left w:w="120" w:type="dxa"/>
              <w:right w:w="120" w:type="dxa"/>
            </w:tcMar>
            <w:shd w:fill="F9F9F9"/>
          </w:tcPr>
          <w:p>
            <w:pPr>
              <w:spacing w:after="0" w:line="264" w:lineRule="auto"/>
            </w:pPr>
            <w:r>
              <w:rPr>
                <w:rFonts w:ascii="Times New Roman" w:hAnsi="Times New Roman"/>
                <w:color w:val="000000"/>
                <w:sz w:val="19"/>
              </w:rPr>
              <w:t>5.0 - 50.0 MW</w:t>
            </w:r>
          </w:p>
        </w:tc>
        <w:tc>
          <w:tcPr>
            <w:tcW w:type="dxa" w:w="3456"/>
            <w:tcMar>
              <w:top w:w="100" w:type="dxa"/>
              <w:bottom w:w="100" w:type="dxa"/>
              <w:left w:w="120" w:type="dxa"/>
              <w:right w:w="120" w:type="dxa"/>
            </w:tcMar>
            <w:shd w:fill="F9F9F9"/>
          </w:tcPr>
          <w:p>
            <w:pPr>
              <w:spacing w:after="0" w:line="264" w:lineRule="auto"/>
            </w:pPr>
            <w:r>
              <w:rPr>
                <w:rFonts w:ascii="Times New Roman" w:hAnsi="Times New Roman"/>
                <w:color w:val="000000"/>
                <w:sz w:val="19"/>
              </w:rPr>
              <w:t>Rated active power export capacity at grid interconnection point.</w:t>
            </w:r>
          </w:p>
        </w:tc>
      </w:tr>
      <w:tr>
        <w:tc>
          <w:tcPr>
            <w:tcW w:type="dxa" w:w="2592"/>
            <w:tcMar>
              <w:top w:w="100" w:type="dxa"/>
              <w:bottom w:w="100" w:type="dxa"/>
              <w:left w:w="120" w:type="dxa"/>
              <w:right w:w="120" w:type="dxa"/>
            </w:tcMar>
            <w:shd w:fill="FFFFFF"/>
          </w:tcPr>
          <w:p>
            <w:pPr>
              <w:spacing w:after="0" w:line="264" w:lineRule="auto"/>
            </w:pPr>
            <w:r>
              <w:rPr>
                <w:rFonts w:ascii="Times New Roman" w:hAnsi="Times New Roman"/>
                <w:color w:val="000000"/>
                <w:sz w:val="19"/>
              </w:rPr>
              <w:t>DC Installed Capacity</w:t>
            </w:r>
          </w:p>
        </w:tc>
        <w:tc>
          <w:tcPr>
            <w:tcW w:type="dxa" w:w="1872"/>
            <w:tcMar>
              <w:top w:w="100" w:type="dxa"/>
              <w:bottom w:w="100" w:type="dxa"/>
              <w:left w:w="120" w:type="dxa"/>
              <w:right w:w="120" w:type="dxa"/>
            </w:tcMar>
            <w:shd w:fill="FFFFFF"/>
          </w:tcPr>
          <w:p>
            <w:pPr>
              <w:spacing w:after="0" w:line="264" w:lineRule="auto"/>
            </w:pPr>
            <w:r>
              <w:rPr>
                <w:rFonts w:ascii="Times New Roman" w:hAnsi="Times New Roman"/>
                <w:color w:val="000000"/>
                <w:sz w:val="19"/>
              </w:rPr>
              <w:t>P_CAP_DC</w:t>
            </w:r>
          </w:p>
        </w:tc>
        <w:tc>
          <w:tcPr>
            <w:tcW w:type="dxa" w:w="1872"/>
            <w:tcMar>
              <w:top w:w="100" w:type="dxa"/>
              <w:bottom w:w="100" w:type="dxa"/>
              <w:left w:w="120" w:type="dxa"/>
              <w:right w:w="120" w:type="dxa"/>
            </w:tcMar>
            <w:shd w:fill="FFFFFF"/>
          </w:tcPr>
          <w:p>
            <w:pPr>
              <w:spacing w:after="0" w:line="264" w:lineRule="auto"/>
            </w:pPr>
            <w:r>
              <w:rPr>
                <w:rFonts w:ascii="Times New Roman" w:hAnsi="Times New Roman"/>
                <w:color w:val="000000"/>
                <w:sz w:val="19"/>
              </w:rPr>
              <w:t>6.5 - 65.0 MWp</w:t>
            </w:r>
          </w:p>
        </w:tc>
        <w:tc>
          <w:tcPr>
            <w:tcW w:type="dxa" w:w="3456"/>
            <w:tcMar>
              <w:top w:w="100" w:type="dxa"/>
              <w:bottom w:w="100" w:type="dxa"/>
              <w:left w:w="120" w:type="dxa"/>
              <w:right w:w="120" w:type="dxa"/>
            </w:tcMar>
            <w:shd w:fill="FFFFFF"/>
          </w:tcPr>
          <w:p>
            <w:pPr>
              <w:spacing w:after="0" w:line="264" w:lineRule="auto"/>
            </w:pPr>
            <w:r>
              <w:rPr>
                <w:rFonts w:ascii="Times New Roman" w:hAnsi="Times New Roman"/>
                <w:color w:val="000000"/>
                <w:sz w:val="19"/>
              </w:rPr>
              <w:t>Total installed peak DC capacity of solar PV array under STC.</w:t>
            </w:r>
          </w:p>
        </w:tc>
      </w:tr>
      <w:tr>
        <w:tc>
          <w:tcPr>
            <w:tcW w:type="dxa" w:w="2592"/>
            <w:tcMar>
              <w:top w:w="100" w:type="dxa"/>
              <w:bottom w:w="100" w:type="dxa"/>
              <w:left w:w="120" w:type="dxa"/>
              <w:right w:w="120" w:type="dxa"/>
            </w:tcMar>
            <w:shd w:fill="F9F9F9"/>
          </w:tcPr>
          <w:p>
            <w:pPr>
              <w:spacing w:after="0" w:line="264" w:lineRule="auto"/>
            </w:pPr>
            <w:r>
              <w:rPr>
                <w:rFonts w:ascii="Times New Roman" w:hAnsi="Times New Roman"/>
                <w:color w:val="000000"/>
                <w:sz w:val="19"/>
              </w:rPr>
              <w:t>DC-to-AC Transfer Ratio</w:t>
            </w:r>
          </w:p>
        </w:tc>
        <w:tc>
          <w:tcPr>
            <w:tcW w:type="dxa" w:w="1872"/>
            <w:tcMar>
              <w:top w:w="100" w:type="dxa"/>
              <w:bottom w:w="100" w:type="dxa"/>
              <w:left w:w="120" w:type="dxa"/>
              <w:right w:w="120" w:type="dxa"/>
            </w:tcMar>
            <w:shd w:fill="F9F9F9"/>
          </w:tcPr>
          <w:p>
            <w:pPr>
              <w:spacing w:after="0" w:line="264" w:lineRule="auto"/>
            </w:pPr>
            <w:r>
              <w:rPr>
                <w:rFonts w:ascii="Times New Roman" w:hAnsi="Times New Roman"/>
                <w:color w:val="000000"/>
                <w:sz w:val="19"/>
              </w:rPr>
              <w:t>eta_transfer</w:t>
            </w:r>
          </w:p>
        </w:tc>
        <w:tc>
          <w:tcPr>
            <w:tcW w:type="dxa" w:w="1872"/>
            <w:tcMar>
              <w:top w:w="100" w:type="dxa"/>
              <w:bottom w:w="100" w:type="dxa"/>
              <w:left w:w="120" w:type="dxa"/>
              <w:right w:w="120" w:type="dxa"/>
            </w:tcMar>
            <w:shd w:fill="F9F9F9"/>
          </w:tcPr>
          <w:p>
            <w:pPr>
              <w:spacing w:after="0" w:line="264" w:lineRule="auto"/>
            </w:pPr>
            <w:r>
              <w:rPr>
                <w:rFonts w:ascii="Times New Roman" w:hAnsi="Times New Roman"/>
                <w:color w:val="000000"/>
                <w:sz w:val="19"/>
              </w:rPr>
              <w:t>0.75 - 0.85</w:t>
            </w:r>
          </w:p>
        </w:tc>
        <w:tc>
          <w:tcPr>
            <w:tcW w:type="dxa" w:w="3456"/>
            <w:tcMar>
              <w:top w:w="100" w:type="dxa"/>
              <w:bottom w:w="100" w:type="dxa"/>
              <w:left w:w="120" w:type="dxa"/>
              <w:right w:w="120" w:type="dxa"/>
            </w:tcMar>
            <w:shd w:fill="F9F9F9"/>
          </w:tcPr>
          <w:p>
            <w:pPr>
              <w:spacing w:after="0" w:line="264" w:lineRule="auto"/>
            </w:pPr>
            <w:r>
              <w:rPr>
                <w:rFonts w:ascii="Times New Roman" w:hAnsi="Times New Roman"/>
                <w:color w:val="000000"/>
                <w:sz w:val="19"/>
              </w:rPr>
              <w:t>Physical transfer ratio converting DC array output to AC export power.</w:t>
            </w:r>
          </w:p>
        </w:tc>
      </w:tr>
      <w:tr>
        <w:tc>
          <w:tcPr>
            <w:tcW w:type="dxa" w:w="2592"/>
            <w:tcMar>
              <w:top w:w="100" w:type="dxa"/>
              <w:bottom w:w="100" w:type="dxa"/>
              <w:left w:w="120" w:type="dxa"/>
              <w:right w:w="120" w:type="dxa"/>
            </w:tcMar>
            <w:shd w:fill="FFFFFF"/>
          </w:tcPr>
          <w:p>
            <w:pPr>
              <w:spacing w:after="0" w:line="264" w:lineRule="auto"/>
            </w:pPr>
            <w:r>
              <w:rPr>
                <w:rFonts w:ascii="Times New Roman" w:hAnsi="Times New Roman"/>
                <w:color w:val="000000"/>
                <w:sz w:val="19"/>
              </w:rPr>
              <w:t>Site Barometric Altitude</w:t>
            </w:r>
          </w:p>
        </w:tc>
        <w:tc>
          <w:tcPr>
            <w:tcW w:type="dxa" w:w="1872"/>
            <w:tcMar>
              <w:top w:w="100" w:type="dxa"/>
              <w:bottom w:w="100" w:type="dxa"/>
              <w:left w:w="120" w:type="dxa"/>
              <w:right w:w="120" w:type="dxa"/>
            </w:tcMar>
            <w:shd w:fill="FFFFFF"/>
          </w:tcPr>
          <w:p>
            <w:pPr>
              <w:spacing w:after="0" w:line="264" w:lineRule="auto"/>
            </w:pPr>
            <w:r>
              <w:rPr>
                <w:rFonts w:ascii="Times New Roman" w:hAnsi="Times New Roman"/>
                <w:color w:val="000000"/>
                <w:sz w:val="19"/>
              </w:rPr>
              <w:t>z</w:t>
            </w:r>
          </w:p>
        </w:tc>
        <w:tc>
          <w:tcPr>
            <w:tcW w:type="dxa" w:w="1872"/>
            <w:tcMar>
              <w:top w:w="100" w:type="dxa"/>
              <w:bottom w:w="100" w:type="dxa"/>
              <w:left w:w="120" w:type="dxa"/>
              <w:right w:w="120" w:type="dxa"/>
            </w:tcMar>
            <w:shd w:fill="FFFFFF"/>
          </w:tcPr>
          <w:p>
            <w:pPr>
              <w:spacing w:after="0" w:line="264" w:lineRule="auto"/>
            </w:pPr>
            <w:r>
              <w:rPr>
                <w:rFonts w:ascii="Times New Roman" w:hAnsi="Times New Roman"/>
                <w:color w:val="000000"/>
                <w:sz w:val="19"/>
              </w:rPr>
              <w:t>250.0 - 650.0 m</w:t>
            </w:r>
          </w:p>
        </w:tc>
        <w:tc>
          <w:tcPr>
            <w:tcW w:type="dxa" w:w="3456"/>
            <w:tcMar>
              <w:top w:w="100" w:type="dxa"/>
              <w:bottom w:w="100" w:type="dxa"/>
              <w:left w:w="120" w:type="dxa"/>
              <w:right w:w="120" w:type="dxa"/>
            </w:tcMar>
            <w:shd w:fill="FFFFFF"/>
          </w:tcPr>
          <w:p>
            <w:pPr>
              <w:spacing w:after="0" w:line="264" w:lineRule="auto"/>
            </w:pPr>
            <w:r>
              <w:rPr>
                <w:rFonts w:ascii="Times New Roman" w:hAnsi="Times New Roman"/>
                <w:color w:val="000000"/>
                <w:sz w:val="19"/>
              </w:rPr>
              <w:t>Site elevation above mean sea level used for barometric air pressure calculation.</w:t>
            </w:r>
          </w:p>
        </w:tc>
      </w:tr>
      <w:tr>
        <w:tc>
          <w:tcPr>
            <w:tcW w:type="dxa" w:w="2592"/>
            <w:tcMar>
              <w:top w:w="100" w:type="dxa"/>
              <w:bottom w:w="100" w:type="dxa"/>
              <w:left w:w="120" w:type="dxa"/>
              <w:right w:w="120" w:type="dxa"/>
            </w:tcMar>
            <w:shd w:fill="F9F9F9"/>
          </w:tcPr>
          <w:p>
            <w:pPr>
              <w:spacing w:after="0" w:line="264" w:lineRule="auto"/>
            </w:pPr>
            <w:r>
              <w:rPr>
                <w:rFonts w:ascii="Times New Roman" w:hAnsi="Times New Roman"/>
                <w:color w:val="000000"/>
                <w:sz w:val="19"/>
              </w:rPr>
              <w:t>Panel Tilt Angle</w:t>
            </w:r>
          </w:p>
        </w:tc>
        <w:tc>
          <w:tcPr>
            <w:tcW w:type="dxa" w:w="1872"/>
            <w:tcMar>
              <w:top w:w="100" w:type="dxa"/>
              <w:bottom w:w="100" w:type="dxa"/>
              <w:left w:w="120" w:type="dxa"/>
              <w:right w:w="120" w:type="dxa"/>
            </w:tcMar>
            <w:shd w:fill="F9F9F9"/>
          </w:tcPr>
          <w:p>
            <w:pPr>
              <w:spacing w:after="0" w:line="264" w:lineRule="auto"/>
            </w:pPr>
            <w:r>
              <w:rPr>
                <w:rFonts w:ascii="Times New Roman" w:hAnsi="Times New Roman"/>
                <w:color w:val="000000"/>
                <w:sz w:val="19"/>
              </w:rPr>
              <w:t>beta</w:t>
            </w:r>
          </w:p>
        </w:tc>
        <w:tc>
          <w:tcPr>
            <w:tcW w:type="dxa" w:w="1872"/>
            <w:tcMar>
              <w:top w:w="100" w:type="dxa"/>
              <w:bottom w:w="100" w:type="dxa"/>
              <w:left w:w="120" w:type="dxa"/>
              <w:right w:w="120" w:type="dxa"/>
            </w:tcMar>
            <w:shd w:fill="F9F9F9"/>
          </w:tcPr>
          <w:p>
            <w:pPr>
              <w:spacing w:after="0" w:line="264" w:lineRule="auto"/>
            </w:pPr>
            <w:r>
              <w:rPr>
                <w:rFonts w:ascii="Times New Roman" w:hAnsi="Times New Roman"/>
                <w:color w:val="000000"/>
                <w:sz w:val="19"/>
              </w:rPr>
              <w:t>15.0° - 24.0°</w:t>
            </w:r>
          </w:p>
        </w:tc>
        <w:tc>
          <w:tcPr>
            <w:tcW w:type="dxa" w:w="3456"/>
            <w:tcMar>
              <w:top w:w="100" w:type="dxa"/>
              <w:bottom w:w="100" w:type="dxa"/>
              <w:left w:w="120" w:type="dxa"/>
              <w:right w:w="120" w:type="dxa"/>
            </w:tcMar>
            <w:shd w:fill="F9F9F9"/>
          </w:tcPr>
          <w:p>
            <w:pPr>
              <w:spacing w:after="0" w:line="264" w:lineRule="auto"/>
            </w:pPr>
            <w:r>
              <w:rPr>
                <w:rFonts w:ascii="Times New Roman" w:hAnsi="Times New Roman"/>
                <w:color w:val="000000"/>
                <w:sz w:val="19"/>
              </w:rPr>
              <w:t>Fixed tilt angle of solar PV module array relative to horizontal plane.</w:t>
            </w:r>
          </w:p>
        </w:tc>
      </w:tr>
      <w:tr>
        <w:tc>
          <w:tcPr>
            <w:tcW w:type="dxa" w:w="2592"/>
            <w:tcMar>
              <w:top w:w="100" w:type="dxa"/>
              <w:bottom w:w="100" w:type="dxa"/>
              <w:left w:w="120" w:type="dxa"/>
              <w:right w:w="120" w:type="dxa"/>
            </w:tcMar>
            <w:shd w:fill="FFFFFF"/>
          </w:tcPr>
          <w:p>
            <w:pPr>
              <w:spacing w:after="0" w:line="264" w:lineRule="auto"/>
            </w:pPr>
            <w:r>
              <w:rPr>
                <w:rFonts w:ascii="Times New Roman" w:hAnsi="Times New Roman"/>
                <w:color w:val="000000"/>
                <w:sz w:val="19"/>
              </w:rPr>
              <w:t>Panel Azimuth Angle</w:t>
            </w:r>
          </w:p>
        </w:tc>
        <w:tc>
          <w:tcPr>
            <w:tcW w:type="dxa" w:w="1872"/>
            <w:tcMar>
              <w:top w:w="100" w:type="dxa"/>
              <w:bottom w:w="100" w:type="dxa"/>
              <w:left w:w="120" w:type="dxa"/>
              <w:right w:w="120" w:type="dxa"/>
            </w:tcMar>
            <w:shd w:fill="FFFFFF"/>
          </w:tcPr>
          <w:p>
            <w:pPr>
              <w:spacing w:after="0" w:line="264" w:lineRule="auto"/>
            </w:pPr>
            <w:r>
              <w:rPr>
                <w:rFonts w:ascii="Times New Roman" w:hAnsi="Times New Roman"/>
                <w:color w:val="000000"/>
                <w:sz w:val="19"/>
              </w:rPr>
              <w:t>gamma_m</w:t>
            </w:r>
          </w:p>
        </w:tc>
        <w:tc>
          <w:tcPr>
            <w:tcW w:type="dxa" w:w="1872"/>
            <w:tcMar>
              <w:top w:w="100" w:type="dxa"/>
              <w:bottom w:w="100" w:type="dxa"/>
              <w:left w:w="120" w:type="dxa"/>
              <w:right w:w="120" w:type="dxa"/>
            </w:tcMar>
            <w:shd w:fill="FFFFFF"/>
          </w:tcPr>
          <w:p>
            <w:pPr>
              <w:spacing w:after="0" w:line="264" w:lineRule="auto"/>
            </w:pPr>
            <w:r>
              <w:rPr>
                <w:rFonts w:ascii="Times New Roman" w:hAnsi="Times New Roman"/>
                <w:color w:val="000000"/>
                <w:sz w:val="19"/>
              </w:rPr>
              <w:t>180.0° (South)</w:t>
            </w:r>
          </w:p>
        </w:tc>
        <w:tc>
          <w:tcPr>
            <w:tcW w:type="dxa" w:w="3456"/>
            <w:tcMar>
              <w:top w:w="100" w:type="dxa"/>
              <w:bottom w:w="100" w:type="dxa"/>
              <w:left w:w="120" w:type="dxa"/>
              <w:right w:w="120" w:type="dxa"/>
            </w:tcMar>
            <w:shd w:fill="FFFFFF"/>
          </w:tcPr>
          <w:p>
            <w:pPr>
              <w:spacing w:after="0" w:line="264" w:lineRule="auto"/>
            </w:pPr>
            <w:r>
              <w:rPr>
                <w:rFonts w:ascii="Times New Roman" w:hAnsi="Times New Roman"/>
                <w:color w:val="000000"/>
                <w:sz w:val="19"/>
              </w:rPr>
              <w:t>Orientation angle of PV array relative to True North (180° = South facing).</w:t>
            </w:r>
          </w:p>
        </w:tc>
      </w:tr>
      <w:tr>
        <w:tc>
          <w:tcPr>
            <w:tcW w:type="dxa" w:w="2592"/>
            <w:tcMar>
              <w:top w:w="100" w:type="dxa"/>
              <w:bottom w:w="100" w:type="dxa"/>
              <w:left w:w="120" w:type="dxa"/>
              <w:right w:w="120" w:type="dxa"/>
            </w:tcMar>
            <w:shd w:fill="F9F9F9"/>
          </w:tcPr>
          <w:p>
            <w:pPr>
              <w:spacing w:after="0" w:line="264" w:lineRule="auto"/>
            </w:pPr>
            <w:r>
              <w:rPr>
                <w:rFonts w:ascii="Times New Roman" w:hAnsi="Times New Roman"/>
                <w:color w:val="000000"/>
                <w:sz w:val="19"/>
              </w:rPr>
              <w:t>Linke Turbidity Factor</w:t>
            </w:r>
          </w:p>
        </w:tc>
        <w:tc>
          <w:tcPr>
            <w:tcW w:type="dxa" w:w="1872"/>
            <w:tcMar>
              <w:top w:w="100" w:type="dxa"/>
              <w:bottom w:w="100" w:type="dxa"/>
              <w:left w:w="120" w:type="dxa"/>
              <w:right w:w="120" w:type="dxa"/>
            </w:tcMar>
            <w:shd w:fill="F9F9F9"/>
          </w:tcPr>
          <w:p>
            <w:pPr>
              <w:spacing w:after="0" w:line="264" w:lineRule="auto"/>
            </w:pPr>
            <w:r>
              <w:rPr>
                <w:rFonts w:ascii="Times New Roman" w:hAnsi="Times New Roman"/>
                <w:color w:val="000000"/>
                <w:sz w:val="19"/>
              </w:rPr>
              <w:t>T_L</w:t>
            </w:r>
          </w:p>
        </w:tc>
        <w:tc>
          <w:tcPr>
            <w:tcW w:type="dxa" w:w="1872"/>
            <w:tcMar>
              <w:top w:w="100" w:type="dxa"/>
              <w:bottom w:w="100" w:type="dxa"/>
              <w:left w:w="120" w:type="dxa"/>
              <w:right w:w="120" w:type="dxa"/>
            </w:tcMar>
            <w:shd w:fill="F9F9F9"/>
          </w:tcPr>
          <w:p>
            <w:pPr>
              <w:spacing w:after="0" w:line="264" w:lineRule="auto"/>
            </w:pPr>
            <w:r>
              <w:rPr>
                <w:rFonts w:ascii="Times New Roman" w:hAnsi="Times New Roman"/>
                <w:color w:val="000000"/>
                <w:sz w:val="19"/>
              </w:rPr>
              <w:t>3.0 - 4.5</w:t>
            </w:r>
          </w:p>
        </w:tc>
        <w:tc>
          <w:tcPr>
            <w:tcW w:type="dxa" w:w="3456"/>
            <w:tcMar>
              <w:top w:w="100" w:type="dxa"/>
              <w:bottom w:w="100" w:type="dxa"/>
              <w:left w:w="120" w:type="dxa"/>
              <w:right w:w="120" w:type="dxa"/>
            </w:tcMar>
            <w:shd w:fill="F9F9F9"/>
          </w:tcPr>
          <w:p>
            <w:pPr>
              <w:spacing w:after="0" w:line="264" w:lineRule="auto"/>
            </w:pPr>
            <w:r>
              <w:rPr>
                <w:rFonts w:ascii="Times New Roman" w:hAnsi="Times New Roman"/>
                <w:color w:val="000000"/>
                <w:sz w:val="19"/>
              </w:rPr>
              <w:t>Atmospheric aerosol and water vapor attenuation factor in Ineichen clear-sky model.</w:t>
            </w:r>
          </w:p>
        </w:tc>
      </w:tr>
      <w:tr>
        <w:tc>
          <w:tcPr>
            <w:tcW w:type="dxa" w:w="2592"/>
            <w:tcMar>
              <w:top w:w="100" w:type="dxa"/>
              <w:bottom w:w="100" w:type="dxa"/>
              <w:left w:w="120" w:type="dxa"/>
              <w:right w:w="120" w:type="dxa"/>
            </w:tcMar>
            <w:shd w:fill="FFFFFF"/>
          </w:tcPr>
          <w:p>
            <w:pPr>
              <w:spacing w:after="0" w:line="264" w:lineRule="auto"/>
            </w:pPr>
            <w:r>
              <w:rPr>
                <w:rFonts w:ascii="Times New Roman" w:hAnsi="Times New Roman"/>
                <w:color w:val="000000"/>
                <w:sz w:val="19"/>
              </w:rPr>
              <w:t>Temperature Coefficient</w:t>
            </w:r>
          </w:p>
        </w:tc>
        <w:tc>
          <w:tcPr>
            <w:tcW w:type="dxa" w:w="1872"/>
            <w:tcMar>
              <w:top w:w="100" w:type="dxa"/>
              <w:bottom w:w="100" w:type="dxa"/>
              <w:left w:w="120" w:type="dxa"/>
              <w:right w:w="120" w:type="dxa"/>
            </w:tcMar>
            <w:shd w:fill="FFFFFF"/>
          </w:tcPr>
          <w:p>
            <w:pPr>
              <w:spacing w:after="0" w:line="264" w:lineRule="auto"/>
            </w:pPr>
            <w:r>
              <w:rPr>
                <w:rFonts w:ascii="Times New Roman" w:hAnsi="Times New Roman"/>
                <w:color w:val="000000"/>
                <w:sz w:val="19"/>
              </w:rPr>
              <w:t>gamma_Pmp</w:t>
            </w:r>
          </w:p>
        </w:tc>
        <w:tc>
          <w:tcPr>
            <w:tcW w:type="dxa" w:w="1872"/>
            <w:tcMar>
              <w:top w:w="100" w:type="dxa"/>
              <w:bottom w:w="100" w:type="dxa"/>
              <w:left w:w="120" w:type="dxa"/>
              <w:right w:w="120" w:type="dxa"/>
            </w:tcMar>
            <w:shd w:fill="FFFFFF"/>
          </w:tcPr>
          <w:p>
            <w:pPr>
              <w:spacing w:after="0" w:line="264" w:lineRule="auto"/>
            </w:pPr>
            <w:r>
              <w:rPr>
                <w:rFonts w:ascii="Times New Roman" w:hAnsi="Times New Roman"/>
                <w:color w:val="000000"/>
                <w:sz w:val="19"/>
              </w:rPr>
              <w:t>-0.37% / °C</w:t>
            </w:r>
          </w:p>
        </w:tc>
        <w:tc>
          <w:tcPr>
            <w:tcW w:type="dxa" w:w="3456"/>
            <w:tcMar>
              <w:top w:w="100" w:type="dxa"/>
              <w:bottom w:w="100" w:type="dxa"/>
              <w:left w:w="120" w:type="dxa"/>
              <w:right w:w="120" w:type="dxa"/>
            </w:tcMar>
            <w:shd w:fill="FFFFFF"/>
          </w:tcPr>
          <w:p>
            <w:pPr>
              <w:spacing w:after="0" w:line="264" w:lineRule="auto"/>
            </w:pPr>
            <w:r>
              <w:rPr>
                <w:rFonts w:ascii="Times New Roman" w:hAnsi="Times New Roman"/>
                <w:color w:val="000000"/>
                <w:sz w:val="19"/>
              </w:rPr>
              <w:t>Temperature derating coefficient of maximum power for PV modules.</w:t>
            </w:r>
          </w:p>
        </w:tc>
      </w:tr>
      <w:tr>
        <w:tc>
          <w:tcPr>
            <w:tcW w:type="dxa" w:w="2592"/>
            <w:tcMar>
              <w:top w:w="100" w:type="dxa"/>
              <w:bottom w:w="100" w:type="dxa"/>
              <w:left w:w="120" w:type="dxa"/>
              <w:right w:w="120" w:type="dxa"/>
            </w:tcMar>
            <w:shd w:fill="F9F9F9"/>
          </w:tcPr>
          <w:p>
            <w:pPr>
              <w:spacing w:after="0" w:line="264" w:lineRule="auto"/>
            </w:pPr>
            <w:r>
              <w:rPr>
                <w:rFonts w:ascii="Times New Roman" w:hAnsi="Times New Roman"/>
                <w:color w:val="000000"/>
                <w:sz w:val="19"/>
              </w:rPr>
              <w:t>Faiman Convection Coeff</w:t>
            </w:r>
          </w:p>
        </w:tc>
        <w:tc>
          <w:tcPr>
            <w:tcW w:type="dxa" w:w="1872"/>
            <w:tcMar>
              <w:top w:w="100" w:type="dxa"/>
              <w:bottom w:w="100" w:type="dxa"/>
              <w:left w:w="120" w:type="dxa"/>
              <w:right w:w="120" w:type="dxa"/>
            </w:tcMar>
            <w:shd w:fill="F9F9F9"/>
          </w:tcPr>
          <w:p>
            <w:pPr>
              <w:spacing w:after="0" w:line="264" w:lineRule="auto"/>
            </w:pPr>
            <w:r>
              <w:rPr>
                <w:rFonts w:ascii="Times New Roman" w:hAnsi="Times New Roman"/>
                <w:color w:val="000000"/>
                <w:sz w:val="19"/>
              </w:rPr>
              <w:t>u0, u1</w:t>
            </w:r>
          </w:p>
        </w:tc>
        <w:tc>
          <w:tcPr>
            <w:tcW w:type="dxa" w:w="1872"/>
            <w:tcMar>
              <w:top w:w="100" w:type="dxa"/>
              <w:bottom w:w="100" w:type="dxa"/>
              <w:left w:w="120" w:type="dxa"/>
              <w:right w:w="120" w:type="dxa"/>
            </w:tcMar>
            <w:shd w:fill="F9F9F9"/>
          </w:tcPr>
          <w:p>
            <w:pPr>
              <w:spacing w:after="0" w:line="264" w:lineRule="auto"/>
            </w:pPr>
            <w:r>
              <w:rPr>
                <w:rFonts w:ascii="Times New Roman" w:hAnsi="Times New Roman"/>
                <w:color w:val="000000"/>
                <w:sz w:val="19"/>
              </w:rPr>
              <w:t>u0=29.0, u1=0.0</w:t>
            </w:r>
          </w:p>
        </w:tc>
        <w:tc>
          <w:tcPr>
            <w:tcW w:type="dxa" w:w="3456"/>
            <w:tcMar>
              <w:top w:w="100" w:type="dxa"/>
              <w:bottom w:w="100" w:type="dxa"/>
              <w:left w:w="120" w:type="dxa"/>
              <w:right w:w="120" w:type="dxa"/>
            </w:tcMar>
            <w:shd w:fill="F9F9F9"/>
          </w:tcPr>
          <w:p>
            <w:pPr>
              <w:spacing w:after="0" w:line="264" w:lineRule="auto"/>
            </w:pPr>
            <w:r>
              <w:rPr>
                <w:rFonts w:ascii="Times New Roman" w:hAnsi="Times New Roman"/>
                <w:color w:val="000000"/>
                <w:sz w:val="19"/>
              </w:rPr>
              <w:t>Sandia Faiman thermal model constants converting GTI and wind speed to cell temperature.</w:t>
            </w:r>
          </w:p>
        </w:tc>
      </w:tr>
      <w:tr>
        <w:tc>
          <w:tcPr>
            <w:tcW w:type="dxa" w:w="2592"/>
            <w:tcMar>
              <w:top w:w="100" w:type="dxa"/>
              <w:bottom w:w="100" w:type="dxa"/>
              <w:left w:w="120" w:type="dxa"/>
              <w:right w:w="120" w:type="dxa"/>
            </w:tcMar>
            <w:shd w:fill="FFFFFF"/>
          </w:tcPr>
          <w:p>
            <w:pPr>
              <w:spacing w:after="0" w:line="264" w:lineRule="auto"/>
            </w:pPr>
            <w:r>
              <w:rPr>
                <w:rFonts w:ascii="Times New Roman" w:hAnsi="Times New Roman"/>
                <w:color w:val="000000"/>
                <w:sz w:val="19"/>
              </w:rPr>
              <w:t>DA Gate Closure Time</w:t>
            </w:r>
          </w:p>
        </w:tc>
        <w:tc>
          <w:tcPr>
            <w:tcW w:type="dxa" w:w="1872"/>
            <w:tcMar>
              <w:top w:w="100" w:type="dxa"/>
              <w:bottom w:w="100" w:type="dxa"/>
              <w:left w:w="120" w:type="dxa"/>
              <w:right w:w="120" w:type="dxa"/>
            </w:tcMar>
            <w:shd w:fill="FFFFFF"/>
          </w:tcPr>
          <w:p>
            <w:pPr>
              <w:spacing w:after="0" w:line="264" w:lineRule="auto"/>
            </w:pPr>
            <w:r>
              <w:rPr>
                <w:rFonts w:ascii="Times New Roman" w:hAnsi="Times New Roman"/>
                <w:color w:val="000000"/>
                <w:sz w:val="19"/>
              </w:rPr>
              <w:t>T_gate_closure</w:t>
            </w:r>
          </w:p>
        </w:tc>
        <w:tc>
          <w:tcPr>
            <w:tcW w:type="dxa" w:w="1872"/>
            <w:tcMar>
              <w:top w:w="100" w:type="dxa"/>
              <w:bottom w:w="100" w:type="dxa"/>
              <w:left w:w="120" w:type="dxa"/>
              <w:right w:w="120" w:type="dxa"/>
            </w:tcMar>
            <w:shd w:fill="FFFFFF"/>
          </w:tcPr>
          <w:p>
            <w:pPr>
              <w:spacing w:after="0" w:line="264" w:lineRule="auto"/>
            </w:pPr>
            <w:r>
              <w:rPr>
                <w:rFonts w:ascii="Times New Roman" w:hAnsi="Times New Roman"/>
                <w:color w:val="000000"/>
                <w:sz w:val="19"/>
              </w:rPr>
              <w:t>10:00 AM / 12:00 PM IST</w:t>
            </w:r>
          </w:p>
        </w:tc>
        <w:tc>
          <w:tcPr>
            <w:tcW w:type="dxa" w:w="3456"/>
            <w:tcMar>
              <w:top w:w="100" w:type="dxa"/>
              <w:bottom w:w="100" w:type="dxa"/>
              <w:left w:w="120" w:type="dxa"/>
              <w:right w:w="120" w:type="dxa"/>
            </w:tcMar>
            <w:shd w:fill="FFFFFF"/>
          </w:tcPr>
          <w:p>
            <w:pPr>
              <w:spacing w:after="0" w:line="264" w:lineRule="auto"/>
            </w:pPr>
            <w:r>
              <w:rPr>
                <w:rFonts w:ascii="Times New Roman" w:hAnsi="Times New Roman"/>
                <w:color w:val="000000"/>
                <w:sz w:val="19"/>
              </w:rPr>
              <w:t>Statutory submission cut-off time on Day T for Day T+1 grid schedule.</w:t>
            </w:r>
          </w:p>
        </w:tc>
      </w:tr>
      <w:tr>
        <w:tc>
          <w:tcPr>
            <w:tcW w:type="dxa" w:w="2592"/>
            <w:tcMar>
              <w:top w:w="100" w:type="dxa"/>
              <w:bottom w:w="100" w:type="dxa"/>
              <w:left w:w="120" w:type="dxa"/>
              <w:right w:w="120" w:type="dxa"/>
            </w:tcMar>
            <w:shd w:fill="F9F9F9"/>
          </w:tcPr>
          <w:p>
            <w:pPr>
              <w:spacing w:after="0" w:line="264" w:lineRule="auto"/>
            </w:pPr>
            <w:r>
              <w:rPr>
                <w:rFonts w:ascii="Times New Roman" w:hAnsi="Times New Roman"/>
                <w:color w:val="000000"/>
                <w:sz w:val="19"/>
              </w:rPr>
              <w:t>DA Horizon Blocks</w:t>
            </w:r>
          </w:p>
        </w:tc>
        <w:tc>
          <w:tcPr>
            <w:tcW w:type="dxa" w:w="1872"/>
            <w:tcMar>
              <w:top w:w="100" w:type="dxa"/>
              <w:bottom w:w="100" w:type="dxa"/>
              <w:left w:w="120" w:type="dxa"/>
              <w:right w:w="120" w:type="dxa"/>
            </w:tcMar>
            <w:shd w:fill="F9F9F9"/>
          </w:tcPr>
          <w:p>
            <w:pPr>
              <w:spacing w:after="0" w:line="264" w:lineRule="auto"/>
            </w:pPr>
            <w:r>
              <w:rPr>
                <w:rFonts w:ascii="Times New Roman" w:hAnsi="Times New Roman"/>
                <w:color w:val="000000"/>
                <w:sz w:val="19"/>
              </w:rPr>
              <w:t>H_da</w:t>
            </w:r>
          </w:p>
        </w:tc>
        <w:tc>
          <w:tcPr>
            <w:tcW w:type="dxa" w:w="1872"/>
            <w:tcMar>
              <w:top w:w="100" w:type="dxa"/>
              <w:bottom w:w="100" w:type="dxa"/>
              <w:left w:w="120" w:type="dxa"/>
              <w:right w:w="120" w:type="dxa"/>
            </w:tcMar>
            <w:shd w:fill="F9F9F9"/>
          </w:tcPr>
          <w:p>
            <w:pPr>
              <w:spacing w:after="0" w:line="264" w:lineRule="auto"/>
            </w:pPr>
            <w:r>
              <w:rPr>
                <w:rFonts w:ascii="Times New Roman" w:hAnsi="Times New Roman"/>
                <w:color w:val="000000"/>
                <w:sz w:val="19"/>
              </w:rPr>
              <w:t>96 blocks (24 Hours)</w:t>
            </w:r>
          </w:p>
        </w:tc>
        <w:tc>
          <w:tcPr>
            <w:tcW w:type="dxa" w:w="3456"/>
            <w:tcMar>
              <w:top w:w="100" w:type="dxa"/>
              <w:bottom w:w="100" w:type="dxa"/>
              <w:left w:w="120" w:type="dxa"/>
              <w:right w:w="120" w:type="dxa"/>
            </w:tcMar>
            <w:shd w:fill="F9F9F9"/>
          </w:tcPr>
          <w:p>
            <w:pPr>
              <w:spacing w:after="0" w:line="264" w:lineRule="auto"/>
            </w:pPr>
            <w:r>
              <w:rPr>
                <w:rFonts w:ascii="Times New Roman" w:hAnsi="Times New Roman"/>
                <w:color w:val="000000"/>
                <w:sz w:val="19"/>
              </w:rPr>
              <w:t>Total 15-minute grid blocks optimized for Day T+1 (00:00 to 24:00 IST).</w:t>
            </w:r>
          </w:p>
        </w:tc>
      </w:tr>
      <w:tr>
        <w:tc>
          <w:tcPr>
            <w:tcW w:type="dxa" w:w="2592"/>
            <w:tcMar>
              <w:top w:w="100" w:type="dxa"/>
              <w:bottom w:w="100" w:type="dxa"/>
              <w:left w:w="120" w:type="dxa"/>
              <w:right w:w="120" w:type="dxa"/>
            </w:tcMar>
            <w:shd w:fill="FFFFFF"/>
          </w:tcPr>
          <w:p>
            <w:pPr>
              <w:spacing w:after="0" w:line="264" w:lineRule="auto"/>
            </w:pPr>
            <w:r>
              <w:rPr>
                <w:rFonts w:ascii="Times New Roman" w:hAnsi="Times New Roman"/>
                <w:color w:val="000000"/>
                <w:sz w:val="19"/>
              </w:rPr>
              <w:t>Forecast Lead Time</w:t>
            </w:r>
          </w:p>
        </w:tc>
        <w:tc>
          <w:tcPr>
            <w:tcW w:type="dxa" w:w="1872"/>
            <w:tcMar>
              <w:top w:w="100" w:type="dxa"/>
              <w:bottom w:w="100" w:type="dxa"/>
              <w:left w:w="120" w:type="dxa"/>
              <w:right w:w="120" w:type="dxa"/>
            </w:tcMar>
            <w:shd w:fill="FFFFFF"/>
          </w:tcPr>
          <w:p>
            <w:pPr>
              <w:spacing w:after="0" w:line="264" w:lineRule="auto"/>
            </w:pPr>
            <w:r>
              <w:rPr>
                <w:rFonts w:ascii="Times New Roman" w:hAnsi="Times New Roman"/>
                <w:color w:val="000000"/>
                <w:sz w:val="19"/>
              </w:rPr>
              <w:t>L_lead_time</w:t>
            </w:r>
          </w:p>
        </w:tc>
        <w:tc>
          <w:tcPr>
            <w:tcW w:type="dxa" w:w="1872"/>
            <w:tcMar>
              <w:top w:w="100" w:type="dxa"/>
              <w:bottom w:w="100" w:type="dxa"/>
              <w:left w:w="120" w:type="dxa"/>
              <w:right w:w="120" w:type="dxa"/>
            </w:tcMar>
            <w:shd w:fill="FFFFFF"/>
          </w:tcPr>
          <w:p>
            <w:pPr>
              <w:spacing w:after="0" w:line="264" w:lineRule="auto"/>
            </w:pPr>
            <w:r>
              <w:rPr>
                <w:rFonts w:ascii="Times New Roman" w:hAnsi="Times New Roman"/>
                <w:color w:val="000000"/>
                <w:sz w:val="19"/>
              </w:rPr>
              <w:t>24h - 48h Lead</w:t>
            </w:r>
          </w:p>
        </w:tc>
        <w:tc>
          <w:tcPr>
            <w:tcW w:type="dxa" w:w="3456"/>
            <w:tcMar>
              <w:top w:w="100" w:type="dxa"/>
              <w:bottom w:w="100" w:type="dxa"/>
              <w:left w:w="120" w:type="dxa"/>
              <w:right w:w="120" w:type="dxa"/>
            </w:tcMar>
            <w:shd w:fill="FFFFFF"/>
          </w:tcPr>
          <w:p>
            <w:pPr>
              <w:spacing w:after="0" w:line="264" w:lineRule="auto"/>
            </w:pPr>
            <w:r>
              <w:rPr>
                <w:rFonts w:ascii="Times New Roman" w:hAnsi="Times New Roman"/>
                <w:color w:val="000000"/>
                <w:sz w:val="19"/>
              </w:rPr>
              <w:t>Temporal lookahead window separating Day T submission from Day T+1 generation.</w:t>
            </w:r>
          </w:p>
        </w:tc>
      </w:tr>
      <w:tr>
        <w:tc>
          <w:tcPr>
            <w:tcW w:type="dxa" w:w="2592"/>
            <w:tcMar>
              <w:top w:w="100" w:type="dxa"/>
              <w:bottom w:w="100" w:type="dxa"/>
              <w:left w:w="120" w:type="dxa"/>
              <w:right w:w="120" w:type="dxa"/>
            </w:tcMar>
            <w:shd w:fill="F9F9F9"/>
          </w:tcPr>
          <w:p>
            <w:pPr>
              <w:spacing w:after="0" w:line="264" w:lineRule="auto"/>
            </w:pPr>
            <w:r>
              <w:rPr>
                <w:rFonts w:ascii="Times New Roman" w:hAnsi="Times New Roman"/>
                <w:color w:val="000000"/>
                <w:sz w:val="19"/>
              </w:rPr>
              <w:t>NWP Candidate Pool</w:t>
            </w:r>
          </w:p>
        </w:tc>
        <w:tc>
          <w:tcPr>
            <w:tcW w:type="dxa" w:w="1872"/>
            <w:tcMar>
              <w:top w:w="100" w:type="dxa"/>
              <w:bottom w:w="100" w:type="dxa"/>
              <w:left w:w="120" w:type="dxa"/>
              <w:right w:w="120" w:type="dxa"/>
            </w:tcMar>
            <w:shd w:fill="F9F9F9"/>
          </w:tcPr>
          <w:p>
            <w:pPr>
              <w:spacing w:after="0" w:line="264" w:lineRule="auto"/>
            </w:pPr>
            <w:r>
              <w:rPr>
                <w:rFonts w:ascii="Times New Roman" w:hAnsi="Times New Roman"/>
                <w:color w:val="000000"/>
                <w:sz w:val="19"/>
              </w:rPr>
              <w:t>N_nwp_members</w:t>
            </w:r>
          </w:p>
        </w:tc>
        <w:tc>
          <w:tcPr>
            <w:tcW w:type="dxa" w:w="1872"/>
            <w:tcMar>
              <w:top w:w="100" w:type="dxa"/>
              <w:bottom w:w="100" w:type="dxa"/>
              <w:left w:w="120" w:type="dxa"/>
              <w:right w:w="120" w:type="dxa"/>
            </w:tcMar>
            <w:shd w:fill="F9F9F9"/>
          </w:tcPr>
          <w:p>
            <w:pPr>
              <w:spacing w:after="0" w:line="264" w:lineRule="auto"/>
            </w:pPr>
            <w:r>
              <w:rPr>
                <w:rFonts w:ascii="Times New Roman" w:hAnsi="Times New Roman"/>
                <w:color w:val="000000"/>
                <w:sz w:val="19"/>
              </w:rPr>
              <w:t>143 Members</w:t>
            </w:r>
          </w:p>
        </w:tc>
        <w:tc>
          <w:tcPr>
            <w:tcW w:type="dxa" w:w="3456"/>
            <w:tcMar>
              <w:top w:w="100" w:type="dxa"/>
              <w:bottom w:w="100" w:type="dxa"/>
              <w:left w:w="120" w:type="dxa"/>
              <w:right w:w="120" w:type="dxa"/>
            </w:tcMar>
            <w:shd w:fill="F9F9F9"/>
          </w:tcPr>
          <w:p>
            <w:pPr>
              <w:spacing w:after="0" w:line="264" w:lineRule="auto"/>
            </w:pPr>
            <w:r>
              <w:rPr>
                <w:rFonts w:ascii="Times New Roman" w:hAnsi="Times New Roman"/>
                <w:color w:val="000000"/>
                <w:sz w:val="19"/>
              </w:rPr>
              <w:t>Total multi-agency ensemble model candidates (ECMWF, ICON, GFS, GEM).</w:t>
            </w:r>
          </w:p>
        </w:tc>
      </w:tr>
      <w:tr>
        <w:tc>
          <w:tcPr>
            <w:tcW w:type="dxa" w:w="2592"/>
            <w:tcMar>
              <w:top w:w="100" w:type="dxa"/>
              <w:bottom w:w="100" w:type="dxa"/>
              <w:left w:w="120" w:type="dxa"/>
              <w:right w:w="120" w:type="dxa"/>
            </w:tcMar>
            <w:shd w:fill="FFFFFF"/>
          </w:tcPr>
          <w:p>
            <w:pPr>
              <w:spacing w:after="0" w:line="264" w:lineRule="auto"/>
            </w:pPr>
            <w:r>
              <w:rPr>
                <w:rFonts w:ascii="Times New Roman" w:hAnsi="Times New Roman"/>
                <w:color w:val="000000"/>
                <w:sz w:val="19"/>
              </w:rPr>
              <w:t>Agency Diversity Cap</w:t>
            </w:r>
          </w:p>
        </w:tc>
        <w:tc>
          <w:tcPr>
            <w:tcW w:type="dxa" w:w="1872"/>
            <w:tcMar>
              <w:top w:w="100" w:type="dxa"/>
              <w:bottom w:w="100" w:type="dxa"/>
              <w:left w:w="120" w:type="dxa"/>
              <w:right w:w="120" w:type="dxa"/>
            </w:tcMar>
            <w:shd w:fill="FFFFFF"/>
          </w:tcPr>
          <w:p>
            <w:pPr>
              <w:spacing w:after="0" w:line="264" w:lineRule="auto"/>
            </w:pPr>
            <w:r>
              <w:rPr>
                <w:rFonts w:ascii="Times New Roman" w:hAnsi="Times New Roman"/>
                <w:color w:val="000000"/>
                <w:sz w:val="19"/>
              </w:rPr>
              <w:t>C_agency_cap</w:t>
            </w:r>
          </w:p>
        </w:tc>
        <w:tc>
          <w:tcPr>
            <w:tcW w:type="dxa" w:w="1872"/>
            <w:tcMar>
              <w:top w:w="100" w:type="dxa"/>
              <w:bottom w:w="100" w:type="dxa"/>
              <w:left w:w="120" w:type="dxa"/>
              <w:right w:w="120" w:type="dxa"/>
            </w:tcMar>
            <w:shd w:fill="FFFFFF"/>
          </w:tcPr>
          <w:p>
            <w:pPr>
              <w:spacing w:after="0" w:line="264" w:lineRule="auto"/>
            </w:pPr>
            <w:r>
              <w:rPr>
                <w:rFonts w:ascii="Times New Roman" w:hAnsi="Times New Roman"/>
                <w:color w:val="000000"/>
                <w:sz w:val="19"/>
              </w:rPr>
              <w:t>Max 2 / Agency</w:t>
            </w:r>
          </w:p>
        </w:tc>
        <w:tc>
          <w:tcPr>
            <w:tcW w:type="dxa" w:w="3456"/>
            <w:tcMar>
              <w:top w:w="100" w:type="dxa"/>
              <w:bottom w:w="100" w:type="dxa"/>
              <w:left w:w="120" w:type="dxa"/>
              <w:right w:w="120" w:type="dxa"/>
            </w:tcMar>
            <w:shd w:fill="FFFFFF"/>
          </w:tcPr>
          <w:p>
            <w:pPr>
              <w:spacing w:after="0" w:line="264" w:lineRule="auto"/>
            </w:pPr>
            <w:r>
              <w:rPr>
                <w:rFonts w:ascii="Times New Roman" w:hAnsi="Times New Roman"/>
                <w:color w:val="000000"/>
                <w:sz w:val="19"/>
              </w:rPr>
              <w:t>Maximum candidates selected per NWP family in a diurnal slot to enforce diversity.</w:t>
            </w:r>
          </w:p>
        </w:tc>
      </w:tr>
      <w:tr>
        <w:tc>
          <w:tcPr>
            <w:tcW w:type="dxa" w:w="2592"/>
            <w:tcMar>
              <w:top w:w="100" w:type="dxa"/>
              <w:bottom w:w="100" w:type="dxa"/>
              <w:left w:w="120" w:type="dxa"/>
              <w:right w:w="120" w:type="dxa"/>
            </w:tcMar>
            <w:shd w:fill="F9F9F9"/>
          </w:tcPr>
          <w:p>
            <w:pPr>
              <w:spacing w:after="0" w:line="264" w:lineRule="auto"/>
            </w:pPr>
            <w:r>
              <w:rPr>
                <w:rFonts w:ascii="Times New Roman" w:hAnsi="Times New Roman"/>
                <w:color w:val="000000"/>
                <w:sz w:val="19"/>
              </w:rPr>
              <w:t>Slot Champion Count</w:t>
            </w:r>
          </w:p>
        </w:tc>
        <w:tc>
          <w:tcPr>
            <w:tcW w:type="dxa" w:w="1872"/>
            <w:tcMar>
              <w:top w:w="100" w:type="dxa"/>
              <w:bottom w:w="100" w:type="dxa"/>
              <w:left w:w="120" w:type="dxa"/>
              <w:right w:w="120" w:type="dxa"/>
            </w:tcMar>
            <w:shd w:fill="F9F9F9"/>
          </w:tcPr>
          <w:p>
            <w:pPr>
              <w:spacing w:after="0" w:line="264" w:lineRule="auto"/>
            </w:pPr>
            <w:r>
              <w:rPr>
                <w:rFonts w:ascii="Times New Roman" w:hAnsi="Times New Roman"/>
                <w:color w:val="000000"/>
                <w:sz w:val="19"/>
              </w:rPr>
              <w:t>K_slot_champions</w:t>
            </w:r>
          </w:p>
        </w:tc>
        <w:tc>
          <w:tcPr>
            <w:tcW w:type="dxa" w:w="1872"/>
            <w:tcMar>
              <w:top w:w="100" w:type="dxa"/>
              <w:bottom w:w="100" w:type="dxa"/>
              <w:left w:w="120" w:type="dxa"/>
              <w:right w:w="120" w:type="dxa"/>
            </w:tcMar>
            <w:shd w:fill="F9F9F9"/>
          </w:tcPr>
          <w:p>
            <w:pPr>
              <w:spacing w:after="0" w:line="264" w:lineRule="auto"/>
            </w:pPr>
            <w:r>
              <w:rPr>
                <w:rFonts w:ascii="Times New Roman" w:hAnsi="Times New Roman"/>
                <w:color w:val="000000"/>
                <w:sz w:val="19"/>
              </w:rPr>
              <w:t>6 Models / Slot</w:t>
            </w:r>
          </w:p>
        </w:tc>
        <w:tc>
          <w:tcPr>
            <w:tcW w:type="dxa" w:w="3456"/>
            <w:tcMar>
              <w:top w:w="100" w:type="dxa"/>
              <w:bottom w:w="100" w:type="dxa"/>
              <w:left w:w="120" w:type="dxa"/>
              <w:right w:w="120" w:type="dxa"/>
            </w:tcMar>
            <w:shd w:fill="F9F9F9"/>
          </w:tcPr>
          <w:p>
            <w:pPr>
              <w:spacing w:after="0" w:line="264" w:lineRule="auto"/>
            </w:pPr>
            <w:r>
              <w:rPr>
                <w:rFonts w:ascii="Times New Roman" w:hAnsi="Times New Roman"/>
                <w:color w:val="000000"/>
                <w:sz w:val="19"/>
              </w:rPr>
              <w:t>Top ranked candidate models selected for Bayesian inverse-loss weighting.</w:t>
            </w:r>
          </w:p>
        </w:tc>
      </w:tr>
      <w:tr>
        <w:tc>
          <w:tcPr>
            <w:tcW w:type="dxa" w:w="2592"/>
            <w:tcMar>
              <w:top w:w="100" w:type="dxa"/>
              <w:bottom w:w="100" w:type="dxa"/>
              <w:left w:w="120" w:type="dxa"/>
              <w:right w:w="120" w:type="dxa"/>
            </w:tcMar>
            <w:shd w:fill="FFFFFF"/>
          </w:tcPr>
          <w:p>
            <w:pPr>
              <w:spacing w:after="0" w:line="264" w:lineRule="auto"/>
            </w:pPr>
            <w:r>
              <w:rPr>
                <w:rFonts w:ascii="Times New Roman" w:hAnsi="Times New Roman"/>
                <w:color w:val="000000"/>
                <w:sz w:val="19"/>
              </w:rPr>
              <w:t>LLM Sampling Temperature</w:t>
            </w:r>
          </w:p>
        </w:tc>
        <w:tc>
          <w:tcPr>
            <w:tcW w:type="dxa" w:w="1872"/>
            <w:tcMar>
              <w:top w:w="100" w:type="dxa"/>
              <w:bottom w:w="100" w:type="dxa"/>
              <w:left w:w="120" w:type="dxa"/>
              <w:right w:w="120" w:type="dxa"/>
            </w:tcMar>
            <w:shd w:fill="FFFFFF"/>
          </w:tcPr>
          <w:p>
            <w:pPr>
              <w:spacing w:after="0" w:line="264" w:lineRule="auto"/>
            </w:pPr>
            <w:r>
              <w:rPr>
                <w:rFonts w:ascii="Times New Roman" w:hAnsi="Times New Roman"/>
                <w:color w:val="000000"/>
                <w:sz w:val="19"/>
              </w:rPr>
              <w:t>T_llm</w:t>
            </w:r>
          </w:p>
        </w:tc>
        <w:tc>
          <w:tcPr>
            <w:tcW w:type="dxa" w:w="1872"/>
            <w:tcMar>
              <w:top w:w="100" w:type="dxa"/>
              <w:bottom w:w="100" w:type="dxa"/>
              <w:left w:w="120" w:type="dxa"/>
              <w:right w:w="120" w:type="dxa"/>
            </w:tcMar>
            <w:shd w:fill="FFFFFF"/>
          </w:tcPr>
          <w:p>
            <w:pPr>
              <w:spacing w:after="0" w:line="264" w:lineRule="auto"/>
            </w:pPr>
            <w:r>
              <w:rPr>
                <w:rFonts w:ascii="Times New Roman" w:hAnsi="Times New Roman"/>
                <w:color w:val="000000"/>
                <w:sz w:val="19"/>
              </w:rPr>
              <w:t>0.20</w:t>
            </w:r>
          </w:p>
        </w:tc>
        <w:tc>
          <w:tcPr>
            <w:tcW w:type="dxa" w:w="3456"/>
            <w:tcMar>
              <w:top w:w="100" w:type="dxa"/>
              <w:bottom w:w="100" w:type="dxa"/>
              <w:left w:w="120" w:type="dxa"/>
              <w:right w:w="120" w:type="dxa"/>
            </w:tcMar>
            <w:shd w:fill="FFFFFF"/>
          </w:tcPr>
          <w:p>
            <w:pPr>
              <w:spacing w:after="0" w:line="264" w:lineRule="auto"/>
            </w:pPr>
            <w:r>
              <w:rPr>
                <w:rFonts w:ascii="Times New Roman" w:hAnsi="Times New Roman"/>
                <w:color w:val="000000"/>
                <w:sz w:val="19"/>
              </w:rPr>
              <w:t>Sampling temperature for OpenRouter GPT-5.6 Luna to enforce deterministic reasoning.</w:t>
            </w:r>
          </w:p>
        </w:tc>
      </w:tr>
      <w:tr>
        <w:tc>
          <w:tcPr>
            <w:tcW w:type="dxa" w:w="2592"/>
            <w:tcMar>
              <w:top w:w="100" w:type="dxa"/>
              <w:bottom w:w="100" w:type="dxa"/>
              <w:left w:w="120" w:type="dxa"/>
              <w:right w:w="120" w:type="dxa"/>
            </w:tcMar>
            <w:shd w:fill="F9F9F9"/>
          </w:tcPr>
          <w:p>
            <w:pPr>
              <w:spacing w:after="0" w:line="264" w:lineRule="auto"/>
            </w:pPr>
            <w:r>
              <w:rPr>
                <w:rFonts w:ascii="Times New Roman" w:hAnsi="Times New Roman"/>
                <w:color w:val="000000"/>
                <w:sz w:val="19"/>
              </w:rPr>
              <w:t>LLM Foundation Model</w:t>
            </w:r>
          </w:p>
        </w:tc>
        <w:tc>
          <w:tcPr>
            <w:tcW w:type="dxa" w:w="1872"/>
            <w:tcMar>
              <w:top w:w="100" w:type="dxa"/>
              <w:bottom w:w="100" w:type="dxa"/>
              <w:left w:w="120" w:type="dxa"/>
              <w:right w:w="120" w:type="dxa"/>
            </w:tcMar>
            <w:shd w:fill="F9F9F9"/>
          </w:tcPr>
          <w:p>
            <w:pPr>
              <w:spacing w:after="0" w:line="264" w:lineRule="auto"/>
            </w:pPr>
            <w:r>
              <w:rPr>
                <w:rFonts w:ascii="Times New Roman" w:hAnsi="Times New Roman"/>
                <w:color w:val="000000"/>
                <w:sz w:val="19"/>
              </w:rPr>
              <w:t>Model_LLM</w:t>
            </w:r>
          </w:p>
        </w:tc>
        <w:tc>
          <w:tcPr>
            <w:tcW w:type="dxa" w:w="1872"/>
            <w:tcMar>
              <w:top w:w="100" w:type="dxa"/>
              <w:bottom w:w="100" w:type="dxa"/>
              <w:left w:w="120" w:type="dxa"/>
              <w:right w:w="120" w:type="dxa"/>
            </w:tcMar>
            <w:shd w:fill="F9F9F9"/>
          </w:tcPr>
          <w:p>
            <w:pPr>
              <w:spacing w:after="0" w:line="264" w:lineRule="auto"/>
            </w:pPr>
            <w:r>
              <w:rPr>
                <w:rFonts w:ascii="Times New Roman" w:hAnsi="Times New Roman"/>
                <w:color w:val="000000"/>
                <w:sz w:val="19"/>
              </w:rPr>
              <w:t>openai/gpt-5.6-luna</w:t>
            </w:r>
          </w:p>
        </w:tc>
        <w:tc>
          <w:tcPr>
            <w:tcW w:type="dxa" w:w="3456"/>
            <w:tcMar>
              <w:top w:w="100" w:type="dxa"/>
              <w:bottom w:w="100" w:type="dxa"/>
              <w:left w:w="120" w:type="dxa"/>
              <w:right w:w="120" w:type="dxa"/>
            </w:tcMar>
            <w:shd w:fill="F9F9F9"/>
          </w:tcPr>
          <w:p>
            <w:pPr>
              <w:spacing w:after="0" w:line="264" w:lineRule="auto"/>
            </w:pPr>
            <w:r>
              <w:rPr>
                <w:rFonts w:ascii="Times New Roman" w:hAnsi="Times New Roman"/>
                <w:color w:val="000000"/>
                <w:sz w:val="19"/>
              </w:rPr>
              <w:t>Strategic LLM arbiter model invoked via OpenRouter API Gateway for DA regime positioning.</w:t>
            </w:r>
          </w:p>
        </w:tc>
      </w:tr>
      <w:tr>
        <w:tc>
          <w:tcPr>
            <w:tcW w:type="dxa" w:w="2592"/>
            <w:tcMar>
              <w:top w:w="100" w:type="dxa"/>
              <w:bottom w:w="100" w:type="dxa"/>
              <w:left w:w="120" w:type="dxa"/>
              <w:right w:w="120" w:type="dxa"/>
            </w:tcMar>
            <w:shd w:fill="FFFFFF"/>
          </w:tcPr>
          <w:p>
            <w:pPr>
              <w:spacing w:after="0" w:line="264" w:lineRule="auto"/>
            </w:pPr>
            <w:r>
              <w:rPr>
                <w:rFonts w:ascii="Times New Roman" w:hAnsi="Times New Roman"/>
                <w:color w:val="000000"/>
                <w:sz w:val="19"/>
              </w:rPr>
              <w:t>API Retry Pool Size</w:t>
            </w:r>
          </w:p>
        </w:tc>
        <w:tc>
          <w:tcPr>
            <w:tcW w:type="dxa" w:w="1872"/>
            <w:tcMar>
              <w:top w:w="100" w:type="dxa"/>
              <w:bottom w:w="100" w:type="dxa"/>
              <w:left w:w="120" w:type="dxa"/>
              <w:right w:w="120" w:type="dxa"/>
            </w:tcMar>
            <w:shd w:fill="FFFFFF"/>
          </w:tcPr>
          <w:p>
            <w:pPr>
              <w:spacing w:after="0" w:line="264" w:lineRule="auto"/>
            </w:pPr>
            <w:r>
              <w:rPr>
                <w:rFonts w:ascii="Times New Roman" w:hAnsi="Times New Roman"/>
                <w:color w:val="000000"/>
                <w:sz w:val="19"/>
              </w:rPr>
              <w:t>N_key_retries</w:t>
            </w:r>
          </w:p>
        </w:tc>
        <w:tc>
          <w:tcPr>
            <w:tcW w:type="dxa" w:w="1872"/>
            <w:tcMar>
              <w:top w:w="100" w:type="dxa"/>
              <w:bottom w:w="100" w:type="dxa"/>
              <w:left w:w="120" w:type="dxa"/>
              <w:right w:w="120" w:type="dxa"/>
            </w:tcMar>
            <w:shd w:fill="FFFFFF"/>
          </w:tcPr>
          <w:p>
            <w:pPr>
              <w:spacing w:after="0" w:line="264" w:lineRule="auto"/>
            </w:pPr>
            <w:r>
              <w:rPr>
                <w:rFonts w:ascii="Times New Roman" w:hAnsi="Times New Roman"/>
                <w:color w:val="000000"/>
                <w:sz w:val="19"/>
              </w:rPr>
              <w:t>3 API Keys</w:t>
            </w:r>
          </w:p>
        </w:tc>
        <w:tc>
          <w:tcPr>
            <w:tcW w:type="dxa" w:w="3456"/>
            <w:tcMar>
              <w:top w:w="100" w:type="dxa"/>
              <w:bottom w:w="100" w:type="dxa"/>
              <w:left w:w="120" w:type="dxa"/>
              <w:right w:w="120" w:type="dxa"/>
            </w:tcMar>
            <w:shd w:fill="FFFFFF"/>
          </w:tcPr>
          <w:p>
            <w:pPr>
              <w:spacing w:after="0" w:line="264" w:lineRule="auto"/>
            </w:pPr>
            <w:r>
              <w:rPr>
                <w:rFonts w:ascii="Times New Roman" w:hAnsi="Times New Roman"/>
                <w:color w:val="000000"/>
                <w:sz w:val="19"/>
              </w:rPr>
              <w:t>Resilient multi-key rotation pool with exponential backoff on HTTP 429 / 503.</w:t>
            </w:r>
          </w:p>
        </w:tc>
      </w:tr>
    </w:tbl>
    <w:p>
      <w:pPr>
        <w:spacing w:after="240"/>
      </w:pPr>
    </w:p>
    <w:p>
      <w:pPr>
        <w:keepNext/>
        <w:spacing w:before="240" w:after="80"/>
      </w:pPr>
      <w:r>
        <w:rPr>
          <w:rFonts w:ascii="Times New Roman" w:hAnsi="Times New Roman"/>
          <w:b/>
          <w:color w:val="000000"/>
          <w:sz w:val="26"/>
        </w:rPr>
        <w:t>1.1 Plant Profile Information Usage Matrix across Intermediary Steps &amp; LLM Prompts</w:t>
      </w:r>
    </w:p>
    <w:p>
      <w:pPr>
        <w:spacing w:after="120"/>
      </w:pPr>
      <w:r>
        <w:rPr>
          <w:rFonts w:ascii="Times New Roman" w:hAnsi="Times New Roman"/>
          <w:color w:val="000000"/>
          <w:sz w:val="21"/>
        </w:rPr>
        <w:t>To ensure complete transparency and prevent illegal information leakage, the table below specifies exactly which plant profile attributes are consumed during intermediary computational physics steps versus which attributes are injected into the Master LLM Prompt:</w:t>
      </w:r>
    </w:p>
    <w:tbl>
      <w:tblPr>
        <w:tblW w:type="auto" w:w="0"/>
        <w:jc w:val="center"/>
        <w:tblLook w:firstColumn="1" w:firstRow="1" w:lastColumn="0" w:lastRow="0" w:noHBand="0" w:noVBand="1" w:val="04A0"/>
        <w:tblBorders>
          <w:top w:val="single" w:sz="6" w:space="0" w:color="666666"/>
          <w:left w:val="single" w:sz="6" w:space="0" w:color="666666"/>
          <w:bottom w:val="single" w:sz="6" w:space="0" w:color="666666"/>
          <w:right w:val="single" w:sz="6" w:space="0" w:color="666666"/>
          <w:insideH w:val="single" w:sz="4" w:space="0" w:color="666666"/>
          <w:insideV w:val="single" w:sz="4" w:space="0" w:color="666666"/>
        </w:tblBorders>
      </w:tblPr>
      <w:tblGrid>
        <w:gridCol w:w="2484"/>
        <w:gridCol w:w="2484"/>
        <w:gridCol w:w="2484"/>
        <w:gridCol w:w="2484"/>
      </w:tblGrid>
      <w:tr>
        <w:tc>
          <w:tcPr>
            <w:tcW w:type="dxa" w:w="2592"/>
            <w:tcMar>
              <w:top w:w="100" w:type="dxa"/>
              <w:bottom w:w="100" w:type="dxa"/>
              <w:left w:w="120" w:type="dxa"/>
              <w:right w:w="120" w:type="dxa"/>
            </w:tcMar>
            <w:shd w:fill="E6E6E6"/>
          </w:tcPr>
          <w:p>
            <w:pPr>
              <w:spacing w:after="0" w:line="264" w:lineRule="auto"/>
            </w:pPr>
            <w:r>
              <w:rPr>
                <w:rFonts w:ascii="Times New Roman" w:hAnsi="Times New Roman"/>
                <w:b/>
                <w:color w:val="000000"/>
                <w:sz w:val="18"/>
              </w:rPr>
              <w:t>Plant Profile Attribute</w:t>
            </w:r>
          </w:p>
        </w:tc>
        <w:tc>
          <w:tcPr>
            <w:tcW w:type="dxa" w:w="2592"/>
            <w:tcMar>
              <w:top w:w="100" w:type="dxa"/>
              <w:bottom w:w="100" w:type="dxa"/>
              <w:left w:w="120" w:type="dxa"/>
              <w:right w:w="120" w:type="dxa"/>
            </w:tcMar>
            <w:shd w:fill="E6E6E6"/>
          </w:tcPr>
          <w:p>
            <w:pPr>
              <w:spacing w:after="0" w:line="264" w:lineRule="auto"/>
            </w:pPr>
            <w:r>
              <w:rPr>
                <w:rFonts w:ascii="Times New Roman" w:hAnsi="Times New Roman"/>
                <w:b/>
                <w:color w:val="000000"/>
                <w:sz w:val="18"/>
              </w:rPr>
              <w:t>Intermediary Computation Step Usage</w:t>
            </w:r>
          </w:p>
        </w:tc>
        <w:tc>
          <w:tcPr>
            <w:tcW w:type="dxa" w:w="2160"/>
            <w:tcMar>
              <w:top w:w="100" w:type="dxa"/>
              <w:bottom w:w="100" w:type="dxa"/>
              <w:left w:w="120" w:type="dxa"/>
              <w:right w:w="120" w:type="dxa"/>
            </w:tcMar>
            <w:shd w:fill="E6E6E6"/>
          </w:tcPr>
          <w:p>
            <w:pPr>
              <w:spacing w:after="0" w:line="264" w:lineRule="auto"/>
            </w:pPr>
            <w:r>
              <w:rPr>
                <w:rFonts w:ascii="Times New Roman" w:hAnsi="Times New Roman"/>
                <w:b/>
                <w:color w:val="000000"/>
                <w:sz w:val="18"/>
              </w:rPr>
              <w:t>LLM Prompt Injection Usage</w:t>
            </w:r>
          </w:p>
        </w:tc>
        <w:tc>
          <w:tcPr>
            <w:tcW w:type="dxa" w:w="2448"/>
            <w:tcMar>
              <w:top w:w="100" w:type="dxa"/>
              <w:bottom w:w="100" w:type="dxa"/>
              <w:left w:w="120" w:type="dxa"/>
              <w:right w:w="120" w:type="dxa"/>
            </w:tcMar>
            <w:shd w:fill="E6E6E6"/>
          </w:tcPr>
          <w:p>
            <w:pPr>
              <w:spacing w:after="0" w:line="264" w:lineRule="auto"/>
            </w:pPr>
            <w:r>
              <w:rPr>
                <w:rFonts w:ascii="Times New Roman" w:hAnsi="Times New Roman"/>
                <w:b/>
                <w:color w:val="000000"/>
                <w:sz w:val="18"/>
              </w:rPr>
              <w:t>System Role &amp; Purpose</w:t>
            </w:r>
          </w:p>
        </w:tc>
      </w:tr>
      <w:tr>
        <w:tc>
          <w:tcPr>
            <w:tcW w:type="dxa" w:w="2592"/>
            <w:tcMar>
              <w:top w:w="100" w:type="dxa"/>
              <w:bottom w:w="100" w:type="dxa"/>
              <w:left w:w="120" w:type="dxa"/>
              <w:right w:w="120" w:type="dxa"/>
            </w:tcMar>
            <w:shd w:fill="F9F9F9"/>
          </w:tcPr>
          <w:p>
            <w:pPr>
              <w:spacing w:after="0" w:line="264" w:lineRule="auto"/>
            </w:pPr>
            <w:r>
              <w:rPr>
                <w:rFonts w:ascii="Times New Roman" w:hAnsi="Times New Roman"/>
                <w:color w:val="000000"/>
                <w:sz w:val="18"/>
              </w:rPr>
              <w:t>Plant Name &amp; Site ID</w:t>
            </w:r>
          </w:p>
        </w:tc>
        <w:tc>
          <w:tcPr>
            <w:tcW w:type="dxa" w:w="2592"/>
            <w:tcMar>
              <w:top w:w="100" w:type="dxa"/>
              <w:bottom w:w="100" w:type="dxa"/>
              <w:left w:w="120" w:type="dxa"/>
              <w:right w:w="120" w:type="dxa"/>
            </w:tcMar>
            <w:shd w:fill="F9F9F9"/>
          </w:tcPr>
          <w:p>
            <w:pPr>
              <w:spacing w:after="0" w:line="264" w:lineRule="auto"/>
            </w:pPr>
            <w:r>
              <w:rPr>
                <w:rFonts w:ascii="Times New Roman" w:hAnsi="Times New Roman"/>
                <w:color w:val="000000"/>
                <w:sz w:val="18"/>
              </w:rPr>
              <w:t>File naming &amp; S3 data path resolution</w:t>
            </w:r>
          </w:p>
        </w:tc>
        <w:tc>
          <w:tcPr>
            <w:tcW w:type="dxa" w:w="2160"/>
            <w:tcMar>
              <w:top w:w="100" w:type="dxa"/>
              <w:bottom w:w="100" w:type="dxa"/>
              <w:left w:w="120" w:type="dxa"/>
              <w:right w:w="120" w:type="dxa"/>
            </w:tcMar>
            <w:shd w:fill="F9F9F9"/>
          </w:tcPr>
          <w:p>
            <w:pPr>
              <w:spacing w:after="0" w:line="264" w:lineRule="auto"/>
            </w:pPr>
            <w:r>
              <w:rPr>
                <w:rFonts w:ascii="Times New Roman" w:hAnsi="Times New Roman"/>
                <w:color w:val="000000"/>
                <w:sz w:val="18"/>
              </w:rPr>
              <w:t>Injected in Prompt Header</w:t>
            </w:r>
          </w:p>
        </w:tc>
        <w:tc>
          <w:tcPr>
            <w:tcW w:type="dxa" w:w="2448"/>
            <w:tcMar>
              <w:top w:w="100" w:type="dxa"/>
              <w:bottom w:w="100" w:type="dxa"/>
              <w:left w:w="120" w:type="dxa"/>
              <w:right w:w="120" w:type="dxa"/>
            </w:tcMar>
            <w:shd w:fill="F9F9F9"/>
          </w:tcPr>
          <w:p>
            <w:pPr>
              <w:spacing w:after="0" w:line="264" w:lineRule="auto"/>
            </w:pPr>
            <w:r>
              <w:rPr>
                <w:rFonts w:ascii="Times New Roman" w:hAnsi="Times New Roman"/>
                <w:color w:val="000000"/>
                <w:sz w:val="18"/>
              </w:rPr>
              <w:t>Identifies target asset for logging and prompt context.</w:t>
            </w:r>
          </w:p>
        </w:tc>
      </w:tr>
      <w:tr>
        <w:tc>
          <w:tcPr>
            <w:tcW w:type="dxa" w:w="2592"/>
            <w:tcMar>
              <w:top w:w="100" w:type="dxa"/>
              <w:bottom w:w="100" w:type="dxa"/>
              <w:left w:w="120" w:type="dxa"/>
              <w:right w:w="120" w:type="dxa"/>
            </w:tcMar>
            <w:shd w:fill="FFFFFF"/>
          </w:tcPr>
          <w:p>
            <w:pPr>
              <w:spacing w:after="0" w:line="264" w:lineRule="auto"/>
            </w:pPr>
            <w:r>
              <w:rPr>
                <w:rFonts w:ascii="Times New Roman" w:hAnsi="Times New Roman"/>
                <w:color w:val="000000"/>
                <w:sz w:val="18"/>
              </w:rPr>
              <w:t>Latitude &amp; Longitude</w:t>
            </w:r>
          </w:p>
        </w:tc>
        <w:tc>
          <w:tcPr>
            <w:tcW w:type="dxa" w:w="2592"/>
            <w:tcMar>
              <w:top w:w="100" w:type="dxa"/>
              <w:bottom w:w="100" w:type="dxa"/>
              <w:left w:w="120" w:type="dxa"/>
              <w:right w:w="120" w:type="dxa"/>
            </w:tcMar>
            <w:shd w:fill="FFFFFF"/>
          </w:tcPr>
          <w:p>
            <w:pPr>
              <w:spacing w:after="0" w:line="264" w:lineRule="auto"/>
            </w:pPr>
            <w:r>
              <w:rPr>
                <w:rFonts w:ascii="Times New Roman" w:hAnsi="Times New Roman"/>
                <w:color w:val="000000"/>
                <w:sz w:val="18"/>
              </w:rPr>
              <w:t>Module 2: Solar zenith &amp; azimuth ephemeris</w:t>
            </w:r>
          </w:p>
        </w:tc>
        <w:tc>
          <w:tcPr>
            <w:tcW w:type="dxa" w:w="2160"/>
            <w:tcMar>
              <w:top w:w="100" w:type="dxa"/>
              <w:bottom w:w="100" w:type="dxa"/>
              <w:left w:w="120" w:type="dxa"/>
              <w:right w:w="120" w:type="dxa"/>
            </w:tcMar>
            <w:shd w:fill="FFFFFF"/>
          </w:tcPr>
          <w:p>
            <w:pPr>
              <w:spacing w:after="0" w:line="264" w:lineRule="auto"/>
            </w:pPr>
            <w:r>
              <w:rPr>
                <w:rFonts w:ascii="Times New Roman" w:hAnsi="Times New Roman"/>
                <w:color w:val="000000"/>
                <w:sz w:val="18"/>
              </w:rPr>
              <w:t>Excluded from LLM prompt</w:t>
            </w:r>
          </w:p>
        </w:tc>
        <w:tc>
          <w:tcPr>
            <w:tcW w:type="dxa" w:w="2448"/>
            <w:tcMar>
              <w:top w:w="100" w:type="dxa"/>
              <w:bottom w:w="100" w:type="dxa"/>
              <w:left w:w="120" w:type="dxa"/>
              <w:right w:w="120" w:type="dxa"/>
            </w:tcMar>
            <w:shd w:fill="FFFFFF"/>
          </w:tcPr>
          <w:p>
            <w:pPr>
              <w:spacing w:after="0" w:line="264" w:lineRule="auto"/>
            </w:pPr>
            <w:r>
              <w:rPr>
                <w:rFonts w:ascii="Times New Roman" w:hAnsi="Times New Roman"/>
                <w:color w:val="000000"/>
                <w:sz w:val="18"/>
              </w:rPr>
              <w:t>Used exclusively for NREL SPA astronomical ephemeris.</w:t>
            </w:r>
          </w:p>
        </w:tc>
      </w:tr>
      <w:tr>
        <w:tc>
          <w:tcPr>
            <w:tcW w:type="dxa" w:w="2592"/>
            <w:tcMar>
              <w:top w:w="100" w:type="dxa"/>
              <w:bottom w:w="100" w:type="dxa"/>
              <w:left w:w="120" w:type="dxa"/>
              <w:right w:w="120" w:type="dxa"/>
            </w:tcMar>
            <w:shd w:fill="F9F9F9"/>
          </w:tcPr>
          <w:p>
            <w:pPr>
              <w:spacing w:after="0" w:line="264" w:lineRule="auto"/>
            </w:pPr>
            <w:r>
              <w:rPr>
                <w:rFonts w:ascii="Times New Roman" w:hAnsi="Times New Roman"/>
                <w:color w:val="000000"/>
                <w:sz w:val="18"/>
              </w:rPr>
              <w:t>Barometric Altitude (z)</w:t>
            </w:r>
          </w:p>
        </w:tc>
        <w:tc>
          <w:tcPr>
            <w:tcW w:type="dxa" w:w="2592"/>
            <w:tcMar>
              <w:top w:w="100" w:type="dxa"/>
              <w:bottom w:w="100" w:type="dxa"/>
              <w:left w:w="120" w:type="dxa"/>
              <w:right w:w="120" w:type="dxa"/>
            </w:tcMar>
            <w:shd w:fill="F9F9F9"/>
          </w:tcPr>
          <w:p>
            <w:pPr>
              <w:spacing w:after="0" w:line="264" w:lineRule="auto"/>
            </w:pPr>
            <w:r>
              <w:rPr>
                <w:rFonts w:ascii="Times New Roman" w:hAnsi="Times New Roman"/>
                <w:color w:val="000000"/>
                <w:sz w:val="18"/>
              </w:rPr>
              <w:t>Module 2: Air mass &amp; Ineichen barometric pressure</w:t>
            </w:r>
          </w:p>
        </w:tc>
        <w:tc>
          <w:tcPr>
            <w:tcW w:type="dxa" w:w="2160"/>
            <w:tcMar>
              <w:top w:w="100" w:type="dxa"/>
              <w:bottom w:w="100" w:type="dxa"/>
              <w:left w:w="120" w:type="dxa"/>
              <w:right w:w="120" w:type="dxa"/>
            </w:tcMar>
            <w:shd w:fill="F9F9F9"/>
          </w:tcPr>
          <w:p>
            <w:pPr>
              <w:spacing w:after="0" w:line="264" w:lineRule="auto"/>
            </w:pPr>
            <w:r>
              <w:rPr>
                <w:rFonts w:ascii="Times New Roman" w:hAnsi="Times New Roman"/>
                <w:color w:val="000000"/>
                <w:sz w:val="18"/>
              </w:rPr>
              <w:t>Excluded from LLM prompt</w:t>
            </w:r>
          </w:p>
        </w:tc>
        <w:tc>
          <w:tcPr>
            <w:tcW w:type="dxa" w:w="2448"/>
            <w:tcMar>
              <w:top w:w="100" w:type="dxa"/>
              <w:bottom w:w="100" w:type="dxa"/>
              <w:left w:w="120" w:type="dxa"/>
              <w:right w:w="120" w:type="dxa"/>
            </w:tcMar>
            <w:shd w:fill="F9F9F9"/>
          </w:tcPr>
          <w:p>
            <w:pPr>
              <w:spacing w:after="0" w:line="264" w:lineRule="auto"/>
            </w:pPr>
            <w:r>
              <w:rPr>
                <w:rFonts w:ascii="Times New Roman" w:hAnsi="Times New Roman"/>
                <w:color w:val="000000"/>
                <w:sz w:val="18"/>
              </w:rPr>
              <w:t>Scales atmospheric path length for direct clear-sky irradiance.</w:t>
            </w:r>
          </w:p>
        </w:tc>
      </w:tr>
      <w:tr>
        <w:tc>
          <w:tcPr>
            <w:tcW w:type="dxa" w:w="2592"/>
            <w:tcMar>
              <w:top w:w="100" w:type="dxa"/>
              <w:bottom w:w="100" w:type="dxa"/>
              <w:left w:w="120" w:type="dxa"/>
              <w:right w:w="120" w:type="dxa"/>
            </w:tcMar>
            <w:shd w:fill="FFFFFF"/>
          </w:tcPr>
          <w:p>
            <w:pPr>
              <w:spacing w:after="0" w:line="264" w:lineRule="auto"/>
            </w:pPr>
            <w:r>
              <w:rPr>
                <w:rFonts w:ascii="Times New Roman" w:hAnsi="Times New Roman"/>
                <w:color w:val="000000"/>
                <w:sz w:val="18"/>
              </w:rPr>
              <w:t>Fixed Array Tilt (beta)</w:t>
            </w:r>
          </w:p>
        </w:tc>
        <w:tc>
          <w:tcPr>
            <w:tcW w:type="dxa" w:w="2592"/>
            <w:tcMar>
              <w:top w:w="100" w:type="dxa"/>
              <w:bottom w:w="100" w:type="dxa"/>
              <w:left w:w="120" w:type="dxa"/>
              <w:right w:w="120" w:type="dxa"/>
            </w:tcMar>
            <w:shd w:fill="FFFFFF"/>
          </w:tcPr>
          <w:p>
            <w:pPr>
              <w:spacing w:after="0" w:line="264" w:lineRule="auto"/>
            </w:pPr>
            <w:r>
              <w:rPr>
                <w:rFonts w:ascii="Times New Roman" w:hAnsi="Times New Roman"/>
                <w:color w:val="000000"/>
                <w:sz w:val="18"/>
              </w:rPr>
              <w:t>Module 2: Perez / Hay-Davies POA transposition</w:t>
            </w:r>
          </w:p>
        </w:tc>
        <w:tc>
          <w:tcPr>
            <w:tcW w:type="dxa" w:w="2160"/>
            <w:tcMar>
              <w:top w:w="100" w:type="dxa"/>
              <w:bottom w:w="100" w:type="dxa"/>
              <w:left w:w="120" w:type="dxa"/>
              <w:right w:w="120" w:type="dxa"/>
            </w:tcMar>
            <w:shd w:fill="FFFFFF"/>
          </w:tcPr>
          <w:p>
            <w:pPr>
              <w:spacing w:after="0" w:line="264" w:lineRule="auto"/>
            </w:pPr>
            <w:r>
              <w:rPr>
                <w:rFonts w:ascii="Times New Roman" w:hAnsi="Times New Roman"/>
                <w:color w:val="000000"/>
                <w:sz w:val="18"/>
              </w:rPr>
              <w:t>Excluded from LLM prompt</w:t>
            </w:r>
          </w:p>
        </w:tc>
        <w:tc>
          <w:tcPr>
            <w:tcW w:type="dxa" w:w="2448"/>
            <w:tcMar>
              <w:top w:w="100" w:type="dxa"/>
              <w:bottom w:w="100" w:type="dxa"/>
              <w:left w:w="120" w:type="dxa"/>
              <w:right w:w="120" w:type="dxa"/>
            </w:tcMar>
            <w:shd w:fill="FFFFFF"/>
          </w:tcPr>
          <w:p>
            <w:pPr>
              <w:spacing w:after="0" w:line="264" w:lineRule="auto"/>
            </w:pPr>
            <w:r>
              <w:rPr>
                <w:rFonts w:ascii="Times New Roman" w:hAnsi="Times New Roman"/>
                <w:color w:val="000000"/>
                <w:sz w:val="18"/>
              </w:rPr>
              <w:t>Transforms horizontal GHI to plane-of-array GTI.</w:t>
            </w:r>
          </w:p>
        </w:tc>
      </w:tr>
      <w:tr>
        <w:tc>
          <w:tcPr>
            <w:tcW w:type="dxa" w:w="2592"/>
            <w:tcMar>
              <w:top w:w="100" w:type="dxa"/>
              <w:bottom w:w="100" w:type="dxa"/>
              <w:left w:w="120" w:type="dxa"/>
              <w:right w:w="120" w:type="dxa"/>
            </w:tcMar>
            <w:shd w:fill="F9F9F9"/>
          </w:tcPr>
          <w:p>
            <w:pPr>
              <w:spacing w:after="0" w:line="264" w:lineRule="auto"/>
            </w:pPr>
            <w:r>
              <w:rPr>
                <w:rFonts w:ascii="Times New Roman" w:hAnsi="Times New Roman"/>
                <w:color w:val="000000"/>
                <w:sz w:val="18"/>
              </w:rPr>
              <w:t>Array Azimuth (gamma_m)</w:t>
            </w:r>
          </w:p>
        </w:tc>
        <w:tc>
          <w:tcPr>
            <w:tcW w:type="dxa" w:w="2592"/>
            <w:tcMar>
              <w:top w:w="100" w:type="dxa"/>
              <w:bottom w:w="100" w:type="dxa"/>
              <w:left w:w="120" w:type="dxa"/>
              <w:right w:w="120" w:type="dxa"/>
            </w:tcMar>
            <w:shd w:fill="F9F9F9"/>
          </w:tcPr>
          <w:p>
            <w:pPr>
              <w:spacing w:after="0" w:line="264" w:lineRule="auto"/>
            </w:pPr>
            <w:r>
              <w:rPr>
                <w:rFonts w:ascii="Times New Roman" w:hAnsi="Times New Roman"/>
                <w:color w:val="000000"/>
                <w:sz w:val="18"/>
              </w:rPr>
              <w:t>Module 2: Angle of incidence (AOI) calculation</w:t>
            </w:r>
          </w:p>
        </w:tc>
        <w:tc>
          <w:tcPr>
            <w:tcW w:type="dxa" w:w="2160"/>
            <w:tcMar>
              <w:top w:w="100" w:type="dxa"/>
              <w:bottom w:w="100" w:type="dxa"/>
              <w:left w:w="120" w:type="dxa"/>
              <w:right w:w="120" w:type="dxa"/>
            </w:tcMar>
            <w:shd w:fill="F9F9F9"/>
          </w:tcPr>
          <w:p>
            <w:pPr>
              <w:spacing w:after="0" w:line="264" w:lineRule="auto"/>
            </w:pPr>
            <w:r>
              <w:rPr>
                <w:rFonts w:ascii="Times New Roman" w:hAnsi="Times New Roman"/>
                <w:color w:val="000000"/>
                <w:sz w:val="18"/>
              </w:rPr>
              <w:t>Excluded from LLM prompt</w:t>
            </w:r>
          </w:p>
        </w:tc>
        <w:tc>
          <w:tcPr>
            <w:tcW w:type="dxa" w:w="2448"/>
            <w:tcMar>
              <w:top w:w="100" w:type="dxa"/>
              <w:bottom w:w="100" w:type="dxa"/>
              <w:left w:w="120" w:type="dxa"/>
              <w:right w:w="120" w:type="dxa"/>
            </w:tcMar>
            <w:shd w:fill="F9F9F9"/>
          </w:tcPr>
          <w:p>
            <w:pPr>
              <w:spacing w:after="0" w:line="264" w:lineRule="auto"/>
            </w:pPr>
            <w:r>
              <w:rPr>
                <w:rFonts w:ascii="Times New Roman" w:hAnsi="Times New Roman"/>
                <w:color w:val="000000"/>
                <w:sz w:val="18"/>
              </w:rPr>
              <w:t>Determines sun-facing panel orientation relative to South.</w:t>
            </w:r>
          </w:p>
        </w:tc>
      </w:tr>
      <w:tr>
        <w:tc>
          <w:tcPr>
            <w:tcW w:type="dxa" w:w="2592"/>
            <w:tcMar>
              <w:top w:w="100" w:type="dxa"/>
              <w:bottom w:w="100" w:type="dxa"/>
              <w:left w:w="120" w:type="dxa"/>
              <w:right w:w="120" w:type="dxa"/>
            </w:tcMar>
            <w:shd w:fill="FFFFFF"/>
          </w:tcPr>
          <w:p>
            <w:pPr>
              <w:spacing w:after="0" w:line="264" w:lineRule="auto"/>
            </w:pPr>
            <w:r>
              <w:rPr>
                <w:rFonts w:ascii="Times New Roman" w:hAnsi="Times New Roman"/>
                <w:color w:val="000000"/>
                <w:sz w:val="18"/>
              </w:rPr>
              <w:t>DC Installed Capacity (P_DC)</w:t>
            </w:r>
          </w:p>
        </w:tc>
        <w:tc>
          <w:tcPr>
            <w:tcW w:type="dxa" w:w="2592"/>
            <w:tcMar>
              <w:top w:w="100" w:type="dxa"/>
              <w:bottom w:w="100" w:type="dxa"/>
              <w:left w:w="120" w:type="dxa"/>
              <w:right w:w="120" w:type="dxa"/>
            </w:tcMar>
            <w:shd w:fill="FFFFFF"/>
          </w:tcPr>
          <w:p>
            <w:pPr>
              <w:spacing w:after="0" w:line="264" w:lineRule="auto"/>
            </w:pPr>
            <w:r>
              <w:rPr>
                <w:rFonts w:ascii="Times New Roman" w:hAnsi="Times New Roman"/>
                <w:color w:val="000000"/>
                <w:sz w:val="18"/>
              </w:rPr>
              <w:t>Module 4: DC array power simulation</w:t>
            </w:r>
          </w:p>
        </w:tc>
        <w:tc>
          <w:tcPr>
            <w:tcW w:type="dxa" w:w="2160"/>
            <w:tcMar>
              <w:top w:w="100" w:type="dxa"/>
              <w:bottom w:w="100" w:type="dxa"/>
              <w:left w:w="120" w:type="dxa"/>
              <w:right w:w="120" w:type="dxa"/>
            </w:tcMar>
            <w:shd w:fill="FFFFFF"/>
          </w:tcPr>
          <w:p>
            <w:pPr>
              <w:spacing w:after="0" w:line="264" w:lineRule="auto"/>
            </w:pPr>
            <w:r>
              <w:rPr>
                <w:rFonts w:ascii="Times New Roman" w:hAnsi="Times New Roman"/>
                <w:color w:val="000000"/>
                <w:sz w:val="18"/>
              </w:rPr>
              <w:t>Injected in SECTION 1 System Constraints</w:t>
            </w:r>
          </w:p>
        </w:tc>
        <w:tc>
          <w:tcPr>
            <w:tcW w:type="dxa" w:w="2448"/>
            <w:tcMar>
              <w:top w:w="100" w:type="dxa"/>
              <w:bottom w:w="100" w:type="dxa"/>
              <w:left w:w="120" w:type="dxa"/>
              <w:right w:w="120" w:type="dxa"/>
            </w:tcMar>
            <w:shd w:fill="FFFFFF"/>
          </w:tcPr>
          <w:p>
            <w:pPr>
              <w:spacing w:after="0" w:line="264" w:lineRule="auto"/>
            </w:pPr>
            <w:r>
              <w:rPr>
                <w:rFonts w:ascii="Times New Roman" w:hAnsi="Times New Roman"/>
                <w:color w:val="000000"/>
                <w:sz w:val="18"/>
              </w:rPr>
              <w:t>Defines total DC STC nameplate rating for array output.</w:t>
            </w:r>
          </w:p>
        </w:tc>
      </w:tr>
      <w:tr>
        <w:tc>
          <w:tcPr>
            <w:tcW w:type="dxa" w:w="2592"/>
            <w:tcMar>
              <w:top w:w="100" w:type="dxa"/>
              <w:bottom w:w="100" w:type="dxa"/>
              <w:left w:w="120" w:type="dxa"/>
              <w:right w:w="120" w:type="dxa"/>
            </w:tcMar>
            <w:shd w:fill="F9F9F9"/>
          </w:tcPr>
          <w:p>
            <w:pPr>
              <w:spacing w:after="0" w:line="264" w:lineRule="auto"/>
            </w:pPr>
            <w:r>
              <w:rPr>
                <w:rFonts w:ascii="Times New Roman" w:hAnsi="Times New Roman"/>
                <w:color w:val="000000"/>
                <w:sz w:val="18"/>
              </w:rPr>
              <w:t>AC Interconnect Capacity (P_AC)</w:t>
            </w:r>
          </w:p>
        </w:tc>
        <w:tc>
          <w:tcPr>
            <w:tcW w:type="dxa" w:w="2592"/>
            <w:tcMar>
              <w:top w:w="100" w:type="dxa"/>
              <w:bottom w:w="100" w:type="dxa"/>
              <w:left w:w="120" w:type="dxa"/>
              <w:right w:w="120" w:type="dxa"/>
            </w:tcMar>
            <w:shd w:fill="F9F9F9"/>
          </w:tcPr>
          <w:p>
            <w:pPr>
              <w:spacing w:after="0" w:line="264" w:lineRule="auto"/>
            </w:pPr>
            <w:r>
              <w:rPr>
                <w:rFonts w:ascii="Times New Roman" w:hAnsi="Times New Roman"/>
                <w:color w:val="000000"/>
                <w:sz w:val="18"/>
              </w:rPr>
              <w:t>Module 4, 6, 9: Inverter clipping &amp; guardrails</w:t>
            </w:r>
          </w:p>
        </w:tc>
        <w:tc>
          <w:tcPr>
            <w:tcW w:type="dxa" w:w="2160"/>
            <w:tcMar>
              <w:top w:w="100" w:type="dxa"/>
              <w:bottom w:w="100" w:type="dxa"/>
              <w:left w:w="120" w:type="dxa"/>
              <w:right w:w="120" w:type="dxa"/>
            </w:tcMar>
            <w:shd w:fill="F9F9F9"/>
          </w:tcPr>
          <w:p>
            <w:pPr>
              <w:spacing w:after="0" w:line="264" w:lineRule="auto"/>
            </w:pPr>
            <w:r>
              <w:rPr>
                <w:rFonts w:ascii="Times New Roman" w:hAnsi="Times New Roman"/>
                <w:color w:val="000000"/>
                <w:sz w:val="18"/>
              </w:rPr>
              <w:t>Injected in SECTION 1 System Constraints</w:t>
            </w:r>
          </w:p>
        </w:tc>
        <w:tc>
          <w:tcPr>
            <w:tcW w:type="dxa" w:w="2448"/>
            <w:tcMar>
              <w:top w:w="100" w:type="dxa"/>
              <w:bottom w:w="100" w:type="dxa"/>
              <w:left w:w="120" w:type="dxa"/>
              <w:right w:w="120" w:type="dxa"/>
            </w:tcMar>
            <w:shd w:fill="F9F9F9"/>
          </w:tcPr>
          <w:p>
            <w:pPr>
              <w:spacing w:after="0" w:line="264" w:lineRule="auto"/>
            </w:pPr>
            <w:r>
              <w:rPr>
                <w:rFonts w:ascii="Times New Roman" w:hAnsi="Times New Roman"/>
                <w:color w:val="000000"/>
                <w:sz w:val="18"/>
              </w:rPr>
              <w:t>Hard upper bound for active grid power export.</w:t>
            </w:r>
          </w:p>
        </w:tc>
      </w:tr>
      <w:tr>
        <w:tc>
          <w:tcPr>
            <w:tcW w:type="dxa" w:w="2592"/>
            <w:tcMar>
              <w:top w:w="100" w:type="dxa"/>
              <w:bottom w:w="100" w:type="dxa"/>
              <w:left w:w="120" w:type="dxa"/>
              <w:right w:w="120" w:type="dxa"/>
            </w:tcMar>
            <w:shd w:fill="FFFFFF"/>
          </w:tcPr>
          <w:p>
            <w:pPr>
              <w:spacing w:after="0" w:line="264" w:lineRule="auto"/>
            </w:pPr>
            <w:r>
              <w:rPr>
                <w:rFonts w:ascii="Times New Roman" w:hAnsi="Times New Roman"/>
                <w:color w:val="000000"/>
                <w:sz w:val="18"/>
              </w:rPr>
              <w:t>DC/AC Transfer Ratio</w:t>
            </w:r>
          </w:p>
        </w:tc>
        <w:tc>
          <w:tcPr>
            <w:tcW w:type="dxa" w:w="2592"/>
            <w:tcMar>
              <w:top w:w="100" w:type="dxa"/>
              <w:bottom w:w="100" w:type="dxa"/>
              <w:left w:w="120" w:type="dxa"/>
              <w:right w:w="120" w:type="dxa"/>
            </w:tcMar>
            <w:shd w:fill="FFFFFF"/>
          </w:tcPr>
          <w:p>
            <w:pPr>
              <w:spacing w:after="0" w:line="264" w:lineRule="auto"/>
            </w:pPr>
            <w:r>
              <w:rPr>
                <w:rFonts w:ascii="Times New Roman" w:hAnsi="Times New Roman"/>
                <w:color w:val="000000"/>
                <w:sz w:val="18"/>
              </w:rPr>
              <w:t>Module 4: Inverter conversion efficiency</w:t>
            </w:r>
          </w:p>
        </w:tc>
        <w:tc>
          <w:tcPr>
            <w:tcW w:type="dxa" w:w="2160"/>
            <w:tcMar>
              <w:top w:w="100" w:type="dxa"/>
              <w:bottom w:w="100" w:type="dxa"/>
              <w:left w:w="120" w:type="dxa"/>
              <w:right w:w="120" w:type="dxa"/>
            </w:tcMar>
            <w:shd w:fill="FFFFFF"/>
          </w:tcPr>
          <w:p>
            <w:pPr>
              <w:spacing w:after="0" w:line="264" w:lineRule="auto"/>
            </w:pPr>
            <w:r>
              <w:rPr>
                <w:rFonts w:ascii="Times New Roman" w:hAnsi="Times New Roman"/>
                <w:color w:val="000000"/>
                <w:sz w:val="18"/>
              </w:rPr>
              <w:t>Injected in SECTION 1 System Constraints</w:t>
            </w:r>
          </w:p>
        </w:tc>
        <w:tc>
          <w:tcPr>
            <w:tcW w:type="dxa" w:w="2448"/>
            <w:tcMar>
              <w:top w:w="100" w:type="dxa"/>
              <w:bottom w:w="100" w:type="dxa"/>
              <w:left w:w="120" w:type="dxa"/>
              <w:right w:w="120" w:type="dxa"/>
            </w:tcMar>
            <w:shd w:fill="FFFFFF"/>
          </w:tcPr>
          <w:p>
            <w:pPr>
              <w:spacing w:after="0" w:line="264" w:lineRule="auto"/>
            </w:pPr>
            <w:r>
              <w:rPr>
                <w:rFonts w:ascii="Times New Roman" w:hAnsi="Times New Roman"/>
                <w:color w:val="000000"/>
                <w:sz w:val="18"/>
              </w:rPr>
              <w:t>DC-to-AC conversion scaling factor (P_AC / P_DC).</w:t>
            </w:r>
          </w:p>
        </w:tc>
      </w:tr>
      <w:tr>
        <w:tc>
          <w:tcPr>
            <w:tcW w:type="dxa" w:w="2592"/>
            <w:tcMar>
              <w:top w:w="100" w:type="dxa"/>
              <w:bottom w:w="100" w:type="dxa"/>
              <w:left w:w="120" w:type="dxa"/>
              <w:right w:w="120" w:type="dxa"/>
            </w:tcMar>
            <w:shd w:fill="F9F9F9"/>
          </w:tcPr>
          <w:p>
            <w:pPr>
              <w:spacing w:after="0" w:line="264" w:lineRule="auto"/>
            </w:pPr>
            <w:r>
              <w:rPr>
                <w:rFonts w:ascii="Times New Roman" w:hAnsi="Times New Roman"/>
                <w:color w:val="000000"/>
                <w:sz w:val="18"/>
              </w:rPr>
              <w:t>Monthly Linke Turbidity (T_L)</w:t>
            </w:r>
          </w:p>
        </w:tc>
        <w:tc>
          <w:tcPr>
            <w:tcW w:type="dxa" w:w="2592"/>
            <w:tcMar>
              <w:top w:w="100" w:type="dxa"/>
              <w:bottom w:w="100" w:type="dxa"/>
              <w:left w:w="120" w:type="dxa"/>
              <w:right w:w="120" w:type="dxa"/>
            </w:tcMar>
            <w:shd w:fill="F9F9F9"/>
          </w:tcPr>
          <w:p>
            <w:pPr>
              <w:spacing w:after="0" w:line="264" w:lineRule="auto"/>
            </w:pPr>
            <w:r>
              <w:rPr>
                <w:rFonts w:ascii="Times New Roman" w:hAnsi="Times New Roman"/>
                <w:color w:val="000000"/>
                <w:sz w:val="18"/>
              </w:rPr>
              <w:t>Module 2: Ineichen clear-sky radiation attenuation</w:t>
            </w:r>
          </w:p>
        </w:tc>
        <w:tc>
          <w:tcPr>
            <w:tcW w:type="dxa" w:w="2160"/>
            <w:tcMar>
              <w:top w:w="100" w:type="dxa"/>
              <w:bottom w:w="100" w:type="dxa"/>
              <w:left w:w="120" w:type="dxa"/>
              <w:right w:w="120" w:type="dxa"/>
            </w:tcMar>
            <w:shd w:fill="F9F9F9"/>
          </w:tcPr>
          <w:p>
            <w:pPr>
              <w:spacing w:after="0" w:line="264" w:lineRule="auto"/>
            </w:pPr>
            <w:r>
              <w:rPr>
                <w:rFonts w:ascii="Times New Roman" w:hAnsi="Times New Roman"/>
                <w:color w:val="000000"/>
                <w:sz w:val="18"/>
              </w:rPr>
              <w:t>Excluded from LLM prompt</w:t>
            </w:r>
          </w:p>
        </w:tc>
        <w:tc>
          <w:tcPr>
            <w:tcW w:type="dxa" w:w="2448"/>
            <w:tcMar>
              <w:top w:w="100" w:type="dxa"/>
              <w:bottom w:w="100" w:type="dxa"/>
              <w:left w:w="120" w:type="dxa"/>
              <w:right w:w="120" w:type="dxa"/>
            </w:tcMar>
            <w:shd w:fill="F9F9F9"/>
          </w:tcPr>
          <w:p>
            <w:pPr>
              <w:spacing w:after="0" w:line="264" w:lineRule="auto"/>
            </w:pPr>
            <w:r>
              <w:rPr>
                <w:rFonts w:ascii="Times New Roman" w:hAnsi="Times New Roman"/>
                <w:color w:val="000000"/>
                <w:sz w:val="18"/>
              </w:rPr>
              <w:t>Quantifies aerosol and water vapor clear-sky absorption.</w:t>
            </w:r>
          </w:p>
        </w:tc>
      </w:tr>
      <w:tr>
        <w:tc>
          <w:tcPr>
            <w:tcW w:type="dxa" w:w="2592"/>
            <w:tcMar>
              <w:top w:w="100" w:type="dxa"/>
              <w:bottom w:w="100" w:type="dxa"/>
              <w:left w:w="120" w:type="dxa"/>
              <w:right w:w="120" w:type="dxa"/>
            </w:tcMar>
            <w:shd w:fill="FFFFFF"/>
          </w:tcPr>
          <w:p>
            <w:pPr>
              <w:spacing w:after="0" w:line="264" w:lineRule="auto"/>
            </w:pPr>
            <w:r>
              <w:rPr>
                <w:rFonts w:ascii="Times New Roman" w:hAnsi="Times New Roman"/>
                <w:color w:val="000000"/>
                <w:sz w:val="18"/>
              </w:rPr>
              <w:t>Inverter Outage Schedule</w:t>
            </w:r>
          </w:p>
        </w:tc>
        <w:tc>
          <w:tcPr>
            <w:tcW w:type="dxa" w:w="2592"/>
            <w:tcMar>
              <w:top w:w="100" w:type="dxa"/>
              <w:bottom w:w="100" w:type="dxa"/>
              <w:left w:w="120" w:type="dxa"/>
              <w:right w:w="120" w:type="dxa"/>
            </w:tcMar>
            <w:shd w:fill="FFFFFF"/>
          </w:tcPr>
          <w:p>
            <w:pPr>
              <w:spacing w:after="0" w:line="264" w:lineRule="auto"/>
            </w:pPr>
            <w:r>
              <w:rPr>
                <w:rFonts w:ascii="Times New Roman" w:hAnsi="Times New Roman"/>
                <w:color w:val="000000"/>
                <w:sz w:val="18"/>
              </w:rPr>
              <w:t>Module 6: Active capacity envelope P_avail(b)</w:t>
            </w:r>
          </w:p>
        </w:tc>
        <w:tc>
          <w:tcPr>
            <w:tcW w:type="dxa" w:w="2160"/>
            <w:tcMar>
              <w:top w:w="100" w:type="dxa"/>
              <w:bottom w:w="100" w:type="dxa"/>
              <w:left w:w="120" w:type="dxa"/>
              <w:right w:w="120" w:type="dxa"/>
            </w:tcMar>
            <w:shd w:fill="FFFFFF"/>
          </w:tcPr>
          <w:p>
            <w:pPr>
              <w:spacing w:after="0" w:line="264" w:lineRule="auto"/>
            </w:pPr>
            <w:r>
              <w:rPr>
                <w:rFonts w:ascii="Times New Roman" w:hAnsi="Times New Roman"/>
                <w:color w:val="000000"/>
                <w:sz w:val="18"/>
              </w:rPr>
              <w:t>Injected as Active Capacity Ceiling</w:t>
            </w:r>
          </w:p>
        </w:tc>
        <w:tc>
          <w:tcPr>
            <w:tcW w:type="dxa" w:w="2448"/>
            <w:tcMar>
              <w:top w:w="100" w:type="dxa"/>
              <w:bottom w:w="100" w:type="dxa"/>
              <w:left w:w="120" w:type="dxa"/>
              <w:right w:w="120" w:type="dxa"/>
            </w:tcMar>
            <w:shd w:fill="FFFFFF"/>
          </w:tcPr>
          <w:p>
            <w:pPr>
              <w:spacing w:after="0" w:line="264" w:lineRule="auto"/>
            </w:pPr>
            <w:r>
              <w:rPr>
                <w:rFonts w:ascii="Times New Roman" w:hAnsi="Times New Roman"/>
                <w:color w:val="000000"/>
                <w:sz w:val="18"/>
              </w:rPr>
              <w:t>Derates export capacity based on hardware maintenance.</w:t>
            </w:r>
          </w:p>
        </w:tc>
      </w:tr>
    </w:tbl>
    <w:p>
      <w:pPr>
        <w:spacing w:after="240"/>
      </w:pPr>
    </w:p>
    <w:p>
      <w:pPr>
        <w:keepNext/>
        <w:spacing w:before="320" w:after="120"/>
      </w:pPr>
      <w:r>
        <w:rPr>
          <w:rFonts w:ascii="Times New Roman" w:hAnsi="Times New Roman"/>
          <w:b/>
          <w:color w:val="000000"/>
          <w:sz w:val="32"/>
        </w:rPr>
        <w:t>2. End-to-End System Execution Flow &amp; Dynamic IST Date Resolution</w:t>
      </w:r>
    </w:p>
    <w:p>
      <w:pPr>
        <w:spacing w:after="160" w:line="276" w:lineRule="auto"/>
      </w:pPr>
      <w:r>
        <w:rPr>
          <w:rFonts w:ascii="Times New Roman" w:hAnsi="Times New Roman"/>
          <w:color w:val="000000"/>
          <w:sz w:val="21"/>
        </w:rPr>
        <w:t>Whenever the Day-Ahead Solar Generation Forecasting Engine is executed for any plant at any timestamp, it dynamically resolves the current local date in timezone Asia/Kolkata (D_today). Based on D_today, it sets the target forecast date strictly to D_target = D_today + 1 day (Day T+1, 96 blocks from 00:00 to 24:00 IST) and fetches weather ensemble feeds specifically for D_target. The complete 10-step sequential low-level algorithmic pipeline is detailed below:</w:t>
      </w:r>
    </w:p>
    <w:p>
      <w:pPr>
        <w:pStyle w:val="ListBullet"/>
        <w:spacing w:before="40" w:after="80" w:line="276" w:lineRule="auto"/>
      </w:pPr>
      <w:r>
        <w:rPr>
          <w:rFonts w:ascii="Times New Roman" w:hAnsi="Times New Roman"/>
          <w:b/>
          <w:color w:val="000000"/>
          <w:sz w:val="21"/>
        </w:rPr>
        <w:t xml:space="preserve">Step 1: Dynamic IST Execution &amp; Target Date Resolution (08:30 AM IST Gate): </w:t>
      </w:r>
      <w:r>
        <w:rPr>
          <w:rFonts w:ascii="Times New Roman" w:hAnsi="Times New Roman"/>
          <w:color w:val="000000"/>
          <w:sz w:val="21"/>
        </w:rPr>
        <w:t>Resolve system execution timestamp in timezone Asia/Kolkata: T_now = datetime.now(timezone('Asia/Kolkata')). Set D_today = T_now.date(). Automatically compute target Day-Ahead forecast date: D_target = D_today + timedelta(days=1). Ingest plant hardware profile parameters. Query Open-Meteo High-Bandwidth API for target date D_target specifically; download 00Z/06Z runs for all 143 ensemble candidates (m = 1..143) for hourly vectors [GHI_m(H), DNI_m(H), DHI_m(H), T_air_m(H), wind_10m_m(H), cloud_cover_m(H)] for H in [0..23]. Query AWS S3 data lake path s3://{S3_BUCKET}/raw/vedanjay/{site_id}/scada_actuals/ to retrieve 7-day historical SCADA actual generation matrix A(d, b) for past days d in [D_today-7 .. D_today-1] and b in [1..96].</w:t>
      </w:r>
    </w:p>
    <w:p>
      <w:pPr>
        <w:pStyle w:val="ListBullet"/>
        <w:spacing w:before="40" w:after="80" w:line="276" w:lineRule="auto"/>
      </w:pPr>
      <w:r>
        <w:rPr>
          <w:rFonts w:ascii="Times New Roman" w:hAnsi="Times New Roman"/>
          <w:b/>
          <w:color w:val="000000"/>
          <w:sz w:val="21"/>
        </w:rPr>
        <w:t xml:space="preserve">Step 2: NREL SPA Solar Position Ephemeris &amp; Ineichen Clear-Sky POA Transposition: </w:t>
      </w:r>
      <w:r>
        <w:rPr>
          <w:rFonts w:ascii="Times New Roman" w:hAnsi="Times New Roman"/>
          <w:color w:val="000000"/>
          <w:sz w:val="21"/>
        </w:rPr>
        <w:t>FOR each 15-minute midpoint block b in [1..96] of target date D_target (timestamp t_b): evaluate solar zenith angle theta_z(b), solar azimuth gamma_s(b), and solar elevation alpha(b) = 90° - theta_z(b) via NREL Solar Position Algorithm (SPA). Calculate relative air mass AM(b) and barometric altitude correction AM_corr(b) = AM(b) * (P_baro(z) / 101325). Compute Ineichen Clear-Sky Irradiance Triplet: DNI_cs(b) = b0 * I0 * exp(-0.09 * AM_corr * (T_L - 1)), GHI_cs(b) = DNI_cs(b) * cos(theta_z) + DHI_cs(b). Compute Angle of Incidence cos(theta(b)) = cos(theta_z)*cos(beta) + sin(theta_z)*sin(beta)*cos(gamma_s - gamma_m). Compute Hay-Davies / Perez clear-sky POA irradiance: POA_cs(b) = POA_beam(b) + POA_ground(b) + POA_diffuse(b). IF alpha(b) &lt; 3.0° or theta_z(b) &gt;= 87.0°: clamp POA_cs(b) = 0.00 W/m² strictly.</w:t>
      </w:r>
    </w:p>
    <w:p>
      <w:pPr>
        <w:pStyle w:val="ListBullet"/>
        <w:spacing w:before="40" w:after="80" w:line="276" w:lineRule="auto"/>
      </w:pPr>
      <w:r>
        <w:rPr>
          <w:rFonts w:ascii="Times New Roman" w:hAnsi="Times New Roman"/>
          <w:b/>
          <w:color w:val="000000"/>
          <w:sz w:val="21"/>
        </w:rPr>
        <w:t xml:space="preserve">Step 3: Multi-Agency NWP Member Ingestion &amp; Physics-Guided Kt Spline Reconstruction: </w:t>
      </w:r>
      <w:r>
        <w:rPr>
          <w:rFonts w:ascii="Times New Roman" w:hAnsi="Times New Roman"/>
          <w:color w:val="000000"/>
          <w:sz w:val="21"/>
        </w:rPr>
        <w:t>FOR each candidate member m in [1..143]: FOR each hour H in [0..23]: compute hourly clearness ratio Kt_m(H) = clip(GHI_m(H) / max(1.0, GHI_cs(H)), 0.0, 1.20). Fit natural cubic spline S_m(t) over 24 hourly points {Kt_m(H)} with natural end conditions S''_m(0) = S''_m(23) = 0. Evaluate spline at 96 15-minute midpoints: Kt_m(b) = S_m(t_b) for b in [1..96]. Reconstruct high-resolution Plane-of-Array Irradiance matrix: GTI_m(b) = Kt_m(b) * POA_cs(b). IF b &lt; 24 (Time &lt; 05:45 IST) OR b &gt; 74 (Time &gt;= 18:30 IST): set GTI_m(b) = 0.00 W/m².</w:t>
      </w:r>
    </w:p>
    <w:p>
      <w:pPr>
        <w:pStyle w:val="ListBullet"/>
        <w:spacing w:before="40" w:after="80" w:line="276" w:lineRule="auto"/>
      </w:pPr>
      <w:r>
        <w:rPr>
          <w:rFonts w:ascii="Times New Roman" w:hAnsi="Times New Roman"/>
          <w:b/>
          <w:color w:val="000000"/>
          <w:sz w:val="21"/>
        </w:rPr>
        <w:t xml:space="preserve">Step 4: Faiman/Sandia Thermal Convection Derating &amp; AC Base Power Simulation: </w:t>
      </w:r>
      <w:r>
        <w:rPr>
          <w:rFonts w:ascii="Times New Roman" w:hAnsi="Times New Roman"/>
          <w:color w:val="000000"/>
          <w:sz w:val="21"/>
        </w:rPr>
        <w:t>FOR each member m in [1..143] and block b in [1..96]: evaluate Sandia module cell temperature T_cell_m(b) = T_air_m(b) + GTI_m(b) * exp(-29.0 - 0.0 * wind_10m_m(b)). Compute thermal power derate factor: eta_temp_m(b) = 1.0 - 0.0037 * (T_cell_m(b) - 25.0). Calculate raw DC generation: P_dc_m(b) = P_CAP_DC * (GTI_m(b) / 1000.0) * eta_temp_m(b). Convert to AC export power: P_ac_m(b) = min(P_dc_m(b) * eta_transfer, P_CAP_AC). Apply 96-block site array transfer weights: P_base_m(b) = round(P_ac_m(b) * M[b], 2). Enforce clear-sky envelope ceiling: P_base_m(b) = min(P_base_m(b), P_clearsky(b)).</w:t>
      </w:r>
    </w:p>
    <w:p>
      <w:pPr>
        <w:pStyle w:val="ListBullet"/>
        <w:spacing w:before="40" w:after="80" w:line="276" w:lineRule="auto"/>
      </w:pPr>
      <w:r>
        <w:rPr>
          <w:rFonts w:ascii="Times New Roman" w:hAnsi="Times New Roman"/>
          <w:b/>
          <w:color w:val="000000"/>
          <w:sz w:val="21"/>
        </w:rPr>
        <w:t xml:space="preserve">Step 5: 24h Lead-Time MOS Error Accounting &amp; Top-6 Member Selection with Mandatory Agency Diversity Cap: </w:t>
      </w:r>
      <w:r>
        <w:rPr>
          <w:rFonts w:ascii="Times New Roman" w:hAnsi="Times New Roman"/>
          <w:color w:val="000000"/>
          <w:sz w:val="21"/>
        </w:rPr>
        <w:t>FOR each candidate member m in [1..143] and block b in [1..96]: compute Mean Absolute Error on 24h-48h lead times across past 7 days: MAE_m(b) = (1/7) * SUM(|P_base_history(d, m, b) - A(d, b)|). Partition Day T+1 into 3 diurnal slots: Slot 1 (Morning: b in [24..40]), Slot 2 (Midday: b in [41..56]), Slot 3 (Evening: b in [57..74]). FOR each slot k in {1, 2, 3}: calculate slot average MAE MAE_bar_m,k = (1 / |B_k|) * SUM(MAE_m(b)). Rank members by ascending MAE_bar_m,k. Select top K=6 champions while enforcing MANDATORY AGENCY DIVERSITY CAP: max 2 models per NWP family (ECMWF 0..34, ICON 35..74, GFS 75..104, GEM 105..142). Why? Prevents single-model family bias from dominating the ensemble. If 6 members cannot be filled under 2-per-agency limit, relax cap to 3.</w:t>
      </w:r>
    </w:p>
    <w:p>
      <w:pPr>
        <w:pStyle w:val="ListBullet"/>
        <w:spacing w:before="40" w:after="80" w:line="276" w:lineRule="auto"/>
      </w:pPr>
      <w:r>
        <w:rPr>
          <w:rFonts w:ascii="Times New Roman" w:hAnsi="Times New Roman"/>
          <w:b/>
          <w:color w:val="000000"/>
          <w:sz w:val="21"/>
        </w:rPr>
        <w:t xml:space="preserve">Step 6: Ensemble Aggregation Strategy (Bayesian Inverse-Loss Weighting vs Simple Mean): </w:t>
      </w:r>
      <w:r>
        <w:rPr>
          <w:rFonts w:ascii="Times New Roman" w:hAnsi="Times New Roman"/>
          <w:color w:val="000000"/>
          <w:sz w:val="21"/>
        </w:rPr>
        <w:t>Simple average/mean is strictly rejected because equal-weighting treats an inaccurate member (MAE = 1.2 MW) identically to a high-accuracy member (MAE = 0.3 MW). Enforce Bayesian Inverse-Loss Weighting (Weighted Percentage): for top 6 selected slot champions i in [1..6], compute weight w_i,k = (1 / MAE_bar_i,k) / SUM(1 / MAE_bar_j,k). Apply diurnal MOS linear calibration gain P_calib_k(b) = a_k * SUM(w_i,k * P_base_i(b)) + b_k. Assemble 96-block profile using 4-block raised-cosine transition fading at slot boundaries (b in [39..42] and b in [55..58]) to yield P_mos_da[1..96].</w:t>
      </w:r>
    </w:p>
    <w:p>
      <w:pPr>
        <w:pStyle w:val="ListBullet"/>
        <w:spacing w:before="40" w:after="80" w:line="276" w:lineRule="auto"/>
      </w:pPr>
      <w:r>
        <w:rPr>
          <w:rFonts w:ascii="Times New Roman" w:hAnsi="Times New Roman"/>
          <w:b/>
          <w:color w:val="000000"/>
          <w:sz w:val="21"/>
        </w:rPr>
        <w:t xml:space="preserve">Step 7: Planned Maintenance &amp; Hardware Availability Derate Engine: </w:t>
      </w:r>
      <w:r>
        <w:rPr>
          <w:rFonts w:ascii="Times New Roman" w:hAnsi="Times New Roman"/>
          <w:color w:val="000000"/>
          <w:sz w:val="21"/>
        </w:rPr>
        <w:t>Ingest scheduled maintenance registry for target date D_target: extract count of available inverters N_inv_avail(b) and total inverters N_inv_total. Compute active interconnect capacity envelope P_avail(b) = P_CAP_AC * (N_inv_avail(b) / N_inv_total). Apply capacity derate: P_mos_derated(b) = min(P_mos_da(b), P_avail(b)) for b in [1..96].</w:t>
      </w:r>
    </w:p>
    <w:p>
      <w:pPr>
        <w:pStyle w:val="ListBullet"/>
        <w:spacing w:before="40" w:after="80" w:line="276" w:lineRule="auto"/>
      </w:pPr>
      <w:r>
        <w:rPr>
          <w:rFonts w:ascii="Times New Roman" w:hAnsi="Times New Roman"/>
          <w:b/>
          <w:color w:val="000000"/>
          <w:sz w:val="21"/>
        </w:rPr>
        <w:t xml:space="preserve">Step 8: Master Day-Ahead Prompt Construction &amp; Atmospheric Context Assembly: </w:t>
      </w:r>
      <w:r>
        <w:rPr>
          <w:rFonts w:ascii="Times New Roman" w:hAnsi="Times New Roman"/>
          <w:color w:val="000000"/>
          <w:sz w:val="21"/>
        </w:rPr>
        <w:t>Extract synoptic atmospheric indicators for D_target: mean convective CAPE (J/kg), cloud cover %, relative humidity %, AOD, NWP divergence. Build Section 1 (System Constraints &amp; Statutory 10:00 AM Gate Closure rules), Section 2 (Synoptic Weather Indicators), Section 3 (24h MOS Portfolio Rankings), Section 4 (96-Block Comparison Data Matrix Table), Section 5 (Strict JSON Target Schema). Save prompt string to master_da_prompt_{site_id}_{D_target}.txt.</w:t>
      </w:r>
    </w:p>
    <w:p>
      <w:pPr>
        <w:pStyle w:val="ListBullet"/>
        <w:spacing w:before="40" w:after="80" w:line="276" w:lineRule="auto"/>
      </w:pPr>
      <w:r>
        <w:rPr>
          <w:rFonts w:ascii="Times New Roman" w:hAnsi="Times New Roman"/>
          <w:b/>
          <w:color w:val="000000"/>
          <w:sz w:val="21"/>
        </w:rPr>
        <w:t xml:space="preserve">Step 9: Strategic OpenRouter LLM Arbitration (`openai/gpt-5.6-luna`): </w:t>
      </w:r>
      <w:r>
        <w:rPr>
          <w:rFonts w:ascii="Times New Roman" w:hAnsi="Times New Roman"/>
          <w:color w:val="000000"/>
          <w:sz w:val="21"/>
        </w:rPr>
        <w:t>Configure OpenRouter HTTPS POST gateway endpoint https://openrouter.ai/api/v1/chat/completions (model = 'openai/gpt-5.6-luna', temperature = 0.20, max_tokens = 2500, response_format = {'type': 'json_object'}). Execute request with 3-key rotation pool [KEY_PRIMARY, KEY_SECONDARY, KEY_GLOBAL_FAILOVER]. On HTTP 429/503 error, apply exponential backoff retry (1s, 2s, 4s) and rotate to next key. Parse JSON payload: extract synoptic_regime ('CLEAR_SKY', 'HIGH_CIRRUS', 'MONSOON_OVERCAST', 'LOCAL_CONVECTIVE'), quantile_bias_factor in [0.70, 1.08], and block_predictions dictionary containing 96 values. IF key pool is exhausted or JSON parse fails: trigger 0ms fail-safe fallback path and set raw prediction vector P_raw_llm = P_mos_derated.</w:t>
      </w:r>
    </w:p>
    <w:p>
      <w:pPr>
        <w:pStyle w:val="ListBullet"/>
        <w:spacing w:before="40" w:after="80" w:line="276" w:lineRule="auto"/>
      </w:pPr>
      <w:r>
        <w:rPr>
          <w:rFonts w:ascii="Times New Roman" w:hAnsi="Times New Roman"/>
          <w:b/>
          <w:color w:val="000000"/>
          <w:sz w:val="21"/>
        </w:rPr>
        <w:t xml:space="preserve">Step 10: LLM JSON-to-CSV Conversion, Physical Guardrails &amp; Statutory Gate Dispatch (09:45 AM IST): </w:t>
      </w:r>
      <w:r>
        <w:rPr>
          <w:rFonts w:ascii="Times New Roman" w:hAnsi="Times New Roman"/>
          <w:color w:val="000000"/>
          <w:sz w:val="21"/>
        </w:rPr>
        <w:t>Strip markdown fences (```json ... ```) if returned. Filter raw predictions through Guardrail 1 (Solar geometry night zeroing b &lt; 24 or b &gt; 74 =&gt; 0.00 MW), Guardrail 2 (Clear-sky floor lock), Guardrail 3 (Overcast optical cloud ceiling), and Guardrail 4 (Ramp continuity Delta_MW &lt;= 10% P_CAP_AC &amp; capacity clipping to P_avail). Format 96-block schedule into canonical 7-column DA CSV schema: [Block, Time Interval, clearsky_poa_w_m2, mos_consensus_mw, llm_quantile_mw, da_schedule_mw, active_capacity_mw]. Generate interactive Plotly HTML graphic da_evaluation_{site_id}_{D_target}.html. Upload all artifacts to s3://{S3_BUCKET}/raw/vedanjay/{site_id}/{D_target}/day_ahead/ via boto3 S3 client before 10:00 AM statutory gate closure. RETURN {DA_CSV_Path, Plotly_HTML_Path, S3_URI_List}.</w:t>
      </w:r>
    </w:p>
    <w:p>
      <w:pPr>
        <w:spacing w:after="240"/>
      </w:pPr>
    </w:p>
    <w:p>
      <w:pPr>
        <w:keepNext/>
        <w:spacing w:before="320" w:after="120"/>
      </w:pPr>
      <w:r>
        <w:rPr>
          <w:rFonts w:ascii="Times New Roman" w:hAnsi="Times New Roman"/>
          <w:b/>
          <w:color w:val="000000"/>
          <w:sz w:val="32"/>
        </w:rPr>
        <w:t>3. Module-by-Module Algorithmic Logic</w:t>
      </w:r>
    </w:p>
    <w:p>
      <w:pPr>
        <w:spacing w:after="160"/>
      </w:pPr>
      <w:r>
        <w:rPr>
          <w:rFonts w:ascii="Times New Roman" w:hAnsi="Times New Roman"/>
          <w:color w:val="000000"/>
          <w:sz w:val="21"/>
        </w:rPr>
        <w:t>This section details the exact low-level algorithmic logic, mathematical equations, candidate selection logic, data input structures, output specifications, and step-by-step procedures for each of the 10 computational modules comprising the Day-Ahead Solar System.</w:t>
      </w:r>
    </w:p>
    <w:p>
      <w:pPr>
        <w:keepNext/>
        <w:spacing w:before="240" w:after="80"/>
      </w:pPr>
      <w:r>
        <w:rPr>
          <w:rFonts w:ascii="Times New Roman" w:hAnsi="Times New Roman"/>
          <w:b/>
          <w:color w:val="000000"/>
          <w:sz w:val="26"/>
        </w:rPr>
        <w:t>3.1 Module 1: Dynamic Execution Resolution, Ingestion &amp; Plant Configuration</w:t>
      </w:r>
    </w:p>
    <w:p>
      <w:pPr>
        <w:spacing w:before="40" w:after="40"/>
      </w:pPr>
      <w:r>
        <w:rPr>
          <w:rFonts w:ascii="Times New Roman" w:hAnsi="Times New Roman"/>
          <w:b/>
          <w:color w:val="000000"/>
          <w:sz w:val="20"/>
        </w:rPr>
        <w:t xml:space="preserve">• Algorithm Inputs: </w:t>
      </w:r>
      <w:r>
        <w:rPr>
          <w:rFonts w:ascii="Times New Roman" w:hAnsi="Times New Roman"/>
          <w:color w:val="000000"/>
          <w:sz w:val="20"/>
        </w:rPr>
        <w:t>site_id, execution_timestamp (IST), P_CAP_AC, P_CAP_DC, beta, gamma_m, altitude z, S3_BUCKET.</w:t>
      </w:r>
    </w:p>
    <w:p>
      <w:pPr>
        <w:spacing w:before="40" w:after="120"/>
      </w:pPr>
      <w:r>
        <w:rPr>
          <w:rFonts w:ascii="Times New Roman" w:hAnsi="Times New Roman"/>
          <w:b/>
          <w:color w:val="000000"/>
          <w:sz w:val="20"/>
        </w:rPr>
        <w:t xml:space="preserve">• Algorithm Outputs: </w:t>
      </w:r>
      <w:r>
        <w:rPr>
          <w:rFonts w:ascii="Times New Roman" w:hAnsi="Times New Roman"/>
          <w:color w:val="000000"/>
          <w:sz w:val="20"/>
        </w:rPr>
        <w:t>D_today, D_target, Site_Config struct, NWP_Raw_Feed[143] for D_target, Historical_SCADA_7D[7][96].</w:t>
      </w:r>
    </w:p>
    <w:p>
      <w:pPr>
        <w:spacing w:before="80" w:after="80"/>
      </w:pPr>
      <w:r>
        <w:rPr>
          <w:rFonts w:ascii="Times New Roman" w:hAnsi="Times New Roman"/>
          <w:b/>
          <w:color w:val="000000"/>
          <w:sz w:val="20"/>
        </w:rPr>
        <w:t>Algorithmic Procedure:</w:t>
      </w:r>
    </w:p>
    <w:p>
      <w:pPr>
        <w:pStyle w:val="ListBullet"/>
        <w:spacing w:before="40" w:after="80" w:line="276" w:lineRule="auto"/>
      </w:pPr>
      <w:r>
        <w:rPr>
          <w:rFonts w:ascii="Times New Roman" w:hAnsi="Times New Roman"/>
          <w:b/>
          <w:color w:val="000000"/>
          <w:sz w:val="21"/>
        </w:rPr>
        <w:t xml:space="preserve">Step 1.1 Dynamic Date Resolution in Asia/Kolkata Timezone: </w:t>
      </w:r>
      <w:r>
        <w:rPr>
          <w:rFonts w:ascii="Times New Roman" w:hAnsi="Times New Roman"/>
          <w:color w:val="000000"/>
          <w:sz w:val="21"/>
        </w:rPr>
        <w:t>Resolve execution timestamp: T_now = datetime.now(timezone('Asia/Kolkata')). Set D_today = T_now.date(). Calculate target forecast date: D_target = D_today + timedelta(days=1). Format target_date_str = D_target.strftime('%Y-%m-%d').</w:t>
      </w:r>
    </w:p>
    <w:p>
      <w:pPr>
        <w:pStyle w:val="ListBullet"/>
        <w:spacing w:before="40" w:after="80" w:line="276" w:lineRule="auto"/>
      </w:pPr>
      <w:r>
        <w:rPr>
          <w:rFonts w:ascii="Times New Roman" w:hAnsi="Times New Roman"/>
          <w:b/>
          <w:color w:val="000000"/>
          <w:sz w:val="21"/>
        </w:rPr>
        <w:t xml:space="preserve">Step 1.2 Ingest Plant Hardware Configuration: </w:t>
      </w:r>
      <w:r>
        <w:rPr>
          <w:rFonts w:ascii="Times New Roman" w:hAnsi="Times New Roman"/>
          <w:color w:val="000000"/>
          <w:sz w:val="21"/>
        </w:rPr>
        <w:t>Load plant capacity specs: P_CAP_AC (MW), P_CAP_DC (MWp), array tilt beta (deg), azimuth gamma_m (deg), barometric altitude z (m), Linke turbidity monthly array T_L.</w:t>
      </w:r>
    </w:p>
    <w:p>
      <w:pPr>
        <w:pStyle w:val="ListBullet"/>
        <w:spacing w:before="40" w:after="80" w:line="276" w:lineRule="auto"/>
      </w:pPr>
      <w:r>
        <w:rPr>
          <w:rFonts w:ascii="Times New Roman" w:hAnsi="Times New Roman"/>
          <w:b/>
          <w:color w:val="000000"/>
          <w:sz w:val="21"/>
        </w:rPr>
        <w:t xml:space="preserve">Step 1.3 Synchronize Fresh 00Z / 06Z NWP Model Runs for Target Date: </w:t>
      </w:r>
      <w:r>
        <w:rPr>
          <w:rFonts w:ascii="Times New Roman" w:hAnsi="Times New Roman"/>
          <w:color w:val="000000"/>
          <w:sz w:val="21"/>
        </w:rPr>
        <w:t>Query Open-Meteo High-Bandwidth API for target date D_target specifically. Download 00Z/06Z runs for all 143 ensemble candidates (ECMWF IFS 35 members, ICON-EU/Global 40 members, GFS/GEFS 30 members, GEM 38 members). Extract hourly GHI_m(H), DNI_m(H), DHI_m(H), T_air_m(H), wind_10m_m(H), cloud_cover_m(H) for target date D_target.</w:t>
      </w:r>
    </w:p>
    <w:p>
      <w:pPr>
        <w:pStyle w:val="ListBullet"/>
        <w:spacing w:before="40" w:after="80" w:line="276" w:lineRule="auto"/>
      </w:pPr>
      <w:r>
        <w:rPr>
          <w:rFonts w:ascii="Times New Roman" w:hAnsi="Times New Roman"/>
          <w:b/>
          <w:color w:val="000000"/>
          <w:sz w:val="21"/>
        </w:rPr>
        <w:t xml:space="preserve">Step 1.4 Ingest Historical SCADA for 24h Lead-Time MOS Evaluation: </w:t>
      </w:r>
      <w:r>
        <w:rPr>
          <w:rFonts w:ascii="Times New Roman" w:hAnsi="Times New Roman"/>
          <w:color w:val="000000"/>
          <w:sz w:val="21"/>
        </w:rPr>
        <w:t>Query AWS S3 path s3://{S3_BUCKET}/raw/vedanjay/{site_id}/scada_actuals/ for past 7 days (Days D_today-7 to D_today-1). Parse timestamps to Asia/Kolkata timezone. Exclude non-numeric #N/A values from error accounting.</w:t>
      </w:r>
    </w:p>
    <w:p>
      <w:pPr>
        <w:pStyle w:val="ListBullet"/>
        <w:spacing w:before="40" w:after="80" w:line="276" w:lineRule="auto"/>
      </w:pPr>
      <w:r>
        <w:rPr>
          <w:rFonts w:ascii="Times New Roman" w:hAnsi="Times New Roman"/>
          <w:b/>
          <w:color w:val="000000"/>
          <w:sz w:val="21"/>
        </w:rPr>
        <w:t xml:space="preserve">Step 1.5 Sanity Check &amp; Persistence: </w:t>
      </w:r>
      <w:r>
        <w:rPr>
          <w:rFonts w:ascii="Times New Roman" w:hAnsi="Times New Roman"/>
          <w:color w:val="000000"/>
          <w:sz w:val="21"/>
        </w:rPr>
        <w:t>IF NWP feed contains missing timesteps: trigger linear forward-fill across hours. Save raw ingested feeds to da_raw_nwp_feed_{site_id}_{D_target}.json. RETURN {D_today, D_target, Site_Config, NWP_Raw_Feed, Historical_SCADA_7D}.</w:t>
      </w:r>
    </w:p>
    <w:p>
      <w:pPr>
        <w:spacing w:after="160"/>
      </w:pPr>
    </w:p>
    <w:p>
      <w:pPr>
        <w:keepNext/>
        <w:spacing w:before="240" w:after="80"/>
      </w:pPr>
      <w:r>
        <w:rPr>
          <w:rFonts w:ascii="Times New Roman" w:hAnsi="Times New Roman"/>
          <w:b/>
          <w:color w:val="000000"/>
          <w:sz w:val="26"/>
        </w:rPr>
        <w:t>3.2 Module 2: NREL SPA / Ineichen Clear-Sky Solar Ephemeris &amp; Transposition Engine</w:t>
      </w:r>
    </w:p>
    <w:p>
      <w:pPr>
        <w:spacing w:before="40" w:after="40"/>
      </w:pPr>
      <w:r>
        <w:rPr>
          <w:rFonts w:ascii="Times New Roman" w:hAnsi="Times New Roman"/>
          <w:b/>
          <w:color w:val="000000"/>
          <w:sz w:val="20"/>
        </w:rPr>
        <w:t xml:space="preserve">• Algorithm Inputs: </w:t>
      </w:r>
      <w:r>
        <w:rPr>
          <w:rFonts w:ascii="Times New Roman" w:hAnsi="Times New Roman"/>
          <w:color w:val="000000"/>
          <w:sz w:val="20"/>
        </w:rPr>
        <w:t>latitude, longitude, altitude z, tilt beta, azimuth gamma_m, Linke turbidity T_L, D_target (Day T+1).</w:t>
      </w:r>
    </w:p>
    <w:p>
      <w:pPr>
        <w:spacing w:before="40" w:after="120"/>
      </w:pPr>
      <w:r>
        <w:rPr>
          <w:rFonts w:ascii="Times New Roman" w:hAnsi="Times New Roman"/>
          <w:b/>
          <w:color w:val="000000"/>
          <w:sz w:val="20"/>
        </w:rPr>
        <w:t xml:space="preserve">• Algorithm Outputs: </w:t>
      </w:r>
      <w:r>
        <w:rPr>
          <w:rFonts w:ascii="Times New Roman" w:hAnsi="Times New Roman"/>
          <w:color w:val="000000"/>
          <w:sz w:val="20"/>
        </w:rPr>
        <w:t>POA_cs[1..96] (Deterministic Clear-Sky Plane-of-Array Irradiance array in W/m²).</w:t>
      </w:r>
    </w:p>
    <w:p>
      <w:pPr>
        <w:spacing w:before="80" w:after="80"/>
      </w:pPr>
      <w:r>
        <w:rPr>
          <w:rFonts w:ascii="Times New Roman" w:hAnsi="Times New Roman"/>
          <w:b/>
          <w:color w:val="000000"/>
          <w:sz w:val="20"/>
        </w:rPr>
        <w:t>Algorithmic Procedure:</w:t>
      </w:r>
    </w:p>
    <w:p>
      <w:pPr>
        <w:pStyle w:val="ListBullet"/>
        <w:spacing w:before="40" w:after="80" w:line="276" w:lineRule="auto"/>
      </w:pPr>
      <w:r>
        <w:rPr>
          <w:rFonts w:ascii="Times New Roman" w:hAnsi="Times New Roman"/>
          <w:b/>
          <w:color w:val="000000"/>
          <w:sz w:val="21"/>
        </w:rPr>
        <w:t xml:space="preserve">Step 2.1 Astronomical Solar Position Calculation: </w:t>
      </w:r>
      <w:r>
        <w:rPr>
          <w:rFonts w:ascii="Times New Roman" w:hAnsi="Times New Roman"/>
          <w:color w:val="000000"/>
          <w:sz w:val="21"/>
        </w:rPr>
        <w:t>FOR each 15-minute block midpoint t_b (b = 1..96) of target date D_target: evaluate solar zenith angle theta_z(b), solar azimuth angle gamma_s(b), and solar elevation angle alpha(b) = 90° - theta_z(b) using NREL SPA algorithm.</w:t>
      </w:r>
    </w:p>
    <w:p>
      <w:pPr>
        <w:pStyle w:val="ListBullet"/>
        <w:spacing w:before="40" w:after="80" w:line="276" w:lineRule="auto"/>
      </w:pPr>
      <w:r>
        <w:rPr>
          <w:rFonts w:ascii="Times New Roman" w:hAnsi="Times New Roman"/>
          <w:b/>
          <w:color w:val="000000"/>
          <w:sz w:val="21"/>
        </w:rPr>
        <w:t xml:space="preserve">Step 2.2 Ineichen Clear-Sky Radiation Triplet Evaluation: </w:t>
      </w:r>
      <w:r>
        <w:rPr>
          <w:rFonts w:ascii="Times New Roman" w:hAnsi="Times New Roman"/>
          <w:color w:val="000000"/>
          <w:sz w:val="21"/>
        </w:rPr>
        <w:t>Calculate relative air mass AM(b) with barometric altitude correction AM_corr = AM * (P_baro / 101325). Evaluate Ineichen Clear-Sky Triplet: Direct Normal DNI_cs(b), Diffuse Horizontal DHI_cs(b), Global Horizontal GHI_cs(b) = DNI_cs(b) * cos(theta_z(b)) + DHI_cs(b).</w:t>
      </w:r>
    </w:p>
    <w:p>
      <w:pPr>
        <w:pStyle w:val="ListBullet"/>
        <w:spacing w:before="40" w:after="80" w:line="276" w:lineRule="auto"/>
      </w:pPr>
      <w:r>
        <w:rPr>
          <w:rFonts w:ascii="Times New Roman" w:hAnsi="Times New Roman"/>
          <w:b/>
          <w:color w:val="000000"/>
          <w:sz w:val="21"/>
        </w:rPr>
        <w:t xml:space="preserve">Step 2.3 Compute Angle of Incidence (AOI): </w:t>
      </w:r>
      <w:r>
        <w:rPr>
          <w:rFonts w:ascii="Times New Roman" w:hAnsi="Times New Roman"/>
          <w:color w:val="000000"/>
          <w:sz w:val="21"/>
        </w:rPr>
        <w:t>Calculate AOI theta(b) on tilted PV array: cos(theta) = cos(theta_z) * cos(beta) + sin(theta_z) * sin(beta) * cos(gamma_s - gamma_m).</w:t>
      </w:r>
    </w:p>
    <w:p>
      <w:pPr>
        <w:pStyle w:val="ListBullet"/>
        <w:spacing w:before="40" w:after="80" w:line="276" w:lineRule="auto"/>
      </w:pPr>
      <w:r>
        <w:rPr>
          <w:rFonts w:ascii="Times New Roman" w:hAnsi="Times New Roman"/>
          <w:b/>
          <w:color w:val="000000"/>
          <w:sz w:val="21"/>
        </w:rPr>
        <w:t xml:space="preserve">Step 2.4 Hay-Davies / Perez Plane-of-Array Transposition: </w:t>
      </w:r>
      <w:r>
        <w:rPr>
          <w:rFonts w:ascii="Times New Roman" w:hAnsi="Times New Roman"/>
          <w:color w:val="000000"/>
          <w:sz w:val="21"/>
        </w:rPr>
        <w:t>Decompose clear-sky POA into 3 components: Direct Beam POA_beam = DNI_cs * max(0, cos(theta)); Ground Albedo Reflection POA_ground = GHI_cs * 0.20 * (1 - cos(beta)) / 2; Sky Diffuse POA_diffuse via Hay-Davies anisotropic model. Total POA_cs(b) = POA_beam + POA_ground + POA_diffuse.</w:t>
      </w:r>
    </w:p>
    <w:p>
      <w:pPr>
        <w:pStyle w:val="ListBullet"/>
        <w:spacing w:before="40" w:after="80" w:line="276" w:lineRule="auto"/>
      </w:pPr>
      <w:r>
        <w:rPr>
          <w:rFonts w:ascii="Times New Roman" w:hAnsi="Times New Roman"/>
          <w:b/>
          <w:color w:val="000000"/>
          <w:sz w:val="21"/>
        </w:rPr>
        <w:t xml:space="preserve">Step 2.5 Low-Elevation Zenith Cutoff: </w:t>
      </w:r>
      <w:r>
        <w:rPr>
          <w:rFonts w:ascii="Times New Roman" w:hAnsi="Times New Roman"/>
          <w:color w:val="000000"/>
          <w:sz w:val="21"/>
        </w:rPr>
        <w:t>IF solar elevation alpha(b) &lt; 3.0° (or theta_z(b) &gt;= 87.0°): clamp POA_cs(b) = 0.00 W/m² strictly.</w:t>
      </w:r>
    </w:p>
    <w:p>
      <w:pPr>
        <w:pStyle w:val="ListBullet"/>
        <w:spacing w:before="40" w:after="80" w:line="276" w:lineRule="auto"/>
      </w:pPr>
      <w:r>
        <w:rPr>
          <w:rFonts w:ascii="Times New Roman" w:hAnsi="Times New Roman"/>
          <w:b/>
          <w:color w:val="000000"/>
          <w:sz w:val="21"/>
        </w:rPr>
        <w:t xml:space="preserve">Step 2.6 Persistence: </w:t>
      </w:r>
      <w:r>
        <w:rPr>
          <w:rFonts w:ascii="Times New Roman" w:hAnsi="Times New Roman"/>
          <w:color w:val="000000"/>
          <w:sz w:val="21"/>
        </w:rPr>
        <w:t>Save theoretical envelope to da_clearsky_poa_{site_id}_{D_target}.csv. RETURN POA_cs[1..96].</w:t>
      </w:r>
    </w:p>
    <w:p>
      <w:pPr>
        <w:spacing w:after="160"/>
      </w:pPr>
    </w:p>
    <w:p>
      <w:pPr>
        <w:keepNext/>
        <w:spacing w:before="240" w:after="80"/>
      </w:pPr>
      <w:r>
        <w:rPr>
          <w:rFonts w:ascii="Times New Roman" w:hAnsi="Times New Roman"/>
          <w:b/>
          <w:color w:val="000000"/>
          <w:sz w:val="26"/>
        </w:rPr>
        <w:t>3.3 Module 3: 143-Member NWP Super-Ensemble Fetch &amp; Physics-Guided Kt Spline Engine</w:t>
      </w:r>
    </w:p>
    <w:p>
      <w:pPr>
        <w:spacing w:before="40" w:after="40"/>
      </w:pPr>
      <w:r>
        <w:rPr>
          <w:rFonts w:ascii="Times New Roman" w:hAnsi="Times New Roman"/>
          <w:b/>
          <w:color w:val="000000"/>
          <w:sz w:val="20"/>
        </w:rPr>
        <w:t xml:space="preserve">• Algorithm Inputs: </w:t>
      </w:r>
      <w:r>
        <w:rPr>
          <w:rFonts w:ascii="Times New Roman" w:hAnsi="Times New Roman"/>
          <w:color w:val="000000"/>
          <w:sz w:val="20"/>
        </w:rPr>
        <w:t>NWP_Raw_Feed[143], POA_cs[1..96], GHI_cs[1..96], D_target.</w:t>
      </w:r>
    </w:p>
    <w:p>
      <w:pPr>
        <w:spacing w:before="40" w:after="120"/>
      </w:pPr>
      <w:r>
        <w:rPr>
          <w:rFonts w:ascii="Times New Roman" w:hAnsi="Times New Roman"/>
          <w:b/>
          <w:color w:val="000000"/>
          <w:sz w:val="20"/>
        </w:rPr>
        <w:t xml:space="preserve">• Algorithm Outputs: </w:t>
      </w:r>
      <w:r>
        <w:rPr>
          <w:rFonts w:ascii="Times New Roman" w:hAnsi="Times New Roman"/>
          <w:color w:val="000000"/>
          <w:sz w:val="20"/>
        </w:rPr>
        <w:t>GTI_matrix_da[143][96] (Discretized 15-minute Plane-of-Array Irradiance matrix for Day T+1).</w:t>
      </w:r>
    </w:p>
    <w:p>
      <w:pPr>
        <w:spacing w:before="80" w:after="80"/>
      </w:pPr>
      <w:r>
        <w:rPr>
          <w:rFonts w:ascii="Times New Roman" w:hAnsi="Times New Roman"/>
          <w:b/>
          <w:color w:val="000000"/>
          <w:sz w:val="20"/>
        </w:rPr>
        <w:t>Algorithmic Procedure:</w:t>
      </w:r>
    </w:p>
    <w:p>
      <w:pPr>
        <w:pStyle w:val="ListBullet"/>
        <w:spacing w:before="40" w:after="80" w:line="276" w:lineRule="auto"/>
      </w:pPr>
      <w:r>
        <w:rPr>
          <w:rFonts w:ascii="Times New Roman" w:hAnsi="Times New Roman"/>
          <w:b/>
          <w:color w:val="000000"/>
          <w:sz w:val="21"/>
        </w:rPr>
        <w:t xml:space="preserve">Step 3.1 Address Linear Interpolation Step Errors: </w:t>
      </w:r>
      <w:r>
        <w:rPr>
          <w:rFonts w:ascii="Times New Roman" w:hAnsi="Times New Roman"/>
          <w:color w:val="000000"/>
          <w:sz w:val="21"/>
        </w:rPr>
        <w:t>Direct linear interpolation of hourly NWP irradiance feed creates severe unphysical trapezoidal step discontinuities near sunrise and sunset. Enforce Physics-Guided Clearness Ratio Kt Spline Reconstruction.</w:t>
      </w:r>
    </w:p>
    <w:p>
      <w:pPr>
        <w:pStyle w:val="ListBullet"/>
        <w:spacing w:before="40" w:after="80" w:line="276" w:lineRule="auto"/>
      </w:pPr>
      <w:r>
        <w:rPr>
          <w:rFonts w:ascii="Times New Roman" w:hAnsi="Times New Roman"/>
          <w:b/>
          <w:color w:val="000000"/>
          <w:sz w:val="21"/>
        </w:rPr>
        <w:t xml:space="preserve">Step 3.2 Compute Hourly Clearness Ratio Kt_m(H): </w:t>
      </w:r>
      <w:r>
        <w:rPr>
          <w:rFonts w:ascii="Times New Roman" w:hAnsi="Times New Roman"/>
          <w:color w:val="000000"/>
          <w:sz w:val="21"/>
        </w:rPr>
        <w:t>FOR each member m in {1, ..., 143} and hour H in {0, ..., 23}: compute hourly clearness index Kt_m(H) = GHI_m(H) / max(1.0, GHI_cs(H)). Clamp Kt_m(H) in [0.0, 1.20].</w:t>
      </w:r>
    </w:p>
    <w:p>
      <w:pPr>
        <w:pStyle w:val="ListBullet"/>
        <w:spacing w:before="40" w:after="80" w:line="276" w:lineRule="auto"/>
      </w:pPr>
      <w:r>
        <w:rPr>
          <w:rFonts w:ascii="Times New Roman" w:hAnsi="Times New Roman"/>
          <w:b/>
          <w:color w:val="000000"/>
          <w:sz w:val="21"/>
        </w:rPr>
        <w:t xml:space="preserve">Step 3.3 Natural Cubic Spline Interpolation of Kt: </w:t>
      </w:r>
      <w:r>
        <w:rPr>
          <w:rFonts w:ascii="Times New Roman" w:hAnsi="Times New Roman"/>
          <w:color w:val="000000"/>
          <w:sz w:val="21"/>
        </w:rPr>
        <w:t>Fit natural cubic spline over 24 hourly values Kt_m(H); evaluate spline at 96 15-minute block midpoints to produce continuous clearness profile Kt_m(b) for b in {1, ..., 96}.</w:t>
      </w:r>
    </w:p>
    <w:p>
      <w:pPr>
        <w:pStyle w:val="ListBullet"/>
        <w:spacing w:before="40" w:after="80" w:line="276" w:lineRule="auto"/>
      </w:pPr>
      <w:r>
        <w:rPr>
          <w:rFonts w:ascii="Times New Roman" w:hAnsi="Times New Roman"/>
          <w:b/>
          <w:color w:val="000000"/>
          <w:sz w:val="21"/>
        </w:rPr>
        <w:t xml:space="preserve">Step 3.4 Physics-Guided High-Resolution GTI Reconstruction: </w:t>
      </w:r>
      <w:r>
        <w:rPr>
          <w:rFonts w:ascii="Times New Roman" w:hAnsi="Times New Roman"/>
          <w:color w:val="000000"/>
          <w:sz w:val="21"/>
        </w:rPr>
        <w:t>Multiply continuous clearness profile by high-resolution instantaneous clear-sky POA: GTI_m(b) = Kt_m(b) * POA_cs(b). This perfectly recovers astronomical Earth rotation curvature while preserving NWP cloud attenuation.</w:t>
      </w:r>
    </w:p>
    <w:p>
      <w:pPr>
        <w:pStyle w:val="ListBullet"/>
        <w:spacing w:before="40" w:after="80" w:line="276" w:lineRule="auto"/>
      </w:pPr>
      <w:r>
        <w:rPr>
          <w:rFonts w:ascii="Times New Roman" w:hAnsi="Times New Roman"/>
          <w:b/>
          <w:color w:val="000000"/>
          <w:sz w:val="21"/>
        </w:rPr>
        <w:t xml:space="preserve">Step 3.5 Matrix Validation: </w:t>
      </w:r>
      <w:r>
        <w:rPr>
          <w:rFonts w:ascii="Times New Roman" w:hAnsi="Times New Roman"/>
          <w:color w:val="000000"/>
          <w:sz w:val="21"/>
        </w:rPr>
        <w:t>FOR each member m and block b: IF GTI_m(b) &lt; 0.0: set GTI_m(b) = 0.0. IF block b &lt; 24 OR block b &gt; 74: set GTI_m(b) = 0.0.</w:t>
      </w:r>
    </w:p>
    <w:p>
      <w:pPr>
        <w:pStyle w:val="ListBullet"/>
        <w:spacing w:before="40" w:after="80" w:line="276" w:lineRule="auto"/>
      </w:pPr>
      <w:r>
        <w:rPr>
          <w:rFonts w:ascii="Times New Roman" w:hAnsi="Times New Roman"/>
          <w:b/>
          <w:color w:val="000000"/>
          <w:sz w:val="21"/>
        </w:rPr>
        <w:t xml:space="preserve">Step 3.6 Persistence: </w:t>
      </w:r>
      <w:r>
        <w:rPr>
          <w:rFonts w:ascii="Times New Roman" w:hAnsi="Times New Roman"/>
          <w:color w:val="000000"/>
          <w:sz w:val="21"/>
        </w:rPr>
        <w:t>Save matrix to da_gti_matrix_{site_id}_{D_target}.csv. RETURN GTI_matrix_da[143][96].</w:t>
      </w:r>
    </w:p>
    <w:p>
      <w:pPr>
        <w:spacing w:after="160"/>
      </w:pPr>
    </w:p>
    <w:p>
      <w:pPr>
        <w:keepNext/>
        <w:spacing w:before="240" w:after="80"/>
      </w:pPr>
      <w:r>
        <w:rPr>
          <w:rFonts w:ascii="Times New Roman" w:hAnsi="Times New Roman"/>
          <w:b/>
          <w:color w:val="000000"/>
          <w:sz w:val="26"/>
        </w:rPr>
        <w:t>3.4 Module 4: Faiman/Sandia Convective Thermal Derating &amp; Inverter Conversion Engine</w:t>
      </w:r>
    </w:p>
    <w:p>
      <w:pPr>
        <w:spacing w:before="40" w:after="40"/>
      </w:pPr>
      <w:r>
        <w:rPr>
          <w:rFonts w:ascii="Times New Roman" w:hAnsi="Times New Roman"/>
          <w:b/>
          <w:color w:val="000000"/>
          <w:sz w:val="20"/>
        </w:rPr>
        <w:t xml:space="preserve">• Algorithm Inputs: </w:t>
      </w:r>
      <w:r>
        <w:rPr>
          <w:rFonts w:ascii="Times New Roman" w:hAnsi="Times New Roman"/>
          <w:color w:val="000000"/>
          <w:sz w:val="20"/>
        </w:rPr>
        <w:t>GTI_matrix_da[143][96], T_air_m(b), wind_10m_m(b), P_CAP_DC, P_CAP_AC, gamma_Pmp, u0, u1, M[b].</w:t>
      </w:r>
    </w:p>
    <w:p>
      <w:pPr>
        <w:spacing w:before="40" w:after="120"/>
      </w:pPr>
      <w:r>
        <w:rPr>
          <w:rFonts w:ascii="Times New Roman" w:hAnsi="Times New Roman"/>
          <w:b/>
          <w:color w:val="000000"/>
          <w:sz w:val="20"/>
        </w:rPr>
        <w:t xml:space="preserve">• Algorithm Outputs: </w:t>
      </w:r>
      <w:r>
        <w:rPr>
          <w:rFonts w:ascii="Times New Roman" w:hAnsi="Times New Roman"/>
          <w:color w:val="000000"/>
          <w:sz w:val="20"/>
        </w:rPr>
        <w:t>P_base_matrix_da[143][96] (Thermally derated AC base power matrix for all 143 candidates).</w:t>
      </w:r>
    </w:p>
    <w:p>
      <w:pPr>
        <w:spacing w:before="80" w:after="80"/>
      </w:pPr>
      <w:r>
        <w:rPr>
          <w:rFonts w:ascii="Times New Roman" w:hAnsi="Times New Roman"/>
          <w:b/>
          <w:color w:val="000000"/>
          <w:sz w:val="20"/>
        </w:rPr>
        <w:t>Algorithmic Procedure:</w:t>
      </w:r>
    </w:p>
    <w:p>
      <w:pPr>
        <w:pStyle w:val="ListBullet"/>
        <w:spacing w:before="40" w:after="80" w:line="276" w:lineRule="auto"/>
      </w:pPr>
      <w:r>
        <w:rPr>
          <w:rFonts w:ascii="Times New Roman" w:hAnsi="Times New Roman"/>
          <w:b/>
          <w:color w:val="000000"/>
          <w:sz w:val="21"/>
        </w:rPr>
        <w:t xml:space="preserve">Step 4.1 Evaluate Sandia Module Cell Temperature: </w:t>
      </w:r>
      <w:r>
        <w:rPr>
          <w:rFonts w:ascii="Times New Roman" w:hAnsi="Times New Roman"/>
          <w:color w:val="000000"/>
          <w:sz w:val="21"/>
        </w:rPr>
        <w:t>FOR each member m and block b: evaluate PV cell temperature using Sandia Faiman model: T_cell_m(b) = T_air_m(b) + GTI_m(b) * exp(-u0 - u1 * wind_10m_m(b)) where u0=29.0, u1=0.0.</w:t>
      </w:r>
    </w:p>
    <w:p>
      <w:pPr>
        <w:pStyle w:val="ListBullet"/>
        <w:spacing w:before="40" w:after="80" w:line="276" w:lineRule="auto"/>
      </w:pPr>
      <w:r>
        <w:rPr>
          <w:rFonts w:ascii="Times New Roman" w:hAnsi="Times New Roman"/>
          <w:b/>
          <w:color w:val="000000"/>
          <w:sz w:val="21"/>
        </w:rPr>
        <w:t xml:space="preserve">Step 4.2 Thermal Power Derating Calculation: </w:t>
      </w:r>
      <w:r>
        <w:rPr>
          <w:rFonts w:ascii="Times New Roman" w:hAnsi="Times New Roman"/>
          <w:color w:val="000000"/>
          <w:sz w:val="21"/>
        </w:rPr>
        <w:t>Compute module temperature efficiency factor: derate_temp_m(b) = 1.0 + (gamma_Pmp / 100.0) * (T_cell_m(b) - 25.0) where gamma_Pmp = -0.37% / °C.</w:t>
      </w:r>
    </w:p>
    <w:p>
      <w:pPr>
        <w:pStyle w:val="ListBullet"/>
        <w:spacing w:before="40" w:after="80" w:line="276" w:lineRule="auto"/>
      </w:pPr>
      <w:r>
        <w:rPr>
          <w:rFonts w:ascii="Times New Roman" w:hAnsi="Times New Roman"/>
          <w:b/>
          <w:color w:val="000000"/>
          <w:sz w:val="21"/>
        </w:rPr>
        <w:t xml:space="preserve">Step 4.3 DC Generation &amp; AC Inverter Conversion: </w:t>
      </w:r>
      <w:r>
        <w:rPr>
          <w:rFonts w:ascii="Times New Roman" w:hAnsi="Times New Roman"/>
          <w:color w:val="000000"/>
          <w:sz w:val="21"/>
        </w:rPr>
        <w:t>Compute raw DC power: P_dc_m(b) = P_CAP_DC * (GTI_m(b) / 1000.0) * derate_temp_m(b). Convert to AC export power via inverter efficiency curve: P_ac_m(b) = min(P_dc_m(b) * eta_transfer, P_CAP_AC).</w:t>
      </w:r>
    </w:p>
    <w:p>
      <w:pPr>
        <w:pStyle w:val="ListBullet"/>
        <w:spacing w:before="40" w:after="80" w:line="276" w:lineRule="auto"/>
      </w:pPr>
      <w:r>
        <w:rPr>
          <w:rFonts w:ascii="Times New Roman" w:hAnsi="Times New Roman"/>
          <w:b/>
          <w:color w:val="000000"/>
          <w:sz w:val="21"/>
        </w:rPr>
        <w:t xml:space="preserve">Step 4.4 Ingest Site Empirical Transfer Multipliers: </w:t>
      </w:r>
      <w:r>
        <w:rPr>
          <w:rFonts w:ascii="Times New Roman" w:hAnsi="Times New Roman"/>
          <w:color w:val="000000"/>
          <w:sz w:val="21"/>
        </w:rPr>
        <w:t>Multiply AC output by 96-block empirical site array transfer weights: P_base_m(b) = round(P_ac_m(b) * M[b], 2).</w:t>
      </w:r>
    </w:p>
    <w:p>
      <w:pPr>
        <w:pStyle w:val="ListBullet"/>
        <w:spacing w:before="40" w:after="80" w:line="276" w:lineRule="auto"/>
      </w:pPr>
      <w:r>
        <w:rPr>
          <w:rFonts w:ascii="Times New Roman" w:hAnsi="Times New Roman"/>
          <w:b/>
          <w:color w:val="000000"/>
          <w:sz w:val="21"/>
        </w:rPr>
        <w:t xml:space="preserve">Step 4.5 Clear-Sky Envelope Clamping: </w:t>
      </w:r>
      <w:r>
        <w:rPr>
          <w:rFonts w:ascii="Times New Roman" w:hAnsi="Times New Roman"/>
          <w:color w:val="000000"/>
          <w:sz w:val="21"/>
        </w:rPr>
        <w:t>Clamp base power strictly below theoretical clear-sky envelope: P_base_m(b) = min(P_base_m(b), P_clearsky(b)).</w:t>
      </w:r>
    </w:p>
    <w:p>
      <w:pPr>
        <w:pStyle w:val="ListBullet"/>
        <w:spacing w:before="40" w:after="80" w:line="276" w:lineRule="auto"/>
      </w:pPr>
      <w:r>
        <w:rPr>
          <w:rFonts w:ascii="Times New Roman" w:hAnsi="Times New Roman"/>
          <w:b/>
          <w:color w:val="000000"/>
          <w:sz w:val="21"/>
        </w:rPr>
        <w:t xml:space="preserve">Step 4.6 Persistence: </w:t>
      </w:r>
      <w:r>
        <w:rPr>
          <w:rFonts w:ascii="Times New Roman" w:hAnsi="Times New Roman"/>
          <w:color w:val="000000"/>
          <w:sz w:val="21"/>
        </w:rPr>
        <w:t>Save matrix to da_physics_base_power_{site_id}_{D_target}.csv. RETURN P_base_matrix_da[143][96].</w:t>
      </w:r>
    </w:p>
    <w:p>
      <w:pPr>
        <w:spacing w:after="160"/>
      </w:pPr>
    </w:p>
    <w:p>
      <w:pPr>
        <w:keepNext/>
        <w:spacing w:before="240" w:after="80"/>
      </w:pPr>
      <w:r>
        <w:rPr>
          <w:rFonts w:ascii="Times New Roman" w:hAnsi="Times New Roman"/>
          <w:b/>
          <w:color w:val="000000"/>
          <w:sz w:val="26"/>
        </w:rPr>
        <w:t>3.5 Module 5: 24h-Lead-Time MOS Error Accounting &amp; Top-6 Selection with Agency Diversity Cap</w:t>
      </w:r>
    </w:p>
    <w:p>
      <w:pPr>
        <w:spacing w:before="40" w:after="40"/>
      </w:pPr>
      <w:r>
        <w:rPr>
          <w:rFonts w:ascii="Times New Roman" w:hAnsi="Times New Roman"/>
          <w:b/>
          <w:color w:val="000000"/>
          <w:sz w:val="20"/>
        </w:rPr>
        <w:t xml:space="preserve">• Algorithm Inputs: </w:t>
      </w:r>
      <w:r>
        <w:rPr>
          <w:rFonts w:ascii="Times New Roman" w:hAnsi="Times New Roman"/>
          <w:color w:val="000000"/>
          <w:sz w:val="20"/>
        </w:rPr>
        <w:t>P_base_matrix_history[7][143][96], Historical_SCADA_7D[7][96], P_base_matrix_da[143][96].</w:t>
      </w:r>
    </w:p>
    <w:p>
      <w:pPr>
        <w:spacing w:before="40" w:after="120"/>
      </w:pPr>
      <w:r>
        <w:rPr>
          <w:rFonts w:ascii="Times New Roman" w:hAnsi="Times New Roman"/>
          <w:b/>
          <w:color w:val="000000"/>
          <w:sz w:val="20"/>
        </w:rPr>
        <w:t xml:space="preserve">• Algorithm Outputs: </w:t>
      </w:r>
      <w:r>
        <w:rPr>
          <w:rFonts w:ascii="Times New Roman" w:hAnsi="Times New Roman"/>
          <w:color w:val="000000"/>
          <w:sz w:val="20"/>
        </w:rPr>
        <w:t>P_mos_da[1..96] (Fused Day-Ahead MOS consensus power forecast vector).</w:t>
      </w:r>
    </w:p>
    <w:p>
      <w:pPr>
        <w:spacing w:before="80" w:after="80"/>
      </w:pPr>
      <w:r>
        <w:rPr>
          <w:rFonts w:ascii="Times New Roman" w:hAnsi="Times New Roman"/>
          <w:b/>
          <w:color w:val="000000"/>
          <w:sz w:val="20"/>
        </w:rPr>
        <w:t>Algorithmic Procedure:</w:t>
      </w:r>
    </w:p>
    <w:p>
      <w:pPr>
        <w:pStyle w:val="ListBullet"/>
        <w:spacing w:before="40" w:after="80" w:line="276" w:lineRule="auto"/>
      </w:pPr>
      <w:r>
        <w:rPr>
          <w:rFonts w:ascii="Times New Roman" w:hAnsi="Times New Roman"/>
          <w:b/>
          <w:color w:val="000000"/>
          <w:sz w:val="21"/>
        </w:rPr>
        <w:t xml:space="preserve">Step 5.1 Evaluate 24h Lead-Time Historical Error: </w:t>
      </w:r>
      <w:r>
        <w:rPr>
          <w:rFonts w:ascii="Times New Roman" w:hAnsi="Times New Roman"/>
          <w:color w:val="000000"/>
          <w:sz w:val="21"/>
        </w:rPr>
        <w:t>FOR each member m in {1, ..., 143} and block b in {1, ..., 96}: compute Mean Absolute Error (MAE) over rolling 7-day lookback specifically evaluated at 24h-48h forecast lead times: MAE_m(b) = mean(|P_base_history(d, m, b) - SCADA_history(d, b)|).</w:t>
      </w:r>
    </w:p>
    <w:p>
      <w:pPr>
        <w:pStyle w:val="ListBullet"/>
        <w:spacing w:before="40" w:after="80" w:line="276" w:lineRule="auto"/>
      </w:pPr>
      <w:r>
        <w:rPr>
          <w:rFonts w:ascii="Times New Roman" w:hAnsi="Times New Roman"/>
          <w:b/>
          <w:color w:val="000000"/>
          <w:sz w:val="21"/>
        </w:rPr>
        <w:t xml:space="preserve">Step 5.2 Partition Day T+1 into 3 Diurnal Slots: </w:t>
      </w:r>
      <w:r>
        <w:rPr>
          <w:rFonts w:ascii="Times New Roman" w:hAnsi="Times New Roman"/>
          <w:color w:val="000000"/>
          <w:sz w:val="21"/>
        </w:rPr>
        <w:t>Divide 96 blocks into 3 operational slots: Slot 1 (Morning: Blocks 24-40 / 06:00-10:00 IST), Slot 2 (Midday: Blocks 41-56 / 10:00-14:00 IST), Slot 3 (Evening: Blocks 57-74 / 14:00-18:30 IST).</w:t>
      </w:r>
    </w:p>
    <w:p>
      <w:pPr>
        <w:pStyle w:val="ListBullet"/>
        <w:spacing w:before="40" w:after="80" w:line="276" w:lineRule="auto"/>
      </w:pPr>
      <w:r>
        <w:rPr>
          <w:rFonts w:ascii="Times New Roman" w:hAnsi="Times New Roman"/>
          <w:b/>
          <w:color w:val="000000"/>
          <w:sz w:val="21"/>
        </w:rPr>
        <w:t xml:space="preserve">Step 5.3 Enforce Top-6 Selection &amp; Mandatory Agency Diversity Capping Algorithm: </w:t>
      </w:r>
      <w:r>
        <w:rPr>
          <w:rFonts w:ascii="Times New Roman" w:hAnsi="Times New Roman"/>
          <w:color w:val="000000"/>
          <w:sz w:val="21"/>
        </w:rPr>
        <w:t>Rank candidates in each slot by ascending MAE. Select top K=6 champions while enforcing MANDATORY AGENCY DIVERSITY CAP: max 2 members per NWP family (ECMWF 0..34, ICON 35..74, GFS 75..104, GEM 105..142). Why? Prevents single-model family bias from dominating the ensemble. Pseudocode: Initialize selected = [], agency_counts = {ECMWF:0, ICON:0, GFS:0, GEM:0}. FOR m in ranked_indices: agency = get_agency(m). IF agency_counts[agency] &lt; 2: append m to selected; agency_counts[agency] += 1; IF len(selected) == 6: break.</w:t>
      </w:r>
    </w:p>
    <w:p>
      <w:pPr>
        <w:pStyle w:val="ListBullet"/>
        <w:spacing w:before="40" w:after="80" w:line="276" w:lineRule="auto"/>
      </w:pPr>
      <w:r>
        <w:rPr>
          <w:rFonts w:ascii="Times New Roman" w:hAnsi="Times New Roman"/>
          <w:b/>
          <w:color w:val="000000"/>
          <w:sz w:val="21"/>
        </w:rPr>
        <w:t xml:space="preserve">Step 5.4 Compute Bayesian Inverse-Loss Weights (Weighted Percentage vs Mean): </w:t>
      </w:r>
      <w:r>
        <w:rPr>
          <w:rFonts w:ascii="Times New Roman" w:hAnsi="Times New Roman"/>
          <w:color w:val="000000"/>
          <w:sz w:val="21"/>
        </w:rPr>
        <w:t>Simple mean is strictly rejected because equal-weighting treats an inaccurate member (MAE = 1.2 MW) identically to a high-accuracy member (MAE = 0.3 MW). For top 6 selected slot champions i in [1..6], compute normalized weight w_i,k = (1 / MAE_bar_i,k) / SUM(1 / MAE_bar_j,k).</w:t>
      </w:r>
    </w:p>
    <w:p>
      <w:pPr>
        <w:pStyle w:val="ListBullet"/>
        <w:spacing w:before="40" w:after="80" w:line="276" w:lineRule="auto"/>
      </w:pPr>
      <w:r>
        <w:rPr>
          <w:rFonts w:ascii="Times New Roman" w:hAnsi="Times New Roman"/>
          <w:b/>
          <w:color w:val="000000"/>
          <w:sz w:val="21"/>
        </w:rPr>
        <w:t xml:space="preserve">Step 5.5 Apply Empirical MOS Linear Calibration Gain: </w:t>
      </w:r>
      <w:r>
        <w:rPr>
          <w:rFonts w:ascii="Times New Roman" w:hAnsi="Times New Roman"/>
          <w:color w:val="000000"/>
          <w:sz w:val="21"/>
        </w:rPr>
        <w:t>Apply diurnal MOS linear calibration gain to slot blended profile: P_calib_k(b) = a_k * SUM(w_i,k * P_base_i(b)) + b_k.</w:t>
      </w:r>
    </w:p>
    <w:p>
      <w:pPr>
        <w:pStyle w:val="ListBullet"/>
        <w:spacing w:before="40" w:after="80" w:line="276" w:lineRule="auto"/>
      </w:pPr>
      <w:r>
        <w:rPr>
          <w:rFonts w:ascii="Times New Roman" w:hAnsi="Times New Roman"/>
          <w:b/>
          <w:color w:val="000000"/>
          <w:sz w:val="21"/>
        </w:rPr>
        <w:t xml:space="preserve">Step 5.6 Raised-Cosine Slot Cross-Fading: </w:t>
      </w:r>
      <w:r>
        <w:rPr>
          <w:rFonts w:ascii="Times New Roman" w:hAnsi="Times New Roman"/>
          <w:color w:val="000000"/>
          <w:sz w:val="21"/>
        </w:rPr>
        <w:t>Blend slot boundary transitions (Blocks 39-42 and Blocks 55-58) using 4-block raised-cosine weights w_fade = 0.5 * (1 - cos(pi * idx / 3)) to ensure seamless continuity across slot changes.</w:t>
      </w:r>
    </w:p>
    <w:p>
      <w:pPr>
        <w:pStyle w:val="ListBullet"/>
        <w:spacing w:before="40" w:after="80" w:line="276" w:lineRule="auto"/>
      </w:pPr>
      <w:r>
        <w:rPr>
          <w:rFonts w:ascii="Times New Roman" w:hAnsi="Times New Roman"/>
          <w:b/>
          <w:color w:val="000000"/>
          <w:sz w:val="21"/>
        </w:rPr>
        <w:t xml:space="preserve">Step 5.7 Persistence: </w:t>
      </w:r>
      <w:r>
        <w:rPr>
          <w:rFonts w:ascii="Times New Roman" w:hAnsi="Times New Roman"/>
          <w:color w:val="000000"/>
          <w:sz w:val="21"/>
        </w:rPr>
        <w:t>Save fused profile to da_mos_consensus_{site_id}_{D_target}.csv. RETURN P_mos_da[1..96].</w:t>
      </w:r>
    </w:p>
    <w:p>
      <w:pPr>
        <w:spacing w:after="160"/>
      </w:pPr>
    </w:p>
    <w:p>
      <w:pPr>
        <w:keepNext/>
        <w:spacing w:before="240" w:after="80"/>
      </w:pPr>
      <w:r>
        <w:rPr>
          <w:rFonts w:ascii="Times New Roman" w:hAnsi="Times New Roman"/>
          <w:b/>
          <w:color w:val="000000"/>
          <w:sz w:val="26"/>
        </w:rPr>
        <w:t>3.6 Module 6: Planned Hardware Maintenance &amp; Availability Derate Engine</w:t>
      </w:r>
    </w:p>
    <w:p>
      <w:pPr>
        <w:spacing w:before="40" w:after="40"/>
      </w:pPr>
      <w:r>
        <w:rPr>
          <w:rFonts w:ascii="Times New Roman" w:hAnsi="Times New Roman"/>
          <w:b/>
          <w:color w:val="000000"/>
          <w:sz w:val="20"/>
        </w:rPr>
        <w:t xml:space="preserve">• Algorithm Inputs: </w:t>
      </w:r>
      <w:r>
        <w:rPr>
          <w:rFonts w:ascii="Times New Roman" w:hAnsi="Times New Roman"/>
          <w:color w:val="000000"/>
          <w:sz w:val="20"/>
        </w:rPr>
        <w:t>P_mos_da[1..96], Maintenance_Log (scheduled outages for Day T+1), P_CAP_AC.</w:t>
      </w:r>
    </w:p>
    <w:p>
      <w:pPr>
        <w:spacing w:before="40" w:after="120"/>
      </w:pPr>
      <w:r>
        <w:rPr>
          <w:rFonts w:ascii="Times New Roman" w:hAnsi="Times New Roman"/>
          <w:b/>
          <w:color w:val="000000"/>
          <w:sz w:val="20"/>
        </w:rPr>
        <w:t xml:space="preserve">• Algorithm Outputs: </w:t>
      </w:r>
      <w:r>
        <w:rPr>
          <w:rFonts w:ascii="Times New Roman" w:hAnsi="Times New Roman"/>
          <w:color w:val="000000"/>
          <w:sz w:val="20"/>
        </w:rPr>
        <w:t>P_avail[1..96] (Derated active plant capacity envelope), P_mos_derated[1..96].</w:t>
      </w:r>
    </w:p>
    <w:p>
      <w:pPr>
        <w:spacing w:before="80" w:after="80"/>
      </w:pPr>
      <w:r>
        <w:rPr>
          <w:rFonts w:ascii="Times New Roman" w:hAnsi="Times New Roman"/>
          <w:b/>
          <w:color w:val="000000"/>
          <w:sz w:val="20"/>
        </w:rPr>
        <w:t>Algorithmic Procedure:</w:t>
      </w:r>
    </w:p>
    <w:p>
      <w:pPr>
        <w:pStyle w:val="ListBullet"/>
        <w:spacing w:before="40" w:after="80" w:line="276" w:lineRule="auto"/>
      </w:pPr>
      <w:r>
        <w:rPr>
          <w:rFonts w:ascii="Times New Roman" w:hAnsi="Times New Roman"/>
          <w:b/>
          <w:color w:val="000000"/>
          <w:sz w:val="21"/>
        </w:rPr>
        <w:t xml:space="preserve">Step 6.1 Ingest Day T+1 Maintenance &amp; Outage Schedule: </w:t>
      </w:r>
      <w:r>
        <w:rPr>
          <w:rFonts w:ascii="Times New Roman" w:hAnsi="Times New Roman"/>
          <w:color w:val="000000"/>
          <w:sz w:val="21"/>
        </w:rPr>
        <w:t>Query plant maintenance registry for target date D_target. Extract planned inverter outages (N_inv_outage(b)), transformer maintenance windows, and tracker array isolation events.</w:t>
      </w:r>
    </w:p>
    <w:p>
      <w:pPr>
        <w:pStyle w:val="ListBullet"/>
        <w:spacing w:before="40" w:after="80" w:line="276" w:lineRule="auto"/>
      </w:pPr>
      <w:r>
        <w:rPr>
          <w:rFonts w:ascii="Times New Roman" w:hAnsi="Times New Roman"/>
          <w:b/>
          <w:color w:val="000000"/>
          <w:sz w:val="21"/>
        </w:rPr>
        <w:t xml:space="preserve">Step 6.2 Calculate Active Interconnect Capacity Envelope: </w:t>
      </w:r>
      <w:r>
        <w:rPr>
          <w:rFonts w:ascii="Times New Roman" w:hAnsi="Times New Roman"/>
          <w:color w:val="000000"/>
          <w:sz w:val="21"/>
        </w:rPr>
        <w:t>FOR each block b in {1, ..., 96}: compute active available capacity: P_avail(b) = P_CAP_AC * ((N_inv_total - N_inv_outage(b)) / N_inv_total).</w:t>
      </w:r>
    </w:p>
    <w:p>
      <w:pPr>
        <w:pStyle w:val="ListBullet"/>
        <w:spacing w:before="40" w:after="80" w:line="276" w:lineRule="auto"/>
      </w:pPr>
      <w:r>
        <w:rPr>
          <w:rFonts w:ascii="Times New Roman" w:hAnsi="Times New Roman"/>
          <w:b/>
          <w:color w:val="000000"/>
          <w:sz w:val="21"/>
        </w:rPr>
        <w:t xml:space="preserve">Step 6.3 Apply Capacity Ceiling Derate: </w:t>
      </w:r>
      <w:r>
        <w:rPr>
          <w:rFonts w:ascii="Times New Roman" w:hAnsi="Times New Roman"/>
          <w:color w:val="000000"/>
          <w:sz w:val="21"/>
        </w:rPr>
        <w:t>FOR each block b: set P_mos_derated(b) = min(P_mos_da(b), P_avail(b)).</w:t>
      </w:r>
    </w:p>
    <w:p>
      <w:pPr>
        <w:pStyle w:val="ListBullet"/>
        <w:spacing w:before="40" w:after="80" w:line="276" w:lineRule="auto"/>
      </w:pPr>
      <w:r>
        <w:rPr>
          <w:rFonts w:ascii="Times New Roman" w:hAnsi="Times New Roman"/>
          <w:b/>
          <w:color w:val="000000"/>
          <w:sz w:val="21"/>
        </w:rPr>
        <w:t xml:space="preserve">Step 6.4 Log Maintenance Audit Trail: </w:t>
      </w:r>
      <w:r>
        <w:rPr>
          <w:rFonts w:ascii="Times New Roman" w:hAnsi="Times New Roman"/>
          <w:color w:val="000000"/>
          <w:sz w:val="21"/>
        </w:rPr>
        <w:t>Record derate details in execution log: log site_id, D_target, affected blocks, and capacity reduction MW.</w:t>
      </w:r>
    </w:p>
    <w:p>
      <w:pPr>
        <w:pStyle w:val="ListBullet"/>
        <w:spacing w:before="40" w:after="80" w:line="276" w:lineRule="auto"/>
      </w:pPr>
      <w:r>
        <w:rPr>
          <w:rFonts w:ascii="Times New Roman" w:hAnsi="Times New Roman"/>
          <w:b/>
          <w:color w:val="000000"/>
          <w:sz w:val="21"/>
        </w:rPr>
        <w:t xml:space="preserve">Step 6.5 Save Availability Profile: </w:t>
      </w:r>
      <w:r>
        <w:rPr>
          <w:rFonts w:ascii="Times New Roman" w:hAnsi="Times New Roman"/>
          <w:color w:val="000000"/>
          <w:sz w:val="21"/>
        </w:rPr>
        <w:t>Write derate profile to da_capacity_derate_{site_id}_{D_target}.json. RETURN {P_avail, P_mos_derated}.</w:t>
      </w:r>
    </w:p>
    <w:p>
      <w:pPr>
        <w:spacing w:after="160"/>
      </w:pPr>
    </w:p>
    <w:p>
      <w:pPr>
        <w:keepNext/>
        <w:spacing w:before="240" w:after="80"/>
      </w:pPr>
      <w:r>
        <w:rPr>
          <w:rFonts w:ascii="Times New Roman" w:hAnsi="Times New Roman"/>
          <w:b/>
          <w:color w:val="000000"/>
          <w:sz w:val="26"/>
        </w:rPr>
        <w:t>3.7 Module 7: Master Day-Ahead Prompt Construction &amp; Atmospheric Context Assembly</w:t>
      </w:r>
    </w:p>
    <w:p>
      <w:pPr>
        <w:spacing w:before="40" w:after="40"/>
      </w:pPr>
      <w:r>
        <w:rPr>
          <w:rFonts w:ascii="Times New Roman" w:hAnsi="Times New Roman"/>
          <w:b/>
          <w:color w:val="000000"/>
          <w:sz w:val="20"/>
        </w:rPr>
        <w:t xml:space="preserve">• Algorithm Inputs: </w:t>
      </w:r>
      <w:r>
        <w:rPr>
          <w:rFonts w:ascii="Times New Roman" w:hAnsi="Times New Roman"/>
          <w:color w:val="000000"/>
          <w:sz w:val="20"/>
        </w:rPr>
        <w:t>Site_Config, D_target, P_clearsky, P_mos_derated, NWP_Indicators, 24h_MOS_Rankings.</w:t>
      </w:r>
    </w:p>
    <w:p>
      <w:pPr>
        <w:spacing w:before="40" w:after="120"/>
      </w:pPr>
      <w:r>
        <w:rPr>
          <w:rFonts w:ascii="Times New Roman" w:hAnsi="Times New Roman"/>
          <w:b/>
          <w:color w:val="000000"/>
          <w:sz w:val="20"/>
        </w:rPr>
        <w:t xml:space="preserve">• Algorithm Outputs: </w:t>
      </w:r>
      <w:r>
        <w:rPr>
          <w:rFonts w:ascii="Times New Roman" w:hAnsi="Times New Roman"/>
          <w:color w:val="000000"/>
          <w:sz w:val="20"/>
        </w:rPr>
        <w:t>Master Day-Ahead Scheduling Prompt text file written to disk.</w:t>
      </w:r>
    </w:p>
    <w:p>
      <w:pPr>
        <w:spacing w:before="80" w:after="80"/>
      </w:pPr>
      <w:r>
        <w:rPr>
          <w:rFonts w:ascii="Times New Roman" w:hAnsi="Times New Roman"/>
          <w:b/>
          <w:color w:val="000000"/>
          <w:sz w:val="20"/>
        </w:rPr>
        <w:t>Algorithmic Procedure:</w:t>
      </w:r>
    </w:p>
    <w:p>
      <w:pPr>
        <w:pStyle w:val="ListBullet"/>
        <w:spacing w:before="40" w:after="80" w:line="276" w:lineRule="auto"/>
      </w:pPr>
      <w:r>
        <w:rPr>
          <w:rFonts w:ascii="Times New Roman" w:hAnsi="Times New Roman"/>
          <w:b/>
          <w:color w:val="000000"/>
          <w:sz w:val="21"/>
        </w:rPr>
        <w:t xml:space="preserve">Step 7.1 Assemble SECTION 1: System &amp; Gate Closure Constraints: </w:t>
      </w:r>
      <w:r>
        <w:rPr>
          <w:rFonts w:ascii="Times New Roman" w:hAnsi="Times New Roman"/>
          <w:color w:val="000000"/>
          <w:sz w:val="21"/>
        </w:rPr>
        <w:t>Embed AC Interconnect Capacity P_CAP_AC, DC Installed Capacity P_CAP_DC, Transfer Ratio eta_transfer, and statutory 10:00 AM gate closure rules for D_target.</w:t>
      </w:r>
    </w:p>
    <w:p>
      <w:pPr>
        <w:pStyle w:val="ListBullet"/>
        <w:spacing w:before="40" w:after="80" w:line="276" w:lineRule="auto"/>
      </w:pPr>
      <w:r>
        <w:rPr>
          <w:rFonts w:ascii="Times New Roman" w:hAnsi="Times New Roman"/>
          <w:b/>
          <w:color w:val="000000"/>
          <w:sz w:val="21"/>
        </w:rPr>
        <w:t xml:space="preserve">Step 7.2 Assemble SECTION 2: Synoptic Weather Indicators for Target Date: </w:t>
      </w:r>
      <w:r>
        <w:rPr>
          <w:rFonts w:ascii="Times New Roman" w:hAnsi="Times New Roman"/>
          <w:color w:val="000000"/>
          <w:sz w:val="21"/>
        </w:rPr>
        <w:t>Inject synoptic indicators: convective CAPE (J/kg), total cloud cover %, relative humidity %, AOD, 10m wind speed, and NWP model divergence metric.</w:t>
      </w:r>
    </w:p>
    <w:p>
      <w:pPr>
        <w:pStyle w:val="ListBullet"/>
        <w:spacing w:before="40" w:after="80" w:line="276" w:lineRule="auto"/>
      </w:pPr>
      <w:r>
        <w:rPr>
          <w:rFonts w:ascii="Times New Roman" w:hAnsi="Times New Roman"/>
          <w:b/>
          <w:color w:val="000000"/>
          <w:sz w:val="21"/>
        </w:rPr>
        <w:t xml:space="preserve">Step 7.3 Assemble SECTION 3: 24h Lead-Time MOS Accuracy Context: </w:t>
      </w:r>
      <w:r>
        <w:rPr>
          <w:rFonts w:ascii="Times New Roman" w:hAnsi="Times New Roman"/>
          <w:color w:val="000000"/>
          <w:sz w:val="21"/>
        </w:rPr>
        <w:t>Embed rolling 7-day 24h lead-time MAE rankings of top ECMWF, ICON, GFS, and GEM candidates across diurnal slots.</w:t>
      </w:r>
    </w:p>
    <w:p>
      <w:pPr>
        <w:pStyle w:val="ListBullet"/>
        <w:spacing w:before="40" w:after="80" w:line="276" w:lineRule="auto"/>
      </w:pPr>
      <w:r>
        <w:rPr>
          <w:rFonts w:ascii="Times New Roman" w:hAnsi="Times New Roman"/>
          <w:b/>
          <w:color w:val="000000"/>
          <w:sz w:val="21"/>
        </w:rPr>
        <w:t xml:space="preserve">Step 7.4 Construct SECTION 4: 96-Block Comparison Data Matrix Table: </w:t>
      </w:r>
      <w:r>
        <w:rPr>
          <w:rFonts w:ascii="Times New Roman" w:hAnsi="Times New Roman"/>
          <w:color w:val="000000"/>
          <w:sz w:val="21"/>
        </w:rPr>
        <w:t>FOR each block b in {1, ..., 96}: format line [Block b | Time | Status | ClearSky_MW | MOS_Consensus_MW | ECMWF_Top_MW | GFS_Top_MW | ICON_Top_MW].</w:t>
      </w:r>
    </w:p>
    <w:p>
      <w:pPr>
        <w:pStyle w:val="ListBullet"/>
        <w:spacing w:before="40" w:after="80" w:line="276" w:lineRule="auto"/>
      </w:pPr>
      <w:r>
        <w:rPr>
          <w:rFonts w:ascii="Times New Roman" w:hAnsi="Times New Roman"/>
          <w:b/>
          <w:color w:val="000000"/>
          <w:sz w:val="21"/>
        </w:rPr>
        <w:t xml:space="preserve">Step 7.5 Inject SECTION 5: Strictly Enforced JSON Target Schema: </w:t>
      </w:r>
      <w:r>
        <w:rPr>
          <w:rFonts w:ascii="Times New Roman" w:hAnsi="Times New Roman"/>
          <w:color w:val="000000"/>
          <w:sz w:val="21"/>
        </w:rPr>
        <w:t>Append target JSON schema requiring fields: 'synoptic_regime', 'quantile_bias_factor', 'preferred_nwp_family', 'is_maintenance_outage', 'reasoning', and 'block_predictions' (96-block MW array).</w:t>
      </w:r>
    </w:p>
    <w:p>
      <w:pPr>
        <w:pStyle w:val="ListBullet"/>
        <w:spacing w:before="40" w:after="80" w:line="276" w:lineRule="auto"/>
      </w:pPr>
      <w:r>
        <w:rPr>
          <w:rFonts w:ascii="Times New Roman" w:hAnsi="Times New Roman"/>
          <w:b/>
          <w:color w:val="000000"/>
          <w:sz w:val="21"/>
        </w:rPr>
        <w:t xml:space="preserve">Step 7.6 Save Prompt to Disk: </w:t>
      </w:r>
      <w:r>
        <w:rPr>
          <w:rFonts w:ascii="Times New Roman" w:hAnsi="Times New Roman"/>
          <w:color w:val="000000"/>
          <w:sz w:val="21"/>
        </w:rPr>
        <w:t>Write prompt to master_da_prompt_{site_id}_{D_target}.txt. RETURN Prompt_Text.</w:t>
      </w:r>
    </w:p>
    <w:p>
      <w:pPr>
        <w:spacing w:after="160"/>
      </w:pPr>
    </w:p>
    <w:p>
      <w:pPr>
        <w:keepNext/>
        <w:spacing w:before="240" w:after="80"/>
      </w:pPr>
      <w:r>
        <w:rPr>
          <w:rFonts w:ascii="Times New Roman" w:hAnsi="Times New Roman"/>
          <w:b/>
          <w:color w:val="000000"/>
          <w:sz w:val="26"/>
        </w:rPr>
        <w:t>3.8 Module 8: Strategic Day-Ahead LLM Arbiter &amp; Resilient Key Failure Matrix</w:t>
      </w:r>
    </w:p>
    <w:p>
      <w:pPr>
        <w:spacing w:before="40" w:after="40"/>
      </w:pPr>
      <w:r>
        <w:rPr>
          <w:rFonts w:ascii="Times New Roman" w:hAnsi="Times New Roman"/>
          <w:b/>
          <w:color w:val="000000"/>
          <w:sz w:val="20"/>
        </w:rPr>
        <w:t xml:space="preserve">• Algorithm Inputs: </w:t>
      </w:r>
      <w:r>
        <w:rPr>
          <w:rFonts w:ascii="Times New Roman" w:hAnsi="Times New Roman"/>
          <w:color w:val="000000"/>
          <w:sz w:val="20"/>
        </w:rPr>
        <w:t>Prompt_Text, D_target, P_CAP_AC, OPENROUTER_API_KEYS pool.</w:t>
      </w:r>
    </w:p>
    <w:p>
      <w:pPr>
        <w:spacing w:before="40" w:after="120"/>
      </w:pPr>
      <w:r>
        <w:rPr>
          <w:rFonts w:ascii="Times New Roman" w:hAnsi="Times New Roman"/>
          <w:b/>
          <w:color w:val="000000"/>
          <w:sz w:val="20"/>
        </w:rPr>
        <w:t xml:space="preserve">• Algorithm Outputs: </w:t>
      </w:r>
      <w:r>
        <w:rPr>
          <w:rFonts w:ascii="Times New Roman" w:hAnsi="Times New Roman"/>
          <w:color w:val="000000"/>
          <w:sz w:val="20"/>
        </w:rPr>
        <w:t>Validated Day-Ahead StrategicAdvice JSON payload containing 96-block predictions.</w:t>
      </w:r>
    </w:p>
    <w:p>
      <w:pPr>
        <w:spacing w:before="80" w:after="80"/>
      </w:pPr>
      <w:r>
        <w:rPr>
          <w:rFonts w:ascii="Times New Roman" w:hAnsi="Times New Roman"/>
          <w:b/>
          <w:color w:val="000000"/>
          <w:sz w:val="20"/>
        </w:rPr>
        <w:t>Algorithmic Procedure:</w:t>
      </w:r>
    </w:p>
    <w:p>
      <w:pPr>
        <w:pStyle w:val="ListBullet"/>
        <w:spacing w:before="40" w:after="80" w:line="276" w:lineRule="auto"/>
      </w:pPr>
      <w:r>
        <w:rPr>
          <w:rFonts w:ascii="Times New Roman" w:hAnsi="Times New Roman"/>
          <w:b/>
          <w:color w:val="000000"/>
          <w:sz w:val="21"/>
        </w:rPr>
        <w:t xml:space="preserve">Step 8.1 Initialize Multi-Key Execution Gateway: </w:t>
      </w:r>
      <w:r>
        <w:rPr>
          <w:rFonts w:ascii="Times New Roman" w:hAnsi="Times New Roman"/>
          <w:color w:val="000000"/>
          <w:sz w:val="21"/>
        </w:rPr>
        <w:t>Configure OpenRouter Gateway endpoint https://openrouter.ai/api/v1/chat/completions. Load 3-key API pool [KEY_PRIMARY, KEY_SECONDARY, KEY_GLOBAL_FAILOVER].</w:t>
      </w:r>
    </w:p>
    <w:p>
      <w:pPr>
        <w:pStyle w:val="ListBullet"/>
        <w:spacing w:before="40" w:after="80" w:line="276" w:lineRule="auto"/>
      </w:pPr>
      <w:r>
        <w:rPr>
          <w:rFonts w:ascii="Times New Roman" w:hAnsi="Times New Roman"/>
          <w:b/>
          <w:color w:val="000000"/>
          <w:sz w:val="21"/>
        </w:rPr>
        <w:t xml:space="preserve">Step 8.2 Invoke Target Foundation Model: </w:t>
      </w:r>
      <w:r>
        <w:rPr>
          <w:rFonts w:ascii="Times New Roman" w:hAnsi="Times New Roman"/>
          <w:color w:val="000000"/>
          <w:sz w:val="21"/>
        </w:rPr>
        <w:t>POST request with payload: model = 'openai/gpt-5.6-luna', temperature = 0.20, max_tokens = 2500, response_format = {'type': 'json_object'}). Timeout set to 60 seconds.</w:t>
      </w:r>
    </w:p>
    <w:p>
      <w:pPr>
        <w:pStyle w:val="ListBullet"/>
        <w:spacing w:before="40" w:after="80" w:line="276" w:lineRule="auto"/>
      </w:pPr>
      <w:r>
        <w:rPr>
          <w:rFonts w:ascii="Times New Roman" w:hAnsi="Times New Roman"/>
          <w:b/>
          <w:color w:val="000000"/>
          <w:sz w:val="21"/>
        </w:rPr>
        <w:t xml:space="preserve">Step 8.3 Execute Key Rotation &amp; Failover Matrix: </w:t>
      </w:r>
      <w:r>
        <w:rPr>
          <w:rFonts w:ascii="Times New Roman" w:hAnsi="Times New Roman"/>
          <w:color w:val="000000"/>
          <w:sz w:val="21"/>
        </w:rPr>
        <w:t>IF API returns HTTP 429 (Rate Limit) or HTTP 503 (Unavailable): catch error; execute exponential backoff retry (1s, 2s, 4s); automatically rotate to next key in pool.</w:t>
      </w:r>
    </w:p>
    <w:p>
      <w:pPr>
        <w:pStyle w:val="ListBullet"/>
        <w:spacing w:before="40" w:after="80" w:line="276" w:lineRule="auto"/>
      </w:pPr>
      <w:r>
        <w:rPr>
          <w:rFonts w:ascii="Times New Roman" w:hAnsi="Times New Roman"/>
          <w:b/>
          <w:color w:val="000000"/>
          <w:sz w:val="21"/>
        </w:rPr>
        <w:t xml:space="preserve">Step 8.4 Parse Raw Response &amp; Strip Fences: </w:t>
      </w:r>
      <w:r>
        <w:rPr>
          <w:rFonts w:ascii="Times New Roman" w:hAnsi="Times New Roman"/>
          <w:color w:val="000000"/>
          <w:sz w:val="21"/>
        </w:rPr>
        <w:t>Receive JSON string response. Automatically strip markdown fences (```json ... ```). Parse JSON via json.loads().</w:t>
      </w:r>
    </w:p>
    <w:p>
      <w:pPr>
        <w:pStyle w:val="ListBullet"/>
        <w:spacing w:before="40" w:after="80" w:line="276" w:lineRule="auto"/>
      </w:pPr>
      <w:r>
        <w:rPr>
          <w:rFonts w:ascii="Times New Roman" w:hAnsi="Times New Roman"/>
          <w:b/>
          <w:color w:val="000000"/>
          <w:sz w:val="21"/>
        </w:rPr>
        <w:t xml:space="preserve">Step 8.5 Validate Schema &amp; Synoptic Regime Positioning: </w:t>
      </w:r>
      <w:r>
        <w:rPr>
          <w:rFonts w:ascii="Times New Roman" w:hAnsi="Times New Roman"/>
          <w:color w:val="000000"/>
          <w:sz w:val="21"/>
        </w:rPr>
        <w:t>Validate payload schema. Extract synoptic_regime in ('CLEAR_SKY', 'HIGH_CIRRUS', 'MONSOON_OVERCAST', 'LOCAL_CONVECTIVE'). Clamp quantile_bias_factor in [0.70, 1.08].</w:t>
      </w:r>
    </w:p>
    <w:p>
      <w:pPr>
        <w:pStyle w:val="ListBullet"/>
        <w:spacing w:before="40" w:after="80" w:line="276" w:lineRule="auto"/>
      </w:pPr>
      <w:r>
        <w:rPr>
          <w:rFonts w:ascii="Times New Roman" w:hAnsi="Times New Roman"/>
          <w:b/>
          <w:color w:val="000000"/>
          <w:sz w:val="21"/>
        </w:rPr>
        <w:t xml:space="preserve">Step 8.6 Extract 96-Block Direct Predictions: </w:t>
      </w:r>
      <w:r>
        <w:rPr>
          <w:rFonts w:ascii="Times New Roman" w:hAnsi="Times New Roman"/>
          <w:color w:val="000000"/>
          <w:sz w:val="21"/>
        </w:rPr>
        <w:t>Extract scheduled MW array pred_mw[1..96] from block_predictions. Clamp pred_mw(b) in [0.0, P_avail(b)].</w:t>
      </w:r>
    </w:p>
    <w:p>
      <w:pPr>
        <w:pStyle w:val="ListBullet"/>
        <w:spacing w:before="40" w:after="80" w:line="276" w:lineRule="auto"/>
      </w:pPr>
      <w:r>
        <w:rPr>
          <w:rFonts w:ascii="Times New Roman" w:hAnsi="Times New Roman"/>
          <w:b/>
          <w:color w:val="000000"/>
          <w:sz w:val="21"/>
        </w:rPr>
        <w:t xml:space="preserve">Step 8.7 Deterministic Fail-Safe Fallback SLA: </w:t>
      </w:r>
      <w:r>
        <w:rPr>
          <w:rFonts w:ascii="Times New Roman" w:hAnsi="Times New Roman"/>
          <w:color w:val="000000"/>
          <w:sz w:val="21"/>
        </w:rPr>
        <w:t>IF key pool exhausted or JSON parse fails: trigger instant fail-safe fallback path; substitute Module 5 MOS consensus profile P_mos_derated[1..96] with 0ms execution SLA.</w:t>
      </w:r>
    </w:p>
    <w:p>
      <w:pPr>
        <w:pStyle w:val="ListBullet"/>
        <w:spacing w:before="40" w:after="80" w:line="276" w:lineRule="auto"/>
      </w:pPr>
      <w:r>
        <w:rPr>
          <w:rFonts w:ascii="Times New Roman" w:hAnsi="Times New Roman"/>
          <w:b/>
          <w:color w:val="000000"/>
          <w:sz w:val="21"/>
        </w:rPr>
        <w:t xml:space="preserve">Step 8.8 Save Payload: </w:t>
      </w:r>
      <w:r>
        <w:rPr>
          <w:rFonts w:ascii="Times New Roman" w:hAnsi="Times New Roman"/>
          <w:color w:val="000000"/>
          <w:sz w:val="21"/>
        </w:rPr>
        <w:t>Save output to da_llm_schedule_{site_id}_{D_target}.json. RETURN StrategicAdvice.</w:t>
      </w:r>
    </w:p>
    <w:p>
      <w:pPr>
        <w:spacing w:after="160"/>
      </w:pPr>
    </w:p>
    <w:p>
      <w:pPr>
        <w:keepNext/>
        <w:spacing w:before="240" w:after="80"/>
      </w:pPr>
      <w:r>
        <w:rPr>
          <w:rFonts w:ascii="Times New Roman" w:hAnsi="Times New Roman"/>
          <w:b/>
          <w:color w:val="000000"/>
          <w:sz w:val="26"/>
        </w:rPr>
        <w:t>3.9 Module 9: Physical Guardrail Screening &amp; Final Day-Ahead Schedule Arbitration</w:t>
      </w:r>
    </w:p>
    <w:p>
      <w:pPr>
        <w:spacing w:before="40" w:after="40"/>
      </w:pPr>
      <w:r>
        <w:rPr>
          <w:rFonts w:ascii="Times New Roman" w:hAnsi="Times New Roman"/>
          <w:b/>
          <w:color w:val="000000"/>
          <w:sz w:val="20"/>
        </w:rPr>
        <w:t xml:space="preserve">• Algorithm Inputs: </w:t>
      </w:r>
      <w:r>
        <w:rPr>
          <w:rFonts w:ascii="Times New Roman" w:hAnsi="Times New Roman"/>
          <w:color w:val="000000"/>
          <w:sz w:val="20"/>
        </w:rPr>
        <w:t>StrategicAdvice, P_mos_derated[1..96], P_clearsky[1..96], P_avail[1..96], P_CAP_AC.</w:t>
      </w:r>
    </w:p>
    <w:p>
      <w:pPr>
        <w:spacing w:before="40" w:after="120"/>
      </w:pPr>
      <w:r>
        <w:rPr>
          <w:rFonts w:ascii="Times New Roman" w:hAnsi="Times New Roman"/>
          <w:b/>
          <w:color w:val="000000"/>
          <w:sz w:val="20"/>
        </w:rPr>
        <w:t xml:space="preserve">• Algorithm Outputs: </w:t>
      </w:r>
      <w:r>
        <w:rPr>
          <w:rFonts w:ascii="Times New Roman" w:hAnsi="Times New Roman"/>
          <w:color w:val="000000"/>
          <w:sz w:val="20"/>
        </w:rPr>
        <w:t>P_da[1..96] (Official 96-block Day-Ahead dispatch schedule vector for Day T+1).</w:t>
      </w:r>
    </w:p>
    <w:p>
      <w:pPr>
        <w:spacing w:before="80" w:after="80"/>
      </w:pPr>
      <w:r>
        <w:rPr>
          <w:rFonts w:ascii="Times New Roman" w:hAnsi="Times New Roman"/>
          <w:b/>
          <w:color w:val="000000"/>
          <w:sz w:val="20"/>
        </w:rPr>
        <w:t>Algorithmic Procedure:</w:t>
      </w:r>
    </w:p>
    <w:p>
      <w:pPr>
        <w:pStyle w:val="ListBullet"/>
        <w:spacing w:before="40" w:after="80" w:line="276" w:lineRule="auto"/>
      </w:pPr>
      <w:r>
        <w:rPr>
          <w:rFonts w:ascii="Times New Roman" w:hAnsi="Times New Roman"/>
          <w:b/>
          <w:color w:val="000000"/>
          <w:sz w:val="21"/>
        </w:rPr>
        <w:t xml:space="preserve">Step 9.1 Enforce GUARDRAIL 1 (Solar Geometry Night Zeroing): </w:t>
      </w:r>
      <w:r>
        <w:rPr>
          <w:rFonts w:ascii="Times New Roman" w:hAnsi="Times New Roman"/>
          <w:color w:val="000000"/>
          <w:sz w:val="21"/>
        </w:rPr>
        <w:t>FOR each block b in {1, ..., 96}: IF block b &lt; 24 (Time &lt; 05:45 IST) OR block b &gt; 74 (Time &gt;= 18:30 IST): set P_da(b) = 0.00 MW strictly.</w:t>
      </w:r>
    </w:p>
    <w:p>
      <w:pPr>
        <w:pStyle w:val="ListBullet"/>
        <w:spacing w:before="40" w:after="80" w:line="276" w:lineRule="auto"/>
      </w:pPr>
      <w:r>
        <w:rPr>
          <w:rFonts w:ascii="Times New Roman" w:hAnsi="Times New Roman"/>
          <w:b/>
          <w:color w:val="000000"/>
          <w:sz w:val="21"/>
        </w:rPr>
        <w:t xml:space="preserve">Step 9.2 Enforce GUARDRAIL 2 (Clear-Sky Floor Lock): </w:t>
      </w:r>
      <w:r>
        <w:rPr>
          <w:rFonts w:ascii="Times New Roman" w:hAnsi="Times New Roman"/>
          <w:color w:val="000000"/>
          <w:sz w:val="21"/>
        </w:rPr>
        <w:t>FOR daylight blocks b: IF Kt(b) &gt;= 0.85 OR Regime == 'CLEAR_SKY': IF pred_mw(b) &lt; P_mos_derated(b): set pred_mw(b) = P_mos_derated(b). Protects midday clear-sky output from artificial down-biasing.</w:t>
      </w:r>
    </w:p>
    <w:p>
      <w:pPr>
        <w:pStyle w:val="ListBullet"/>
        <w:spacing w:before="40" w:after="80" w:line="276" w:lineRule="auto"/>
      </w:pPr>
      <w:r>
        <w:rPr>
          <w:rFonts w:ascii="Times New Roman" w:hAnsi="Times New Roman"/>
          <w:b/>
          <w:color w:val="000000"/>
          <w:sz w:val="21"/>
        </w:rPr>
        <w:t xml:space="preserve">Step 9.3 Enforce GUARDRAIL 3 (Overcast Optical Cloud Ceiling): </w:t>
      </w:r>
      <w:r>
        <w:rPr>
          <w:rFonts w:ascii="Times New Roman" w:hAnsi="Times New Roman"/>
          <w:color w:val="000000"/>
          <w:sz w:val="21"/>
        </w:rPr>
        <w:t>FOR daylight blocks b: IF Kt(b) &lt; 0.50 OR Regime in ('MONSOON_OVERCAST', 'RAIN'): compute overcast ceiling P_max = max(P_mos_derated(b) * 1.10, P_CAP_AC * 0.25). IF pred_mw(b) &gt; P_max: set pred_mw(b) = P_max.</w:t>
      </w:r>
    </w:p>
    <w:p>
      <w:pPr>
        <w:pStyle w:val="ListBullet"/>
        <w:spacing w:before="40" w:after="80" w:line="276" w:lineRule="auto"/>
      </w:pPr>
      <w:r>
        <w:rPr>
          <w:rFonts w:ascii="Times New Roman" w:hAnsi="Times New Roman"/>
          <w:b/>
          <w:color w:val="000000"/>
          <w:sz w:val="21"/>
        </w:rPr>
        <w:t xml:space="preserve">Step 9.4 Enforce GUARDRAIL 4 (Ramp-Rate Continuity &amp; Capacity Clamping): </w:t>
      </w:r>
      <w:r>
        <w:rPr>
          <w:rFonts w:ascii="Times New Roman" w:hAnsi="Times New Roman"/>
          <w:color w:val="000000"/>
          <w:sz w:val="21"/>
        </w:rPr>
        <w:t>Set maximum allowable 15-minute ramp step P_max_ramp = max(0.50 MW, P_CAP_AC * 0.10). FOR block b from 25 to 74: IF |pred_mw(b) - P_da(b-1)| &gt; P_max_ramp: set pred_mw(b) = P_da(b-1) ± P_max_ramp. Clamp P_da(b) in [0.0, P_avail(b)].</w:t>
      </w:r>
    </w:p>
    <w:p>
      <w:pPr>
        <w:pStyle w:val="ListBullet"/>
        <w:spacing w:before="40" w:after="80" w:line="276" w:lineRule="auto"/>
      </w:pPr>
      <w:r>
        <w:rPr>
          <w:rFonts w:ascii="Times New Roman" w:hAnsi="Times New Roman"/>
          <w:b/>
          <w:color w:val="000000"/>
          <w:sz w:val="21"/>
        </w:rPr>
        <w:t xml:space="preserve">Step 9.5 Compile Final Day-Ahead Schedule Vector: </w:t>
      </w:r>
      <w:r>
        <w:rPr>
          <w:rFonts w:ascii="Times New Roman" w:hAnsi="Times New Roman"/>
          <w:color w:val="000000"/>
          <w:sz w:val="21"/>
        </w:rPr>
        <w:t>Assemble final 96-block schedule vector P_da[1..96]. Write vector to da_final_schedule_{site_id}_{D_target}.csv.</w:t>
      </w:r>
    </w:p>
    <w:p>
      <w:pPr>
        <w:pStyle w:val="ListBullet"/>
        <w:spacing w:before="40" w:after="80" w:line="276" w:lineRule="auto"/>
      </w:pPr>
      <w:r>
        <w:rPr>
          <w:rFonts w:ascii="Times New Roman" w:hAnsi="Times New Roman"/>
          <w:b/>
          <w:color w:val="000000"/>
          <w:sz w:val="21"/>
        </w:rPr>
        <w:t xml:space="preserve">Step 9.6 Save Schedule Vector: </w:t>
      </w:r>
      <w:r>
        <w:rPr>
          <w:rFonts w:ascii="Times New Roman" w:hAnsi="Times New Roman"/>
          <w:color w:val="000000"/>
          <w:sz w:val="21"/>
        </w:rPr>
        <w:t>Save vector to disk and return final Day-Ahead vector P_da[1..96].</w:t>
      </w:r>
    </w:p>
    <w:p>
      <w:pPr>
        <w:spacing w:after="160"/>
      </w:pPr>
    </w:p>
    <w:p>
      <w:pPr>
        <w:keepNext/>
        <w:spacing w:before="240" w:after="80"/>
      </w:pPr>
      <w:r>
        <w:rPr>
          <w:rFonts w:ascii="Times New Roman" w:hAnsi="Times New Roman"/>
          <w:b/>
          <w:color w:val="000000"/>
          <w:sz w:val="26"/>
        </w:rPr>
        <w:t>3.10 Module 10: LLM JSON-to-CSV Conversion, Statutory Submission &amp; S3 Cloud Dispatch</w:t>
      </w:r>
    </w:p>
    <w:p>
      <w:pPr>
        <w:spacing w:before="40" w:after="40"/>
      </w:pPr>
      <w:r>
        <w:rPr>
          <w:rFonts w:ascii="Times New Roman" w:hAnsi="Times New Roman"/>
          <w:b/>
          <w:color w:val="000000"/>
          <w:sz w:val="20"/>
        </w:rPr>
        <w:t xml:space="preserve">• Algorithm Inputs: </w:t>
      </w:r>
      <w:r>
        <w:rPr>
          <w:rFonts w:ascii="Times New Roman" w:hAnsi="Times New Roman"/>
          <w:color w:val="000000"/>
          <w:sz w:val="20"/>
        </w:rPr>
        <w:t>P_da[1..96], P_clearsky[1..96], P_mos_derated[1..96], plant_state, S3_BUCKET.</w:t>
      </w:r>
    </w:p>
    <w:p>
      <w:pPr>
        <w:spacing w:before="40" w:after="120"/>
      </w:pPr>
      <w:r>
        <w:rPr>
          <w:rFonts w:ascii="Times New Roman" w:hAnsi="Times New Roman"/>
          <w:b/>
          <w:color w:val="000000"/>
          <w:sz w:val="20"/>
        </w:rPr>
        <w:t xml:space="preserve">• Algorithm Outputs: </w:t>
      </w:r>
      <w:r>
        <w:rPr>
          <w:rFonts w:ascii="Times New Roman" w:hAnsi="Times New Roman"/>
          <w:color w:val="000000"/>
          <w:sz w:val="20"/>
        </w:rPr>
        <w:t>Canonical 7-column DA regulatory CSV, Plotly HTML plot, confirmed S3 URIs.</w:t>
      </w:r>
    </w:p>
    <w:p>
      <w:pPr>
        <w:spacing w:before="80" w:after="80"/>
      </w:pPr>
      <w:r>
        <w:rPr>
          <w:rFonts w:ascii="Times New Roman" w:hAnsi="Times New Roman"/>
          <w:b/>
          <w:color w:val="000000"/>
          <w:sz w:val="20"/>
        </w:rPr>
        <w:t>Algorithmic Procedure:</w:t>
      </w:r>
    </w:p>
    <w:p>
      <w:pPr>
        <w:pStyle w:val="ListBullet"/>
        <w:spacing w:before="40" w:after="80" w:line="276" w:lineRule="auto"/>
      </w:pPr>
      <w:r>
        <w:rPr>
          <w:rFonts w:ascii="Times New Roman" w:hAnsi="Times New Roman"/>
          <w:b/>
          <w:color w:val="000000"/>
          <w:sz w:val="21"/>
        </w:rPr>
        <w:t xml:space="preserve">Step 10.1 LLM JSON-to-CSV Conversion Algorithm: </w:t>
      </w:r>
      <w:r>
        <w:rPr>
          <w:rFonts w:ascii="Times New Roman" w:hAnsi="Times New Roman"/>
          <w:color w:val="000000"/>
          <w:sz w:val="21"/>
        </w:rPr>
        <w:t>Strip markdown fences (```json ... ```) from LLM output string if present. Parse JSON string into dictionary dict_obj = json.loads(clean_str). Extract block_predictions dictionary. Map block values to float MW array pred_mw[1..96]. Enforce 7-column canonical schema: [Block, Time Interval, clearsky_poa_w_m2, mos_consensus_mw, llm_quantile_mw, da_schedule_mw, active_capacity_mw]. Write to da_final_schedule_{site_id}_{D_target}.csv.</w:t>
      </w:r>
    </w:p>
    <w:p>
      <w:pPr>
        <w:pStyle w:val="ListBullet"/>
        <w:spacing w:before="40" w:after="80" w:line="276" w:lineRule="auto"/>
      </w:pPr>
      <w:r>
        <w:rPr>
          <w:rFonts w:ascii="Times New Roman" w:hAnsi="Times New Roman"/>
          <w:b/>
          <w:color w:val="000000"/>
          <w:sz w:val="21"/>
        </w:rPr>
        <w:t xml:space="preserve">Step 10.2 Evaluate Commercial DSM Risk Envelope: </w:t>
      </w:r>
      <w:r>
        <w:rPr>
          <w:rFonts w:ascii="Times New Roman" w:hAnsi="Times New Roman"/>
          <w:color w:val="000000"/>
          <w:sz w:val="21"/>
        </w:rPr>
        <w:t>Compute expected commercial DSM shortfall risk bandwidth under state regulatory deadbands (TSERC 15%, MPERC 10%, MERC 10%). Confirm schedule positioning minimizes expected penalty loss.</w:t>
      </w:r>
    </w:p>
    <w:p>
      <w:pPr>
        <w:pStyle w:val="ListBullet"/>
        <w:spacing w:before="40" w:after="80" w:line="276" w:lineRule="auto"/>
      </w:pPr>
      <w:r>
        <w:rPr>
          <w:rFonts w:ascii="Times New Roman" w:hAnsi="Times New Roman"/>
          <w:b/>
          <w:color w:val="000000"/>
          <w:sz w:val="21"/>
        </w:rPr>
        <w:t xml:space="preserve">Step 10.3 Render Interactive Day-Ahead Evaluation Graphic: </w:t>
      </w:r>
      <w:r>
        <w:rPr>
          <w:rFonts w:ascii="Times New Roman" w:hAnsi="Times New Roman"/>
          <w:color w:val="000000"/>
          <w:sz w:val="21"/>
        </w:rPr>
        <w:t>Initialize Plotly figure go.Figure(). Add Trace 1: Clear-Sky Physical Ceiling (amber dashed line); Trace 2: MOS Consensus Forecast (green dotted line); Trace 3: Strategic LLM Raw Prediction (purple line); Trace 4: Official Arbitrated DA Schedule (solid navy line).</w:t>
      </w:r>
    </w:p>
    <w:p>
      <w:pPr>
        <w:pStyle w:val="ListBullet"/>
        <w:spacing w:before="40" w:after="80" w:line="276" w:lineRule="auto"/>
      </w:pPr>
      <w:r>
        <w:rPr>
          <w:rFonts w:ascii="Times New Roman" w:hAnsi="Times New Roman"/>
          <w:b/>
          <w:color w:val="000000"/>
          <w:sz w:val="21"/>
        </w:rPr>
        <w:t xml:space="preserve">Step 10.4 Export HTML Plot File: </w:t>
      </w:r>
      <w:r>
        <w:rPr>
          <w:rFonts w:ascii="Times New Roman" w:hAnsi="Times New Roman"/>
          <w:color w:val="000000"/>
          <w:sz w:val="21"/>
        </w:rPr>
        <w:t>Save graphic to da_evaluation_{site_id}_{D_target}.html.</w:t>
      </w:r>
    </w:p>
    <w:p>
      <w:pPr>
        <w:pStyle w:val="ListBullet"/>
        <w:spacing w:before="40" w:after="80" w:line="276" w:lineRule="auto"/>
      </w:pPr>
      <w:r>
        <w:rPr>
          <w:rFonts w:ascii="Times New Roman" w:hAnsi="Times New Roman"/>
          <w:b/>
          <w:color w:val="000000"/>
          <w:sz w:val="21"/>
        </w:rPr>
        <w:t xml:space="preserve">Step 10.5 Enterprise AWS S3 Cloud Synchronization: </w:t>
      </w:r>
      <w:r>
        <w:rPr>
          <w:rFonts w:ascii="Times New Roman" w:hAnsi="Times New Roman"/>
          <w:color w:val="000000"/>
          <w:sz w:val="21"/>
        </w:rPr>
        <w:t>Upload generated artifacts via boto3 S3 client to s3://{S3_BUCKET}/raw/vedanjay/{site_id}/{D_target}/day_ahead/ before 10:00 AM statutory gate closure.</w:t>
      </w:r>
    </w:p>
    <w:p>
      <w:pPr>
        <w:pStyle w:val="ListBullet"/>
        <w:spacing w:before="40" w:after="80" w:line="276" w:lineRule="auto"/>
      </w:pPr>
      <w:r>
        <w:rPr>
          <w:rFonts w:ascii="Times New Roman" w:hAnsi="Times New Roman"/>
          <w:b/>
          <w:color w:val="000000"/>
          <w:sz w:val="21"/>
        </w:rPr>
        <w:t xml:space="preserve">Step 10.6 Execution Handoff: </w:t>
      </w:r>
      <w:r>
        <w:rPr>
          <w:rFonts w:ascii="Times New Roman" w:hAnsi="Times New Roman"/>
          <w:color w:val="000000"/>
          <w:sz w:val="21"/>
        </w:rPr>
        <w:t>RETURN {DA_CSV_Path, Plotly_HTML_Path, S3_URI_List}.</w:t>
      </w:r>
    </w:p>
    <w:p>
      <w:pPr>
        <w:spacing w:after="160"/>
      </w:pPr>
    </w:p>
    <w:p>
      <w:pPr>
        <w:keepNext/>
        <w:spacing w:before="320" w:after="120"/>
      </w:pPr>
      <w:r>
        <w:rPr>
          <w:rFonts w:ascii="Times New Roman" w:hAnsi="Times New Roman"/>
          <w:b/>
          <w:color w:val="000000"/>
          <w:sz w:val="32"/>
        </w:rPr>
        <w:t>4. Data Flow and File Artifacts</w:t>
      </w:r>
    </w:p>
    <w:p>
      <w:pPr>
        <w:spacing w:after="160"/>
      </w:pPr>
      <w:r>
        <w:rPr>
          <w:rFonts w:ascii="Times New Roman" w:hAnsi="Times New Roman"/>
          <w:color w:val="000000"/>
          <w:sz w:val="21"/>
        </w:rPr>
        <w:t>The following table summarizes the input data sources, core computational functions, and resulting output file artifacts produced across each execution stage of the Day-Ahead Solar System:</w:t>
      </w:r>
    </w:p>
    <w:tbl>
      <w:tblPr>
        <w:tblW w:type="auto" w:w="0"/>
        <w:jc w:val="center"/>
        <w:tblLook w:firstColumn="1" w:firstRow="1" w:lastColumn="0" w:lastRow="0" w:noHBand="0" w:noVBand="1" w:val="04A0"/>
        <w:tblBorders>
          <w:top w:val="single" w:sz="6" w:space="0" w:color="666666"/>
          <w:left w:val="single" w:sz="6" w:space="0" w:color="666666"/>
          <w:bottom w:val="single" w:sz="6" w:space="0" w:color="666666"/>
          <w:right w:val="single" w:sz="6" w:space="0" w:color="666666"/>
          <w:insideH w:val="single" w:sz="4" w:space="0" w:color="666666"/>
          <w:insideV w:val="single" w:sz="4" w:space="0" w:color="666666"/>
        </w:tblBorders>
      </w:tblPr>
      <w:tblGrid>
        <w:gridCol w:w="2484"/>
        <w:gridCol w:w="2484"/>
        <w:gridCol w:w="2484"/>
        <w:gridCol w:w="2484"/>
      </w:tblGrid>
      <w:tr>
        <w:tc>
          <w:tcPr>
            <w:tcW w:type="dxa" w:w="2160"/>
            <w:tcMar>
              <w:top w:w="100" w:type="dxa"/>
              <w:bottom w:w="100" w:type="dxa"/>
              <w:left w:w="120" w:type="dxa"/>
              <w:right w:w="120" w:type="dxa"/>
            </w:tcMar>
            <w:shd w:fill="E6E6E6"/>
          </w:tcPr>
          <w:p>
            <w:pPr>
              <w:spacing w:after="0" w:line="264" w:lineRule="auto"/>
            </w:pPr>
            <w:r>
              <w:rPr>
                <w:rFonts w:ascii="Times New Roman" w:hAnsi="Times New Roman"/>
                <w:b/>
                <w:color w:val="000000"/>
                <w:sz w:val="18"/>
              </w:rPr>
              <w:t>Module</w:t>
            </w:r>
          </w:p>
        </w:tc>
        <w:tc>
          <w:tcPr>
            <w:tcW w:type="dxa" w:w="2160"/>
            <w:tcMar>
              <w:top w:w="100" w:type="dxa"/>
              <w:bottom w:w="100" w:type="dxa"/>
              <w:left w:w="120" w:type="dxa"/>
              <w:right w:w="120" w:type="dxa"/>
            </w:tcMar>
            <w:shd w:fill="E6E6E6"/>
          </w:tcPr>
          <w:p>
            <w:pPr>
              <w:spacing w:after="0" w:line="264" w:lineRule="auto"/>
            </w:pPr>
            <w:r>
              <w:rPr>
                <w:rFonts w:ascii="Times New Roman" w:hAnsi="Times New Roman"/>
                <w:b/>
                <w:color w:val="000000"/>
                <w:sz w:val="18"/>
              </w:rPr>
              <w:t>Input Source</w:t>
            </w:r>
          </w:p>
        </w:tc>
        <w:tc>
          <w:tcPr>
            <w:tcW w:type="dxa" w:w="2736"/>
            <w:tcMar>
              <w:top w:w="100" w:type="dxa"/>
              <w:bottom w:w="100" w:type="dxa"/>
              <w:left w:w="120" w:type="dxa"/>
              <w:right w:w="120" w:type="dxa"/>
            </w:tcMar>
            <w:shd w:fill="E6E6E6"/>
          </w:tcPr>
          <w:p>
            <w:pPr>
              <w:spacing w:after="0" w:line="264" w:lineRule="auto"/>
            </w:pPr>
            <w:r>
              <w:rPr>
                <w:rFonts w:ascii="Times New Roman" w:hAnsi="Times New Roman"/>
                <w:b/>
                <w:color w:val="000000"/>
                <w:sz w:val="18"/>
              </w:rPr>
              <w:t>Core Computational Function</w:t>
            </w:r>
          </w:p>
        </w:tc>
        <w:tc>
          <w:tcPr>
            <w:tcW w:type="dxa" w:w="2736"/>
            <w:tcMar>
              <w:top w:w="100" w:type="dxa"/>
              <w:bottom w:w="100" w:type="dxa"/>
              <w:left w:w="120" w:type="dxa"/>
              <w:right w:w="120" w:type="dxa"/>
            </w:tcMar>
            <w:shd w:fill="E6E6E6"/>
          </w:tcPr>
          <w:p>
            <w:pPr>
              <w:spacing w:after="0" w:line="264" w:lineRule="auto"/>
            </w:pPr>
            <w:r>
              <w:rPr>
                <w:rFonts w:ascii="Times New Roman" w:hAnsi="Times New Roman"/>
                <w:b/>
                <w:color w:val="000000"/>
                <w:sz w:val="18"/>
              </w:rPr>
              <w:t>Output File Artifact / S3 Destination</w:t>
            </w:r>
          </w:p>
        </w:tc>
      </w:tr>
      <w:tr>
        <w:tc>
          <w:tcPr>
            <w:tcW w:type="dxa" w:w="2160"/>
            <w:tcMar>
              <w:top w:w="100" w:type="dxa"/>
              <w:bottom w:w="100" w:type="dxa"/>
              <w:left w:w="120" w:type="dxa"/>
              <w:right w:w="120" w:type="dxa"/>
            </w:tcMar>
            <w:shd w:fill="F9F9F9"/>
          </w:tcPr>
          <w:p>
            <w:pPr>
              <w:spacing w:after="0" w:line="264" w:lineRule="auto"/>
            </w:pPr>
            <w:r>
              <w:rPr>
                <w:rFonts w:ascii="Times New Roman" w:hAnsi="Times New Roman"/>
                <w:color w:val="000000"/>
                <w:sz w:val="18"/>
              </w:rPr>
              <w:t>Module 1 (Dynamic Ingestion)</w:t>
            </w:r>
          </w:p>
        </w:tc>
        <w:tc>
          <w:tcPr>
            <w:tcW w:type="dxa" w:w="2160"/>
            <w:tcMar>
              <w:top w:w="100" w:type="dxa"/>
              <w:bottom w:w="100" w:type="dxa"/>
              <w:left w:w="120" w:type="dxa"/>
              <w:right w:w="120" w:type="dxa"/>
            </w:tcMar>
            <w:shd w:fill="F9F9F9"/>
          </w:tcPr>
          <w:p>
            <w:pPr>
              <w:spacing w:after="0" w:line="264" w:lineRule="auto"/>
            </w:pPr>
            <w:r>
              <w:rPr>
                <w:rFonts w:ascii="Times New Roman" w:hAnsi="Times New Roman"/>
                <w:color w:val="000000"/>
                <w:sz w:val="18"/>
              </w:rPr>
              <w:t>Asia/Kolkata Time &amp; Open-Meteo</w:t>
            </w:r>
          </w:p>
        </w:tc>
        <w:tc>
          <w:tcPr>
            <w:tcW w:type="dxa" w:w="2736"/>
            <w:tcMar>
              <w:top w:w="100" w:type="dxa"/>
              <w:bottom w:w="100" w:type="dxa"/>
              <w:left w:w="120" w:type="dxa"/>
              <w:right w:w="120" w:type="dxa"/>
            </w:tcMar>
            <w:shd w:fill="F9F9F9"/>
          </w:tcPr>
          <w:p>
            <w:pPr>
              <w:spacing w:after="0" w:line="264" w:lineRule="auto"/>
            </w:pPr>
            <w:r>
              <w:rPr>
                <w:rFonts w:ascii="Times New Roman" w:hAnsi="Times New Roman"/>
                <w:color w:val="000000"/>
                <w:sz w:val="18"/>
              </w:rPr>
              <w:t>Dynamic IST date resolution (D_target = D_today + 1) &amp; 00Z/06Z NWP fetch</w:t>
            </w:r>
          </w:p>
        </w:tc>
        <w:tc>
          <w:tcPr>
            <w:tcW w:type="dxa" w:w="2736"/>
            <w:tcMar>
              <w:top w:w="100" w:type="dxa"/>
              <w:bottom w:w="100" w:type="dxa"/>
              <w:left w:w="120" w:type="dxa"/>
              <w:right w:w="120" w:type="dxa"/>
            </w:tcMar>
            <w:shd w:fill="F9F9F9"/>
          </w:tcPr>
          <w:p>
            <w:pPr>
              <w:spacing w:after="0" w:line="264" w:lineRule="auto"/>
            </w:pPr>
            <w:r>
              <w:rPr>
                <w:rFonts w:ascii="Times New Roman" w:hAnsi="Times New Roman"/>
                <w:color w:val="000000"/>
                <w:sz w:val="18"/>
              </w:rPr>
              <w:t>da_raw_nwp_feed_{SITE}_{D_TARGET}.json</w:t>
            </w:r>
          </w:p>
        </w:tc>
      </w:tr>
      <w:tr>
        <w:tc>
          <w:tcPr>
            <w:tcW w:type="dxa" w:w="2160"/>
            <w:tcMar>
              <w:top w:w="100" w:type="dxa"/>
              <w:bottom w:w="100" w:type="dxa"/>
              <w:left w:w="120" w:type="dxa"/>
              <w:right w:w="120" w:type="dxa"/>
            </w:tcMar>
            <w:shd w:fill="FFFFFF"/>
          </w:tcPr>
          <w:p>
            <w:pPr>
              <w:spacing w:after="0" w:line="264" w:lineRule="auto"/>
            </w:pPr>
            <w:r>
              <w:rPr>
                <w:rFonts w:ascii="Times New Roman" w:hAnsi="Times New Roman"/>
                <w:color w:val="000000"/>
                <w:sz w:val="18"/>
              </w:rPr>
              <w:t>Module 2 (Clear-Sky)</w:t>
            </w:r>
          </w:p>
        </w:tc>
        <w:tc>
          <w:tcPr>
            <w:tcW w:type="dxa" w:w="2160"/>
            <w:tcMar>
              <w:top w:w="100" w:type="dxa"/>
              <w:bottom w:w="100" w:type="dxa"/>
              <w:left w:w="120" w:type="dxa"/>
              <w:right w:w="120" w:type="dxa"/>
            </w:tcMar>
            <w:shd w:fill="FFFFFF"/>
          </w:tcPr>
          <w:p>
            <w:pPr>
              <w:spacing w:after="0" w:line="264" w:lineRule="auto"/>
            </w:pPr>
            <w:r>
              <w:rPr>
                <w:rFonts w:ascii="Times New Roman" w:hAnsi="Times New Roman"/>
                <w:color w:val="000000"/>
                <w:sz w:val="18"/>
              </w:rPr>
              <w:t>Plant GPS, Tilt, Azimuth</w:t>
            </w:r>
          </w:p>
        </w:tc>
        <w:tc>
          <w:tcPr>
            <w:tcW w:type="dxa" w:w="2736"/>
            <w:tcMar>
              <w:top w:w="100" w:type="dxa"/>
              <w:bottom w:w="100" w:type="dxa"/>
              <w:left w:w="120" w:type="dxa"/>
              <w:right w:w="120" w:type="dxa"/>
            </w:tcMar>
            <w:shd w:fill="FFFFFF"/>
          </w:tcPr>
          <w:p>
            <w:pPr>
              <w:spacing w:after="0" w:line="264" w:lineRule="auto"/>
            </w:pPr>
            <w:r>
              <w:rPr>
                <w:rFonts w:ascii="Times New Roman" w:hAnsi="Times New Roman"/>
                <w:color w:val="000000"/>
                <w:sz w:val="18"/>
              </w:rPr>
              <w:t>Ineichen clear-sky ephemeris &amp; Perez POA transposition for target D_target</w:t>
            </w:r>
          </w:p>
        </w:tc>
        <w:tc>
          <w:tcPr>
            <w:tcW w:type="dxa" w:w="2736"/>
            <w:tcMar>
              <w:top w:w="100" w:type="dxa"/>
              <w:bottom w:w="100" w:type="dxa"/>
              <w:left w:w="120" w:type="dxa"/>
              <w:right w:w="120" w:type="dxa"/>
            </w:tcMar>
            <w:shd w:fill="FFFFFF"/>
          </w:tcPr>
          <w:p>
            <w:pPr>
              <w:spacing w:after="0" w:line="264" w:lineRule="auto"/>
            </w:pPr>
            <w:r>
              <w:rPr>
                <w:rFonts w:ascii="Times New Roman" w:hAnsi="Times New Roman"/>
                <w:color w:val="000000"/>
                <w:sz w:val="18"/>
              </w:rPr>
              <w:t>da_clearsky_poa_{SITE}_{D_TARGET}.csv</w:t>
            </w:r>
          </w:p>
        </w:tc>
      </w:tr>
      <w:tr>
        <w:tc>
          <w:tcPr>
            <w:tcW w:type="dxa" w:w="2160"/>
            <w:tcMar>
              <w:top w:w="100" w:type="dxa"/>
              <w:bottom w:w="100" w:type="dxa"/>
              <w:left w:w="120" w:type="dxa"/>
              <w:right w:w="120" w:type="dxa"/>
            </w:tcMar>
            <w:shd w:fill="F9F9F9"/>
          </w:tcPr>
          <w:p>
            <w:pPr>
              <w:spacing w:after="0" w:line="264" w:lineRule="auto"/>
            </w:pPr>
            <w:r>
              <w:rPr>
                <w:rFonts w:ascii="Times New Roman" w:hAnsi="Times New Roman"/>
                <w:color w:val="000000"/>
                <w:sz w:val="18"/>
              </w:rPr>
              <w:t>Module 3 (Kt Spline)</w:t>
            </w:r>
          </w:p>
        </w:tc>
        <w:tc>
          <w:tcPr>
            <w:tcW w:type="dxa" w:w="2160"/>
            <w:tcMar>
              <w:top w:w="100" w:type="dxa"/>
              <w:bottom w:w="100" w:type="dxa"/>
              <w:left w:w="120" w:type="dxa"/>
              <w:right w:w="120" w:type="dxa"/>
            </w:tcMar>
            <w:shd w:fill="F9F9F9"/>
          </w:tcPr>
          <w:p>
            <w:pPr>
              <w:spacing w:after="0" w:line="264" w:lineRule="auto"/>
            </w:pPr>
            <w:r>
              <w:rPr>
                <w:rFonts w:ascii="Times New Roman" w:hAnsi="Times New Roman"/>
                <w:color w:val="000000"/>
                <w:sz w:val="18"/>
              </w:rPr>
              <w:t>Open-Meteo 143 Members</w:t>
            </w:r>
          </w:p>
        </w:tc>
        <w:tc>
          <w:tcPr>
            <w:tcW w:type="dxa" w:w="2736"/>
            <w:tcMar>
              <w:top w:w="100" w:type="dxa"/>
              <w:bottom w:w="100" w:type="dxa"/>
              <w:left w:w="120" w:type="dxa"/>
              <w:right w:w="120" w:type="dxa"/>
            </w:tcMar>
            <w:shd w:fill="F9F9F9"/>
          </w:tcPr>
          <w:p>
            <w:pPr>
              <w:spacing w:after="0" w:line="264" w:lineRule="auto"/>
            </w:pPr>
            <w:r>
              <w:rPr>
                <w:rFonts w:ascii="Times New Roman" w:hAnsi="Times New Roman"/>
                <w:color w:val="000000"/>
                <w:sz w:val="18"/>
              </w:rPr>
              <w:t>Hourly Kt calculation &amp; physics-guided GTI spline reconstruction</w:t>
            </w:r>
          </w:p>
        </w:tc>
        <w:tc>
          <w:tcPr>
            <w:tcW w:type="dxa" w:w="2736"/>
            <w:tcMar>
              <w:top w:w="100" w:type="dxa"/>
              <w:bottom w:w="100" w:type="dxa"/>
              <w:left w:w="120" w:type="dxa"/>
              <w:right w:w="120" w:type="dxa"/>
            </w:tcMar>
            <w:shd w:fill="F9F9F9"/>
          </w:tcPr>
          <w:p>
            <w:pPr>
              <w:spacing w:after="0" w:line="264" w:lineRule="auto"/>
            </w:pPr>
            <w:r>
              <w:rPr>
                <w:rFonts w:ascii="Times New Roman" w:hAnsi="Times New Roman"/>
                <w:color w:val="000000"/>
                <w:sz w:val="18"/>
              </w:rPr>
              <w:t>da_gti_matrix_{SITE}_{D_TARGET}.csv</w:t>
            </w:r>
          </w:p>
        </w:tc>
      </w:tr>
      <w:tr>
        <w:tc>
          <w:tcPr>
            <w:tcW w:type="dxa" w:w="2160"/>
            <w:tcMar>
              <w:top w:w="100" w:type="dxa"/>
              <w:bottom w:w="100" w:type="dxa"/>
              <w:left w:w="120" w:type="dxa"/>
              <w:right w:w="120" w:type="dxa"/>
            </w:tcMar>
            <w:shd w:fill="FFFFFF"/>
          </w:tcPr>
          <w:p>
            <w:pPr>
              <w:spacing w:after="0" w:line="264" w:lineRule="auto"/>
            </w:pPr>
            <w:r>
              <w:rPr>
                <w:rFonts w:ascii="Times New Roman" w:hAnsi="Times New Roman"/>
                <w:color w:val="000000"/>
                <w:sz w:val="18"/>
              </w:rPr>
              <w:t>Module 4 (Physics Base)</w:t>
            </w:r>
          </w:p>
        </w:tc>
        <w:tc>
          <w:tcPr>
            <w:tcW w:type="dxa" w:w="2160"/>
            <w:tcMar>
              <w:top w:w="100" w:type="dxa"/>
              <w:bottom w:w="100" w:type="dxa"/>
              <w:left w:w="120" w:type="dxa"/>
              <w:right w:w="120" w:type="dxa"/>
            </w:tcMar>
            <w:shd w:fill="FFFFFF"/>
          </w:tcPr>
          <w:p>
            <w:pPr>
              <w:spacing w:after="0" w:line="264" w:lineRule="auto"/>
            </w:pPr>
            <w:r>
              <w:rPr>
                <w:rFonts w:ascii="Times New Roman" w:hAnsi="Times New Roman"/>
                <w:color w:val="000000"/>
                <w:sz w:val="18"/>
              </w:rPr>
              <w:t>GTI Matrix &amp; Temperature</w:t>
            </w:r>
          </w:p>
        </w:tc>
        <w:tc>
          <w:tcPr>
            <w:tcW w:type="dxa" w:w="2736"/>
            <w:tcMar>
              <w:top w:w="100" w:type="dxa"/>
              <w:bottom w:w="100" w:type="dxa"/>
              <w:left w:w="120" w:type="dxa"/>
              <w:right w:w="120" w:type="dxa"/>
            </w:tcMar>
            <w:shd w:fill="FFFFFF"/>
          </w:tcPr>
          <w:p>
            <w:pPr>
              <w:spacing w:after="0" w:line="264" w:lineRule="auto"/>
            </w:pPr>
            <w:r>
              <w:rPr>
                <w:rFonts w:ascii="Times New Roman" w:hAnsi="Times New Roman"/>
                <w:color w:val="000000"/>
                <w:sz w:val="18"/>
              </w:rPr>
              <w:t>Sandia cell temperature &amp; PVUSA derated AC base power matrix</w:t>
            </w:r>
          </w:p>
        </w:tc>
        <w:tc>
          <w:tcPr>
            <w:tcW w:type="dxa" w:w="2736"/>
            <w:tcMar>
              <w:top w:w="100" w:type="dxa"/>
              <w:bottom w:w="100" w:type="dxa"/>
              <w:left w:w="120" w:type="dxa"/>
              <w:right w:w="120" w:type="dxa"/>
            </w:tcMar>
            <w:shd w:fill="FFFFFF"/>
          </w:tcPr>
          <w:p>
            <w:pPr>
              <w:spacing w:after="0" w:line="264" w:lineRule="auto"/>
            </w:pPr>
            <w:r>
              <w:rPr>
                <w:rFonts w:ascii="Times New Roman" w:hAnsi="Times New Roman"/>
                <w:color w:val="000000"/>
                <w:sz w:val="18"/>
              </w:rPr>
              <w:t>da_physics_base_power_{SITE}_{D_TARGET}.csv</w:t>
            </w:r>
          </w:p>
        </w:tc>
      </w:tr>
      <w:tr>
        <w:tc>
          <w:tcPr>
            <w:tcW w:type="dxa" w:w="2160"/>
            <w:tcMar>
              <w:top w:w="100" w:type="dxa"/>
              <w:bottom w:w="100" w:type="dxa"/>
              <w:left w:w="120" w:type="dxa"/>
              <w:right w:w="120" w:type="dxa"/>
            </w:tcMar>
            <w:shd w:fill="F9F9F9"/>
          </w:tcPr>
          <w:p>
            <w:pPr>
              <w:spacing w:after="0" w:line="264" w:lineRule="auto"/>
            </w:pPr>
            <w:r>
              <w:rPr>
                <w:rFonts w:ascii="Times New Roman" w:hAnsi="Times New Roman"/>
                <w:color w:val="000000"/>
                <w:sz w:val="18"/>
              </w:rPr>
              <w:t>Module 5 (Top-6 MOS)</w:t>
            </w:r>
          </w:p>
        </w:tc>
        <w:tc>
          <w:tcPr>
            <w:tcW w:type="dxa" w:w="2160"/>
            <w:tcMar>
              <w:top w:w="100" w:type="dxa"/>
              <w:bottom w:w="100" w:type="dxa"/>
              <w:left w:w="120" w:type="dxa"/>
              <w:right w:w="120" w:type="dxa"/>
            </w:tcMar>
            <w:shd w:fill="F9F9F9"/>
          </w:tcPr>
          <w:p>
            <w:pPr>
              <w:spacing w:after="0" w:line="264" w:lineRule="auto"/>
            </w:pPr>
            <w:r>
              <w:rPr>
                <w:rFonts w:ascii="Times New Roman" w:hAnsi="Times New Roman"/>
                <w:color w:val="000000"/>
                <w:sz w:val="18"/>
              </w:rPr>
              <w:t>P_base Matrix &amp; SCADA 7D</w:t>
            </w:r>
          </w:p>
        </w:tc>
        <w:tc>
          <w:tcPr>
            <w:tcW w:type="dxa" w:w="2736"/>
            <w:tcMar>
              <w:top w:w="100" w:type="dxa"/>
              <w:bottom w:w="100" w:type="dxa"/>
              <w:left w:w="120" w:type="dxa"/>
              <w:right w:w="120" w:type="dxa"/>
            </w:tcMar>
            <w:shd w:fill="F9F9F9"/>
          </w:tcPr>
          <w:p>
            <w:pPr>
              <w:spacing w:after="0" w:line="264" w:lineRule="auto"/>
            </w:pPr>
            <w:r>
              <w:rPr>
                <w:rFonts w:ascii="Times New Roman" w:hAnsi="Times New Roman"/>
                <w:color w:val="000000"/>
                <w:sz w:val="18"/>
              </w:rPr>
              <w:t>24h lead-time MAE ranking, Agency Diversity Cap (max 2/agency), Bayesian weight</w:t>
            </w:r>
          </w:p>
        </w:tc>
        <w:tc>
          <w:tcPr>
            <w:tcW w:type="dxa" w:w="2736"/>
            <w:tcMar>
              <w:top w:w="100" w:type="dxa"/>
              <w:bottom w:w="100" w:type="dxa"/>
              <w:left w:w="120" w:type="dxa"/>
              <w:right w:w="120" w:type="dxa"/>
            </w:tcMar>
            <w:shd w:fill="F9F9F9"/>
          </w:tcPr>
          <w:p>
            <w:pPr>
              <w:spacing w:after="0" w:line="264" w:lineRule="auto"/>
            </w:pPr>
            <w:r>
              <w:rPr>
                <w:rFonts w:ascii="Times New Roman" w:hAnsi="Times New Roman"/>
                <w:color w:val="000000"/>
                <w:sz w:val="18"/>
              </w:rPr>
              <w:t>da_mos_consensus_{SITE}_{D_TARGET}.csv</w:t>
            </w:r>
          </w:p>
        </w:tc>
      </w:tr>
      <w:tr>
        <w:tc>
          <w:tcPr>
            <w:tcW w:type="dxa" w:w="2160"/>
            <w:tcMar>
              <w:top w:w="100" w:type="dxa"/>
              <w:bottom w:w="100" w:type="dxa"/>
              <w:left w:w="120" w:type="dxa"/>
              <w:right w:w="120" w:type="dxa"/>
            </w:tcMar>
            <w:shd w:fill="FFFFFF"/>
          </w:tcPr>
          <w:p>
            <w:pPr>
              <w:spacing w:after="0" w:line="264" w:lineRule="auto"/>
            </w:pPr>
            <w:r>
              <w:rPr>
                <w:rFonts w:ascii="Times New Roman" w:hAnsi="Times New Roman"/>
                <w:color w:val="000000"/>
                <w:sz w:val="18"/>
              </w:rPr>
              <w:t>Module 6 (Maintenance)</w:t>
            </w:r>
          </w:p>
        </w:tc>
        <w:tc>
          <w:tcPr>
            <w:tcW w:type="dxa" w:w="2160"/>
            <w:tcMar>
              <w:top w:w="100" w:type="dxa"/>
              <w:bottom w:w="100" w:type="dxa"/>
              <w:left w:w="120" w:type="dxa"/>
              <w:right w:w="120" w:type="dxa"/>
            </w:tcMar>
            <w:shd w:fill="FFFFFF"/>
          </w:tcPr>
          <w:p>
            <w:pPr>
              <w:spacing w:after="0" w:line="264" w:lineRule="auto"/>
            </w:pPr>
            <w:r>
              <w:rPr>
                <w:rFonts w:ascii="Times New Roman" w:hAnsi="Times New Roman"/>
                <w:color w:val="000000"/>
                <w:sz w:val="18"/>
              </w:rPr>
              <w:t>Plant Outage Logs &amp; MOS</w:t>
            </w:r>
          </w:p>
        </w:tc>
        <w:tc>
          <w:tcPr>
            <w:tcW w:type="dxa" w:w="2736"/>
            <w:tcMar>
              <w:top w:w="100" w:type="dxa"/>
              <w:bottom w:w="100" w:type="dxa"/>
              <w:left w:w="120" w:type="dxa"/>
              <w:right w:w="120" w:type="dxa"/>
            </w:tcMar>
            <w:shd w:fill="FFFFFF"/>
          </w:tcPr>
          <w:p>
            <w:pPr>
              <w:spacing w:after="0" w:line="264" w:lineRule="auto"/>
            </w:pPr>
            <w:r>
              <w:rPr>
                <w:rFonts w:ascii="Times New Roman" w:hAnsi="Times New Roman"/>
                <w:color w:val="000000"/>
                <w:sz w:val="18"/>
              </w:rPr>
              <w:t>Scheduled inverter outage derating &amp; active capacity ceiling</w:t>
            </w:r>
          </w:p>
        </w:tc>
        <w:tc>
          <w:tcPr>
            <w:tcW w:type="dxa" w:w="2736"/>
            <w:tcMar>
              <w:top w:w="100" w:type="dxa"/>
              <w:bottom w:w="100" w:type="dxa"/>
              <w:left w:w="120" w:type="dxa"/>
              <w:right w:w="120" w:type="dxa"/>
            </w:tcMar>
            <w:shd w:fill="FFFFFF"/>
          </w:tcPr>
          <w:p>
            <w:pPr>
              <w:spacing w:after="0" w:line="264" w:lineRule="auto"/>
            </w:pPr>
            <w:r>
              <w:rPr>
                <w:rFonts w:ascii="Times New Roman" w:hAnsi="Times New Roman"/>
                <w:color w:val="000000"/>
                <w:sz w:val="18"/>
              </w:rPr>
              <w:t>da_capacity_derate_{SITE}_{D_TARGET}.json</w:t>
            </w:r>
          </w:p>
        </w:tc>
      </w:tr>
      <w:tr>
        <w:tc>
          <w:tcPr>
            <w:tcW w:type="dxa" w:w="2160"/>
            <w:tcMar>
              <w:top w:w="100" w:type="dxa"/>
              <w:bottom w:w="100" w:type="dxa"/>
              <w:left w:w="120" w:type="dxa"/>
              <w:right w:w="120" w:type="dxa"/>
            </w:tcMar>
            <w:shd w:fill="F9F9F9"/>
          </w:tcPr>
          <w:p>
            <w:pPr>
              <w:spacing w:after="0" w:line="264" w:lineRule="auto"/>
            </w:pPr>
            <w:r>
              <w:rPr>
                <w:rFonts w:ascii="Times New Roman" w:hAnsi="Times New Roman"/>
                <w:color w:val="000000"/>
                <w:sz w:val="18"/>
              </w:rPr>
              <w:t>Module 7 (Master Prompt)</w:t>
            </w:r>
          </w:p>
        </w:tc>
        <w:tc>
          <w:tcPr>
            <w:tcW w:type="dxa" w:w="2160"/>
            <w:tcMar>
              <w:top w:w="100" w:type="dxa"/>
              <w:bottom w:w="100" w:type="dxa"/>
              <w:left w:w="120" w:type="dxa"/>
              <w:right w:w="120" w:type="dxa"/>
            </w:tcMar>
            <w:shd w:fill="F9F9F9"/>
          </w:tcPr>
          <w:p>
            <w:pPr>
              <w:spacing w:after="0" w:line="264" w:lineRule="auto"/>
            </w:pPr>
            <w:r>
              <w:rPr>
                <w:rFonts w:ascii="Times New Roman" w:hAnsi="Times New Roman"/>
                <w:color w:val="000000"/>
                <w:sz w:val="18"/>
              </w:rPr>
              <w:t>MOS Forecasts &amp; Synoptic</w:t>
            </w:r>
          </w:p>
        </w:tc>
        <w:tc>
          <w:tcPr>
            <w:tcW w:type="dxa" w:w="2736"/>
            <w:tcMar>
              <w:top w:w="100" w:type="dxa"/>
              <w:bottom w:w="100" w:type="dxa"/>
              <w:left w:w="120" w:type="dxa"/>
              <w:right w:w="120" w:type="dxa"/>
            </w:tcMar>
            <w:shd w:fill="F9F9F9"/>
          </w:tcPr>
          <w:p>
            <w:pPr>
              <w:spacing w:after="0" w:line="264" w:lineRule="auto"/>
            </w:pPr>
            <w:r>
              <w:rPr>
                <w:rFonts w:ascii="Times New Roman" w:hAnsi="Times New Roman"/>
                <w:color w:val="000000"/>
                <w:sz w:val="18"/>
              </w:rPr>
              <w:t>Synoptic indicators injection &amp; Day-Ahead prompt matrix construction</w:t>
            </w:r>
          </w:p>
        </w:tc>
        <w:tc>
          <w:tcPr>
            <w:tcW w:type="dxa" w:w="2736"/>
            <w:tcMar>
              <w:top w:w="100" w:type="dxa"/>
              <w:bottom w:w="100" w:type="dxa"/>
              <w:left w:w="120" w:type="dxa"/>
              <w:right w:w="120" w:type="dxa"/>
            </w:tcMar>
            <w:shd w:fill="F9F9F9"/>
          </w:tcPr>
          <w:p>
            <w:pPr>
              <w:spacing w:after="0" w:line="264" w:lineRule="auto"/>
            </w:pPr>
            <w:r>
              <w:rPr>
                <w:rFonts w:ascii="Times New Roman" w:hAnsi="Times New Roman"/>
                <w:color w:val="000000"/>
                <w:sz w:val="18"/>
              </w:rPr>
              <w:t>master_da_prompt_{SITE}_{D_TARGET}.txt</w:t>
            </w:r>
          </w:p>
        </w:tc>
      </w:tr>
      <w:tr>
        <w:tc>
          <w:tcPr>
            <w:tcW w:type="dxa" w:w="2160"/>
            <w:tcMar>
              <w:top w:w="100" w:type="dxa"/>
              <w:bottom w:w="100" w:type="dxa"/>
              <w:left w:w="120" w:type="dxa"/>
              <w:right w:w="120" w:type="dxa"/>
            </w:tcMar>
            <w:shd w:fill="FFFFFF"/>
          </w:tcPr>
          <w:p>
            <w:pPr>
              <w:spacing w:after="0" w:line="264" w:lineRule="auto"/>
            </w:pPr>
            <w:r>
              <w:rPr>
                <w:rFonts w:ascii="Times New Roman" w:hAnsi="Times New Roman"/>
                <w:color w:val="000000"/>
                <w:sz w:val="18"/>
              </w:rPr>
              <w:t>Module 8 (DA LLM Engine)</w:t>
            </w:r>
          </w:p>
        </w:tc>
        <w:tc>
          <w:tcPr>
            <w:tcW w:type="dxa" w:w="2160"/>
            <w:tcMar>
              <w:top w:w="100" w:type="dxa"/>
              <w:bottom w:w="100" w:type="dxa"/>
              <w:left w:w="120" w:type="dxa"/>
              <w:right w:w="120" w:type="dxa"/>
            </w:tcMar>
            <w:shd w:fill="FFFFFF"/>
          </w:tcPr>
          <w:p>
            <w:pPr>
              <w:spacing w:after="0" w:line="264" w:lineRule="auto"/>
            </w:pPr>
            <w:r>
              <w:rPr>
                <w:rFonts w:ascii="Times New Roman" w:hAnsi="Times New Roman"/>
                <w:color w:val="000000"/>
                <w:sz w:val="18"/>
              </w:rPr>
              <w:t>Master Prompt &amp; OpenRouter</w:t>
            </w:r>
          </w:p>
        </w:tc>
        <w:tc>
          <w:tcPr>
            <w:tcW w:type="dxa" w:w="2736"/>
            <w:tcMar>
              <w:top w:w="100" w:type="dxa"/>
              <w:bottom w:w="100" w:type="dxa"/>
              <w:left w:w="120" w:type="dxa"/>
              <w:right w:w="120" w:type="dxa"/>
            </w:tcMar>
            <w:shd w:fill="FFFFFF"/>
          </w:tcPr>
          <w:p>
            <w:pPr>
              <w:spacing w:after="0" w:line="264" w:lineRule="auto"/>
            </w:pPr>
            <w:r>
              <w:rPr>
                <w:rFonts w:ascii="Times New Roman" w:hAnsi="Times New Roman"/>
                <w:color w:val="000000"/>
                <w:sz w:val="18"/>
              </w:rPr>
              <w:t>OpenRouter GPT-5.6 Luna inference &amp; 3-key failover matrix</w:t>
            </w:r>
          </w:p>
        </w:tc>
        <w:tc>
          <w:tcPr>
            <w:tcW w:type="dxa" w:w="2736"/>
            <w:tcMar>
              <w:top w:w="100" w:type="dxa"/>
              <w:bottom w:w="100" w:type="dxa"/>
              <w:left w:w="120" w:type="dxa"/>
              <w:right w:w="120" w:type="dxa"/>
            </w:tcMar>
            <w:shd w:fill="FFFFFF"/>
          </w:tcPr>
          <w:p>
            <w:pPr>
              <w:spacing w:after="0" w:line="264" w:lineRule="auto"/>
            </w:pPr>
            <w:r>
              <w:rPr>
                <w:rFonts w:ascii="Times New Roman" w:hAnsi="Times New Roman"/>
                <w:color w:val="000000"/>
                <w:sz w:val="18"/>
              </w:rPr>
              <w:t>da_llm_schedule_{SITE}_{D_TARGET}.json</w:t>
            </w:r>
          </w:p>
        </w:tc>
      </w:tr>
      <w:tr>
        <w:tc>
          <w:tcPr>
            <w:tcW w:type="dxa" w:w="2160"/>
            <w:tcMar>
              <w:top w:w="100" w:type="dxa"/>
              <w:bottom w:w="100" w:type="dxa"/>
              <w:left w:w="120" w:type="dxa"/>
              <w:right w:w="120" w:type="dxa"/>
            </w:tcMar>
            <w:shd w:fill="F9F9F9"/>
          </w:tcPr>
          <w:p>
            <w:pPr>
              <w:spacing w:after="0" w:line="264" w:lineRule="auto"/>
            </w:pPr>
            <w:r>
              <w:rPr>
                <w:rFonts w:ascii="Times New Roman" w:hAnsi="Times New Roman"/>
                <w:color w:val="000000"/>
                <w:sz w:val="18"/>
              </w:rPr>
              <w:t>Module 9 (Guardrails)</w:t>
            </w:r>
          </w:p>
        </w:tc>
        <w:tc>
          <w:tcPr>
            <w:tcW w:type="dxa" w:w="2160"/>
            <w:tcMar>
              <w:top w:w="100" w:type="dxa"/>
              <w:bottom w:w="100" w:type="dxa"/>
              <w:left w:w="120" w:type="dxa"/>
              <w:right w:w="120" w:type="dxa"/>
            </w:tcMar>
            <w:shd w:fill="F9F9F9"/>
          </w:tcPr>
          <w:p>
            <w:pPr>
              <w:spacing w:after="0" w:line="264" w:lineRule="auto"/>
            </w:pPr>
            <w:r>
              <w:rPr>
                <w:rFonts w:ascii="Times New Roman" w:hAnsi="Times New Roman"/>
                <w:color w:val="000000"/>
                <w:sz w:val="18"/>
              </w:rPr>
              <w:t>LLM Output &amp; Physics</w:t>
            </w:r>
          </w:p>
        </w:tc>
        <w:tc>
          <w:tcPr>
            <w:tcW w:type="dxa" w:w="2736"/>
            <w:tcMar>
              <w:top w:w="100" w:type="dxa"/>
              <w:bottom w:w="100" w:type="dxa"/>
              <w:left w:w="120" w:type="dxa"/>
              <w:right w:w="120" w:type="dxa"/>
            </w:tcMar>
            <w:shd w:fill="F9F9F9"/>
          </w:tcPr>
          <w:p>
            <w:pPr>
              <w:spacing w:after="0" w:line="264" w:lineRule="auto"/>
            </w:pPr>
            <w:r>
              <w:rPr>
                <w:rFonts w:ascii="Times New Roman" w:hAnsi="Times New Roman"/>
                <w:color w:val="000000"/>
                <w:sz w:val="18"/>
              </w:rPr>
              <w:t>4 physical guardrail filters &amp; Day-Ahead schedule arbitration</w:t>
            </w:r>
          </w:p>
        </w:tc>
        <w:tc>
          <w:tcPr>
            <w:tcW w:type="dxa" w:w="2736"/>
            <w:tcMar>
              <w:top w:w="100" w:type="dxa"/>
              <w:bottom w:w="100" w:type="dxa"/>
              <w:left w:w="120" w:type="dxa"/>
              <w:right w:w="120" w:type="dxa"/>
            </w:tcMar>
            <w:shd w:fill="F9F9F9"/>
          </w:tcPr>
          <w:p>
            <w:pPr>
              <w:spacing w:after="0" w:line="264" w:lineRule="auto"/>
            </w:pPr>
            <w:r>
              <w:rPr>
                <w:rFonts w:ascii="Times New Roman" w:hAnsi="Times New Roman"/>
                <w:color w:val="000000"/>
                <w:sz w:val="18"/>
              </w:rPr>
              <w:t>da_final_schedule_{SITE}_{D_TARGET}.csv</w:t>
            </w:r>
          </w:p>
        </w:tc>
      </w:tr>
      <w:tr>
        <w:tc>
          <w:tcPr>
            <w:tcW w:type="dxa" w:w="2160"/>
            <w:tcMar>
              <w:top w:w="100" w:type="dxa"/>
              <w:bottom w:w="100" w:type="dxa"/>
              <w:left w:w="120" w:type="dxa"/>
              <w:right w:w="120" w:type="dxa"/>
            </w:tcMar>
            <w:shd w:fill="FFFFFF"/>
          </w:tcPr>
          <w:p>
            <w:pPr>
              <w:spacing w:after="0" w:line="264" w:lineRule="auto"/>
            </w:pPr>
            <w:r>
              <w:rPr>
                <w:rFonts w:ascii="Times New Roman" w:hAnsi="Times New Roman"/>
                <w:color w:val="000000"/>
                <w:sz w:val="18"/>
              </w:rPr>
              <w:t>Module 10 (Submit &amp; S3)</w:t>
            </w:r>
          </w:p>
        </w:tc>
        <w:tc>
          <w:tcPr>
            <w:tcW w:type="dxa" w:w="2160"/>
            <w:tcMar>
              <w:top w:w="100" w:type="dxa"/>
              <w:bottom w:w="100" w:type="dxa"/>
              <w:left w:w="120" w:type="dxa"/>
              <w:right w:w="120" w:type="dxa"/>
            </w:tcMar>
            <w:shd w:fill="FFFFFF"/>
          </w:tcPr>
          <w:p>
            <w:pPr>
              <w:spacing w:after="0" w:line="264" w:lineRule="auto"/>
            </w:pPr>
            <w:r>
              <w:rPr>
                <w:rFonts w:ascii="Times New Roman" w:hAnsi="Times New Roman"/>
                <w:color w:val="000000"/>
                <w:sz w:val="18"/>
              </w:rPr>
              <w:t>Final DA Schedule</w:t>
            </w:r>
          </w:p>
        </w:tc>
        <w:tc>
          <w:tcPr>
            <w:tcW w:type="dxa" w:w="2736"/>
            <w:tcMar>
              <w:top w:w="100" w:type="dxa"/>
              <w:bottom w:w="100" w:type="dxa"/>
              <w:left w:w="120" w:type="dxa"/>
              <w:right w:w="120" w:type="dxa"/>
            </w:tcMar>
            <w:shd w:fill="FFFFFF"/>
          </w:tcPr>
          <w:p>
            <w:pPr>
              <w:spacing w:after="0" w:line="264" w:lineRule="auto"/>
            </w:pPr>
            <w:r>
              <w:rPr>
                <w:rFonts w:ascii="Times New Roman" w:hAnsi="Times New Roman"/>
                <w:color w:val="000000"/>
                <w:sz w:val="18"/>
              </w:rPr>
              <w:t>Canonical 7-column DA CSV schema, Plotly HTML, S3 push by 10 AM</w:t>
            </w:r>
          </w:p>
        </w:tc>
        <w:tc>
          <w:tcPr>
            <w:tcW w:type="dxa" w:w="2736"/>
            <w:tcMar>
              <w:top w:w="100" w:type="dxa"/>
              <w:bottom w:w="100" w:type="dxa"/>
              <w:left w:w="120" w:type="dxa"/>
              <w:right w:w="120" w:type="dxa"/>
            </w:tcMar>
            <w:shd w:fill="FFFFFF"/>
          </w:tcPr>
          <w:p>
            <w:pPr>
              <w:spacing w:after="0" w:line="264" w:lineRule="auto"/>
            </w:pPr>
            <w:r>
              <w:rPr>
                <w:rFonts w:ascii="Times New Roman" w:hAnsi="Times New Roman"/>
                <w:color w:val="000000"/>
                <w:sz w:val="18"/>
              </w:rPr>
              <w:t>da_evaluation_{SITE}_{D_TARGET}.html</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