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D20B1" w14:textId="253D55FD" w:rsidR="00D265B4" w:rsidRPr="002B3F93" w:rsidRDefault="00000000" w:rsidP="004F7D5C">
      <w:pPr>
        <w:spacing w:after="400"/>
        <w:jc w:val="both"/>
        <w:rPr>
          <w:rFonts w:ascii="Times New Roman" w:hAnsi="Times New Roman" w:cs="Times New Roman"/>
        </w:rPr>
      </w:pPr>
      <w:r w:rsidRPr="002B3F93">
        <w:rPr>
          <w:rFonts w:ascii="Times New Roman" w:hAnsi="Times New Roman" w:cs="Times New Roman"/>
          <w:b/>
          <w:color w:val="0F172A"/>
          <w:sz w:val="44"/>
        </w:rPr>
        <w:t>Intellis Wind Power Generation Scheduling System</w:t>
      </w:r>
      <w:r w:rsidRPr="002B3F93">
        <w:rPr>
          <w:rFonts w:ascii="Times New Roman" w:hAnsi="Times New Roman" w:cs="Times New Roman"/>
          <w:b/>
          <w:color w:val="0F172A"/>
          <w:sz w:val="44"/>
        </w:rPr>
        <w:br/>
      </w:r>
      <w:r w:rsidRPr="002B3F93">
        <w:rPr>
          <w:rFonts w:ascii="Times New Roman" w:hAnsi="Times New Roman" w:cs="Times New Roman"/>
          <w:color w:val="1E3A8A"/>
          <w:sz w:val="26"/>
        </w:rPr>
        <w:t>Low-Level Algorithmic Specification, Thermodynamic Wind Engine, and Strategic LLM Pipeline</w:t>
      </w:r>
    </w:p>
    <w:p w14:paraId="281BF427" w14:textId="77777777" w:rsidR="00D265B4" w:rsidRPr="002B3F93" w:rsidRDefault="00000000" w:rsidP="004F7D5C">
      <w:pPr>
        <w:keepNext/>
        <w:spacing w:before="360" w:after="160"/>
        <w:jc w:val="both"/>
        <w:rPr>
          <w:rFonts w:ascii="Times New Roman" w:hAnsi="Times New Roman" w:cs="Times New Roman"/>
        </w:rPr>
      </w:pPr>
      <w:r w:rsidRPr="002B3F93">
        <w:rPr>
          <w:rFonts w:ascii="Times New Roman" w:hAnsi="Times New Roman" w:cs="Times New Roman"/>
          <w:b/>
          <w:color w:val="0F172A"/>
          <w:sz w:val="34"/>
        </w:rPr>
        <w:t>1. Global Variables and System Parameters</w:t>
      </w:r>
    </w:p>
    <w:p w14:paraId="53724B71" w14:textId="77777777" w:rsidR="00D265B4" w:rsidRPr="002B3F93" w:rsidRDefault="00000000" w:rsidP="004F7D5C">
      <w:pPr>
        <w:spacing w:after="160"/>
        <w:jc w:val="both"/>
        <w:rPr>
          <w:rFonts w:ascii="Times New Roman" w:hAnsi="Times New Roman" w:cs="Times New Roman"/>
        </w:rPr>
      </w:pPr>
      <w:r w:rsidRPr="002B3F93">
        <w:rPr>
          <w:rFonts w:ascii="Times New Roman" w:hAnsi="Times New Roman" w:cs="Times New Roman"/>
          <w:color w:val="334155"/>
          <w:sz w:val="20"/>
        </w:rPr>
        <w:t>This section documents the primary operational parameters, aerodynamic constants, atmospheric boundary layer shear exponents, air density scaling factors, turbine OEM specs, and grid timing constraints governing the Intellis Wind Power Scheduling System. All values represent physical wind farm properties and operational bounds enforced across active utility-scale wind assets.</w:t>
      </w:r>
    </w:p>
    <w:tbl>
      <w:tblPr>
        <w:tblW w:w="0" w:type="auto"/>
        <w:jc w:val="center"/>
        <w:tblBorders>
          <w:top w:val="single" w:sz="6" w:space="0" w:color="CBD5E1"/>
          <w:bottom w:val="single" w:sz="8" w:space="0" w:color="CBD5E1"/>
          <w:insideH w:val="single" w:sz="4" w:space="0" w:color="CBD5E1"/>
        </w:tblBorders>
        <w:tblLook w:val="04A0" w:firstRow="1" w:lastRow="0" w:firstColumn="1" w:lastColumn="0" w:noHBand="0" w:noVBand="1"/>
      </w:tblPr>
      <w:tblGrid>
        <w:gridCol w:w="2592"/>
        <w:gridCol w:w="1872"/>
        <w:gridCol w:w="1872"/>
        <w:gridCol w:w="3456"/>
      </w:tblGrid>
      <w:tr w:rsidR="00D265B4" w:rsidRPr="002B3F93" w14:paraId="2C683333" w14:textId="77777777">
        <w:trPr>
          <w:jc w:val="center"/>
        </w:trPr>
        <w:tc>
          <w:tcPr>
            <w:tcW w:w="2592" w:type="dxa"/>
            <w:shd w:val="clear" w:color="auto" w:fill="1E293B"/>
            <w:tcMar>
              <w:top w:w="100" w:type="dxa"/>
              <w:left w:w="120" w:type="dxa"/>
              <w:bottom w:w="100" w:type="dxa"/>
              <w:right w:w="120" w:type="dxa"/>
            </w:tcMar>
          </w:tcPr>
          <w:p w14:paraId="62C50EA2"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b/>
                <w:color w:val="FFFFFF"/>
                <w:sz w:val="18"/>
              </w:rPr>
              <w:t>Parameter Name</w:t>
            </w:r>
          </w:p>
        </w:tc>
        <w:tc>
          <w:tcPr>
            <w:tcW w:w="1872" w:type="dxa"/>
            <w:shd w:val="clear" w:color="auto" w:fill="1E293B"/>
            <w:tcMar>
              <w:top w:w="100" w:type="dxa"/>
              <w:left w:w="120" w:type="dxa"/>
              <w:bottom w:w="100" w:type="dxa"/>
              <w:right w:w="120" w:type="dxa"/>
            </w:tcMar>
          </w:tcPr>
          <w:p w14:paraId="3CCF3BDC"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b/>
                <w:color w:val="FFFFFF"/>
                <w:sz w:val="18"/>
              </w:rPr>
              <w:t>Symbol / Variable</w:t>
            </w:r>
          </w:p>
        </w:tc>
        <w:tc>
          <w:tcPr>
            <w:tcW w:w="1872" w:type="dxa"/>
            <w:shd w:val="clear" w:color="auto" w:fill="1E293B"/>
            <w:tcMar>
              <w:top w:w="100" w:type="dxa"/>
              <w:left w:w="120" w:type="dxa"/>
              <w:bottom w:w="100" w:type="dxa"/>
              <w:right w:w="120" w:type="dxa"/>
            </w:tcMar>
          </w:tcPr>
          <w:p w14:paraId="75384D0C"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b/>
                <w:color w:val="FFFFFF"/>
                <w:sz w:val="18"/>
              </w:rPr>
              <w:t>Default Value / Bound</w:t>
            </w:r>
          </w:p>
        </w:tc>
        <w:tc>
          <w:tcPr>
            <w:tcW w:w="3456" w:type="dxa"/>
            <w:shd w:val="clear" w:color="auto" w:fill="1E293B"/>
            <w:tcMar>
              <w:top w:w="100" w:type="dxa"/>
              <w:left w:w="120" w:type="dxa"/>
              <w:bottom w:w="100" w:type="dxa"/>
              <w:right w:w="120" w:type="dxa"/>
            </w:tcMar>
          </w:tcPr>
          <w:p w14:paraId="0BF0B54E"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b/>
                <w:color w:val="FFFFFF"/>
                <w:sz w:val="18"/>
              </w:rPr>
              <w:t>System Description &amp; Role</w:t>
            </w:r>
          </w:p>
        </w:tc>
      </w:tr>
      <w:tr w:rsidR="00D265B4" w:rsidRPr="002B3F93" w14:paraId="16E0F79B" w14:textId="77777777">
        <w:trPr>
          <w:jc w:val="center"/>
        </w:trPr>
        <w:tc>
          <w:tcPr>
            <w:tcW w:w="2592" w:type="dxa"/>
            <w:shd w:val="clear" w:color="auto" w:fill="F8FAFC"/>
            <w:tcMar>
              <w:top w:w="100" w:type="dxa"/>
              <w:left w:w="120" w:type="dxa"/>
              <w:bottom w:w="100" w:type="dxa"/>
              <w:right w:w="120" w:type="dxa"/>
            </w:tcMar>
          </w:tcPr>
          <w:p w14:paraId="3480F868"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Rated Wind Capacity</w:t>
            </w:r>
          </w:p>
        </w:tc>
        <w:tc>
          <w:tcPr>
            <w:tcW w:w="1872" w:type="dxa"/>
            <w:shd w:val="clear" w:color="auto" w:fill="F8FAFC"/>
            <w:tcMar>
              <w:top w:w="100" w:type="dxa"/>
              <w:left w:w="120" w:type="dxa"/>
              <w:bottom w:w="100" w:type="dxa"/>
              <w:right w:w="120" w:type="dxa"/>
            </w:tcMar>
          </w:tcPr>
          <w:p w14:paraId="52C66F31"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P_rated</w:t>
            </w:r>
          </w:p>
        </w:tc>
        <w:tc>
          <w:tcPr>
            <w:tcW w:w="1872" w:type="dxa"/>
            <w:shd w:val="clear" w:color="auto" w:fill="F8FAFC"/>
            <w:tcMar>
              <w:top w:w="100" w:type="dxa"/>
              <w:left w:w="120" w:type="dxa"/>
              <w:bottom w:w="100" w:type="dxa"/>
              <w:right w:w="120" w:type="dxa"/>
            </w:tcMar>
          </w:tcPr>
          <w:p w14:paraId="21A49A99"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15.0 - 30.0 MW</w:t>
            </w:r>
          </w:p>
        </w:tc>
        <w:tc>
          <w:tcPr>
            <w:tcW w:w="3456" w:type="dxa"/>
            <w:shd w:val="clear" w:color="auto" w:fill="F8FAFC"/>
            <w:tcMar>
              <w:top w:w="100" w:type="dxa"/>
              <w:left w:w="120" w:type="dxa"/>
              <w:bottom w:w="100" w:type="dxa"/>
              <w:right w:w="120" w:type="dxa"/>
            </w:tcMar>
          </w:tcPr>
          <w:p w14:paraId="42CB935C"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Total rated active power capacity at wind farm grid interconnection point.</w:t>
            </w:r>
          </w:p>
        </w:tc>
      </w:tr>
      <w:tr w:rsidR="00D265B4" w:rsidRPr="002B3F93" w14:paraId="604E957A" w14:textId="77777777">
        <w:trPr>
          <w:jc w:val="center"/>
        </w:trPr>
        <w:tc>
          <w:tcPr>
            <w:tcW w:w="2592" w:type="dxa"/>
            <w:tcMar>
              <w:top w:w="100" w:type="dxa"/>
              <w:left w:w="120" w:type="dxa"/>
              <w:bottom w:w="100" w:type="dxa"/>
              <w:right w:w="120" w:type="dxa"/>
            </w:tcMar>
          </w:tcPr>
          <w:p w14:paraId="4F87BE3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Total Turbine Count</w:t>
            </w:r>
          </w:p>
        </w:tc>
        <w:tc>
          <w:tcPr>
            <w:tcW w:w="1872" w:type="dxa"/>
            <w:tcMar>
              <w:top w:w="100" w:type="dxa"/>
              <w:left w:w="120" w:type="dxa"/>
              <w:bottom w:w="100" w:type="dxa"/>
              <w:right w:w="120" w:type="dxa"/>
            </w:tcMar>
          </w:tcPr>
          <w:p w14:paraId="259913B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N_turb</w:t>
            </w:r>
          </w:p>
        </w:tc>
        <w:tc>
          <w:tcPr>
            <w:tcW w:w="1872" w:type="dxa"/>
            <w:tcMar>
              <w:top w:w="100" w:type="dxa"/>
              <w:left w:w="120" w:type="dxa"/>
              <w:bottom w:w="100" w:type="dxa"/>
              <w:right w:w="120" w:type="dxa"/>
            </w:tcMar>
          </w:tcPr>
          <w:p w14:paraId="7C95C46B"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8 - 15 turbines</w:t>
            </w:r>
          </w:p>
        </w:tc>
        <w:tc>
          <w:tcPr>
            <w:tcW w:w="3456" w:type="dxa"/>
            <w:tcMar>
              <w:top w:w="100" w:type="dxa"/>
              <w:left w:w="120" w:type="dxa"/>
              <w:bottom w:w="100" w:type="dxa"/>
              <w:right w:w="120" w:type="dxa"/>
            </w:tcMar>
          </w:tcPr>
          <w:p w14:paraId="189D298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Number of active utility-scale wind turbines deployed across wind farm array.</w:t>
            </w:r>
          </w:p>
        </w:tc>
      </w:tr>
      <w:tr w:rsidR="00D265B4" w:rsidRPr="002B3F93" w14:paraId="48510C9A" w14:textId="77777777">
        <w:trPr>
          <w:jc w:val="center"/>
        </w:trPr>
        <w:tc>
          <w:tcPr>
            <w:tcW w:w="2592" w:type="dxa"/>
            <w:shd w:val="clear" w:color="auto" w:fill="F8FAFC"/>
            <w:tcMar>
              <w:top w:w="100" w:type="dxa"/>
              <w:left w:w="120" w:type="dxa"/>
              <w:bottom w:w="100" w:type="dxa"/>
              <w:right w:w="120" w:type="dxa"/>
            </w:tcMar>
          </w:tcPr>
          <w:p w14:paraId="41C95212"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Turbine Hub Height</w:t>
            </w:r>
          </w:p>
        </w:tc>
        <w:tc>
          <w:tcPr>
            <w:tcW w:w="1872" w:type="dxa"/>
            <w:shd w:val="clear" w:color="auto" w:fill="F8FAFC"/>
            <w:tcMar>
              <w:top w:w="100" w:type="dxa"/>
              <w:left w:w="120" w:type="dxa"/>
              <w:bottom w:w="100" w:type="dxa"/>
              <w:right w:w="120" w:type="dxa"/>
            </w:tcMar>
          </w:tcPr>
          <w:p w14:paraId="635E53D4"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h_hub</w:t>
            </w:r>
          </w:p>
        </w:tc>
        <w:tc>
          <w:tcPr>
            <w:tcW w:w="1872" w:type="dxa"/>
            <w:shd w:val="clear" w:color="auto" w:fill="F8FAFC"/>
            <w:tcMar>
              <w:top w:w="100" w:type="dxa"/>
              <w:left w:w="120" w:type="dxa"/>
              <w:bottom w:w="100" w:type="dxa"/>
              <w:right w:w="120" w:type="dxa"/>
            </w:tcMar>
          </w:tcPr>
          <w:p w14:paraId="34C2DD4F"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104.0 - 120.0 m</w:t>
            </w:r>
          </w:p>
        </w:tc>
        <w:tc>
          <w:tcPr>
            <w:tcW w:w="3456" w:type="dxa"/>
            <w:shd w:val="clear" w:color="auto" w:fill="F8FAFC"/>
            <w:tcMar>
              <w:top w:w="100" w:type="dxa"/>
              <w:left w:w="120" w:type="dxa"/>
              <w:bottom w:w="100" w:type="dxa"/>
              <w:right w:w="120" w:type="dxa"/>
            </w:tcMar>
          </w:tcPr>
          <w:p w14:paraId="32B0EBC1"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Physical elevation of turbine nacelle rotor center above ground level.</w:t>
            </w:r>
          </w:p>
        </w:tc>
      </w:tr>
      <w:tr w:rsidR="00D265B4" w:rsidRPr="002B3F93" w14:paraId="0FA36A4E" w14:textId="77777777">
        <w:trPr>
          <w:jc w:val="center"/>
        </w:trPr>
        <w:tc>
          <w:tcPr>
            <w:tcW w:w="2592" w:type="dxa"/>
            <w:tcMar>
              <w:top w:w="100" w:type="dxa"/>
              <w:left w:w="120" w:type="dxa"/>
              <w:bottom w:w="100" w:type="dxa"/>
              <w:right w:w="120" w:type="dxa"/>
            </w:tcMar>
          </w:tcPr>
          <w:p w14:paraId="685D405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Rotor Diameter</w:t>
            </w:r>
          </w:p>
        </w:tc>
        <w:tc>
          <w:tcPr>
            <w:tcW w:w="1872" w:type="dxa"/>
            <w:tcMar>
              <w:top w:w="100" w:type="dxa"/>
              <w:left w:w="120" w:type="dxa"/>
              <w:bottom w:w="100" w:type="dxa"/>
              <w:right w:w="120" w:type="dxa"/>
            </w:tcMar>
          </w:tcPr>
          <w:p w14:paraId="5C7A45FC"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D</w:t>
            </w:r>
          </w:p>
        </w:tc>
        <w:tc>
          <w:tcPr>
            <w:tcW w:w="1872" w:type="dxa"/>
            <w:tcMar>
              <w:top w:w="100" w:type="dxa"/>
              <w:left w:w="120" w:type="dxa"/>
              <w:bottom w:w="100" w:type="dxa"/>
              <w:right w:w="120" w:type="dxa"/>
            </w:tcMar>
          </w:tcPr>
          <w:p w14:paraId="59DBC27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97.0 - 182.0 m</w:t>
            </w:r>
          </w:p>
        </w:tc>
        <w:tc>
          <w:tcPr>
            <w:tcW w:w="3456" w:type="dxa"/>
            <w:tcMar>
              <w:top w:w="100" w:type="dxa"/>
              <w:left w:w="120" w:type="dxa"/>
              <w:bottom w:w="100" w:type="dxa"/>
              <w:right w:w="120" w:type="dxa"/>
            </w:tcMar>
          </w:tcPr>
          <w:p w14:paraId="5EC03AF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Swept diameter of turbine rotor blades defining kinetic wind capture area.</w:t>
            </w:r>
          </w:p>
        </w:tc>
      </w:tr>
      <w:tr w:rsidR="00D265B4" w:rsidRPr="002B3F93" w14:paraId="24AF0FEC" w14:textId="77777777">
        <w:trPr>
          <w:jc w:val="center"/>
        </w:trPr>
        <w:tc>
          <w:tcPr>
            <w:tcW w:w="2592" w:type="dxa"/>
            <w:shd w:val="clear" w:color="auto" w:fill="F8FAFC"/>
            <w:tcMar>
              <w:top w:w="100" w:type="dxa"/>
              <w:left w:w="120" w:type="dxa"/>
              <w:bottom w:w="100" w:type="dxa"/>
              <w:right w:w="120" w:type="dxa"/>
            </w:tcMar>
          </w:tcPr>
          <w:p w14:paraId="0B31F1E1"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Cut-In Wind Velocity</w:t>
            </w:r>
          </w:p>
        </w:tc>
        <w:tc>
          <w:tcPr>
            <w:tcW w:w="1872" w:type="dxa"/>
            <w:shd w:val="clear" w:color="auto" w:fill="F8FAFC"/>
            <w:tcMar>
              <w:top w:w="100" w:type="dxa"/>
              <w:left w:w="120" w:type="dxa"/>
              <w:bottom w:w="100" w:type="dxa"/>
              <w:right w:w="120" w:type="dxa"/>
            </w:tcMar>
          </w:tcPr>
          <w:p w14:paraId="1618F96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v_in</w:t>
            </w:r>
          </w:p>
        </w:tc>
        <w:tc>
          <w:tcPr>
            <w:tcW w:w="1872" w:type="dxa"/>
            <w:shd w:val="clear" w:color="auto" w:fill="F8FAFC"/>
            <w:tcMar>
              <w:top w:w="100" w:type="dxa"/>
              <w:left w:w="120" w:type="dxa"/>
              <w:bottom w:w="100" w:type="dxa"/>
              <w:right w:w="120" w:type="dxa"/>
            </w:tcMar>
          </w:tcPr>
          <w:p w14:paraId="5725259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3.0 m/s</w:t>
            </w:r>
          </w:p>
        </w:tc>
        <w:tc>
          <w:tcPr>
            <w:tcW w:w="3456" w:type="dxa"/>
            <w:shd w:val="clear" w:color="auto" w:fill="F8FAFC"/>
            <w:tcMar>
              <w:top w:w="100" w:type="dxa"/>
              <w:left w:w="120" w:type="dxa"/>
              <w:bottom w:w="100" w:type="dxa"/>
              <w:right w:w="120" w:type="dxa"/>
            </w:tcMar>
          </w:tcPr>
          <w:p w14:paraId="471FA94F"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Minimum hub wind speed required to initiate turbine generator torque.</w:t>
            </w:r>
          </w:p>
        </w:tc>
      </w:tr>
      <w:tr w:rsidR="00D265B4" w:rsidRPr="002B3F93" w14:paraId="3BA77790" w14:textId="77777777">
        <w:trPr>
          <w:jc w:val="center"/>
        </w:trPr>
        <w:tc>
          <w:tcPr>
            <w:tcW w:w="2592" w:type="dxa"/>
            <w:tcMar>
              <w:top w:w="100" w:type="dxa"/>
              <w:left w:w="120" w:type="dxa"/>
              <w:bottom w:w="100" w:type="dxa"/>
              <w:right w:w="120" w:type="dxa"/>
            </w:tcMar>
          </w:tcPr>
          <w:p w14:paraId="6B028A80"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Rated Wind Velocity</w:t>
            </w:r>
          </w:p>
        </w:tc>
        <w:tc>
          <w:tcPr>
            <w:tcW w:w="1872" w:type="dxa"/>
            <w:tcMar>
              <w:top w:w="100" w:type="dxa"/>
              <w:left w:w="120" w:type="dxa"/>
              <w:bottom w:w="100" w:type="dxa"/>
              <w:right w:w="120" w:type="dxa"/>
            </w:tcMar>
          </w:tcPr>
          <w:p w14:paraId="5B88526D"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v_rated</w:t>
            </w:r>
          </w:p>
        </w:tc>
        <w:tc>
          <w:tcPr>
            <w:tcW w:w="1872" w:type="dxa"/>
            <w:tcMar>
              <w:top w:w="100" w:type="dxa"/>
              <w:left w:w="120" w:type="dxa"/>
              <w:bottom w:w="100" w:type="dxa"/>
              <w:right w:w="120" w:type="dxa"/>
            </w:tcMar>
          </w:tcPr>
          <w:p w14:paraId="17CEF83E"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11.5 - 12.5 m/s</w:t>
            </w:r>
          </w:p>
        </w:tc>
        <w:tc>
          <w:tcPr>
            <w:tcW w:w="3456" w:type="dxa"/>
            <w:tcMar>
              <w:top w:w="100" w:type="dxa"/>
              <w:left w:w="120" w:type="dxa"/>
              <w:bottom w:w="100" w:type="dxa"/>
              <w:right w:w="120" w:type="dxa"/>
            </w:tcMar>
          </w:tcPr>
          <w:p w14:paraId="7A16116D"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Hub wind speed at which turbine reaches nameplate active power output P_rated.</w:t>
            </w:r>
          </w:p>
        </w:tc>
      </w:tr>
      <w:tr w:rsidR="00D265B4" w:rsidRPr="002B3F93" w14:paraId="2A8A3C32" w14:textId="77777777">
        <w:trPr>
          <w:jc w:val="center"/>
        </w:trPr>
        <w:tc>
          <w:tcPr>
            <w:tcW w:w="2592" w:type="dxa"/>
            <w:shd w:val="clear" w:color="auto" w:fill="F8FAFC"/>
            <w:tcMar>
              <w:top w:w="100" w:type="dxa"/>
              <w:left w:w="120" w:type="dxa"/>
              <w:bottom w:w="100" w:type="dxa"/>
              <w:right w:w="120" w:type="dxa"/>
            </w:tcMar>
          </w:tcPr>
          <w:p w14:paraId="22A2979F"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Cut-Out Wind Velocity</w:t>
            </w:r>
          </w:p>
        </w:tc>
        <w:tc>
          <w:tcPr>
            <w:tcW w:w="1872" w:type="dxa"/>
            <w:shd w:val="clear" w:color="auto" w:fill="F8FAFC"/>
            <w:tcMar>
              <w:top w:w="100" w:type="dxa"/>
              <w:left w:w="120" w:type="dxa"/>
              <w:bottom w:w="100" w:type="dxa"/>
              <w:right w:w="120" w:type="dxa"/>
            </w:tcMar>
          </w:tcPr>
          <w:p w14:paraId="529F6D1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v_out</w:t>
            </w:r>
          </w:p>
        </w:tc>
        <w:tc>
          <w:tcPr>
            <w:tcW w:w="1872" w:type="dxa"/>
            <w:shd w:val="clear" w:color="auto" w:fill="F8FAFC"/>
            <w:tcMar>
              <w:top w:w="100" w:type="dxa"/>
              <w:left w:w="120" w:type="dxa"/>
              <w:bottom w:w="100" w:type="dxa"/>
              <w:right w:w="120" w:type="dxa"/>
            </w:tcMar>
          </w:tcPr>
          <w:p w14:paraId="49295D14"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25.0 m/s</w:t>
            </w:r>
          </w:p>
        </w:tc>
        <w:tc>
          <w:tcPr>
            <w:tcW w:w="3456" w:type="dxa"/>
            <w:shd w:val="clear" w:color="auto" w:fill="F8FAFC"/>
            <w:tcMar>
              <w:top w:w="100" w:type="dxa"/>
              <w:left w:w="120" w:type="dxa"/>
              <w:bottom w:w="100" w:type="dxa"/>
              <w:right w:w="120" w:type="dxa"/>
            </w:tcMar>
          </w:tcPr>
          <w:p w14:paraId="52E4B1E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Maximum operational wind speed before automatic aerodynamic feather braking.</w:t>
            </w:r>
          </w:p>
        </w:tc>
      </w:tr>
      <w:tr w:rsidR="00D265B4" w:rsidRPr="002B3F93" w14:paraId="35FE2D79" w14:textId="77777777">
        <w:trPr>
          <w:jc w:val="center"/>
        </w:trPr>
        <w:tc>
          <w:tcPr>
            <w:tcW w:w="2592" w:type="dxa"/>
            <w:tcMar>
              <w:top w:w="100" w:type="dxa"/>
              <w:left w:w="120" w:type="dxa"/>
              <w:bottom w:w="100" w:type="dxa"/>
              <w:right w:w="120" w:type="dxa"/>
            </w:tcMar>
          </w:tcPr>
          <w:p w14:paraId="14340A02"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Combined Park Derate</w:t>
            </w:r>
          </w:p>
        </w:tc>
        <w:tc>
          <w:tcPr>
            <w:tcW w:w="1872" w:type="dxa"/>
            <w:tcMar>
              <w:top w:w="100" w:type="dxa"/>
              <w:left w:w="120" w:type="dxa"/>
              <w:bottom w:w="100" w:type="dxa"/>
              <w:right w:w="120" w:type="dxa"/>
            </w:tcMar>
          </w:tcPr>
          <w:p w14:paraId="2B7098E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eta_park</w:t>
            </w:r>
          </w:p>
        </w:tc>
        <w:tc>
          <w:tcPr>
            <w:tcW w:w="1872" w:type="dxa"/>
            <w:tcMar>
              <w:top w:w="100" w:type="dxa"/>
              <w:left w:w="120" w:type="dxa"/>
              <w:bottom w:w="100" w:type="dxa"/>
              <w:right w:w="120" w:type="dxa"/>
            </w:tcMar>
          </w:tcPr>
          <w:p w14:paraId="19A7069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0.89 (89.0%)</w:t>
            </w:r>
          </w:p>
        </w:tc>
        <w:tc>
          <w:tcPr>
            <w:tcW w:w="3456" w:type="dxa"/>
            <w:tcMar>
              <w:top w:w="100" w:type="dxa"/>
              <w:left w:w="120" w:type="dxa"/>
              <w:bottom w:w="100" w:type="dxa"/>
              <w:right w:w="120" w:type="dxa"/>
            </w:tcMar>
          </w:tcPr>
          <w:p w14:paraId="37B50143"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Three-factor park efficiency combining wake losses, electrical array, and availability.</w:t>
            </w:r>
          </w:p>
        </w:tc>
      </w:tr>
      <w:tr w:rsidR="00D265B4" w:rsidRPr="002B3F93" w14:paraId="085E2BFB" w14:textId="77777777">
        <w:trPr>
          <w:jc w:val="center"/>
        </w:trPr>
        <w:tc>
          <w:tcPr>
            <w:tcW w:w="2592" w:type="dxa"/>
            <w:shd w:val="clear" w:color="auto" w:fill="F8FAFC"/>
            <w:tcMar>
              <w:top w:w="100" w:type="dxa"/>
              <w:left w:w="120" w:type="dxa"/>
              <w:bottom w:w="100" w:type="dxa"/>
              <w:right w:w="120" w:type="dxa"/>
            </w:tcMar>
          </w:tcPr>
          <w:p w14:paraId="7323556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Boundary Layer Shear</w:t>
            </w:r>
          </w:p>
        </w:tc>
        <w:tc>
          <w:tcPr>
            <w:tcW w:w="1872" w:type="dxa"/>
            <w:shd w:val="clear" w:color="auto" w:fill="F8FAFC"/>
            <w:tcMar>
              <w:top w:w="100" w:type="dxa"/>
              <w:left w:w="120" w:type="dxa"/>
              <w:bottom w:w="100" w:type="dxa"/>
              <w:right w:w="120" w:type="dxa"/>
            </w:tcMar>
          </w:tcPr>
          <w:p w14:paraId="2D8FE6C0"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alpha(h)</w:t>
            </w:r>
          </w:p>
        </w:tc>
        <w:tc>
          <w:tcPr>
            <w:tcW w:w="1872" w:type="dxa"/>
            <w:shd w:val="clear" w:color="auto" w:fill="F8FAFC"/>
            <w:tcMar>
              <w:top w:w="100" w:type="dxa"/>
              <w:left w:w="120" w:type="dxa"/>
              <w:bottom w:w="100" w:type="dxa"/>
              <w:right w:w="120" w:type="dxa"/>
            </w:tcMar>
          </w:tcPr>
          <w:p w14:paraId="04940C53"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0.12 - 0.29</w:t>
            </w:r>
          </w:p>
        </w:tc>
        <w:tc>
          <w:tcPr>
            <w:tcW w:w="3456" w:type="dxa"/>
            <w:shd w:val="clear" w:color="auto" w:fill="F8FAFC"/>
            <w:tcMar>
              <w:top w:w="100" w:type="dxa"/>
              <w:left w:w="120" w:type="dxa"/>
              <w:bottom w:w="100" w:type="dxa"/>
              <w:right w:w="120" w:type="dxa"/>
            </w:tcMar>
          </w:tcPr>
          <w:p w14:paraId="3EA984F3"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Hellmann power-law exponent scaling surface wind velocity to hub height.</w:t>
            </w:r>
          </w:p>
        </w:tc>
      </w:tr>
      <w:tr w:rsidR="00D265B4" w:rsidRPr="002B3F93" w14:paraId="3F7999EF" w14:textId="77777777">
        <w:trPr>
          <w:jc w:val="center"/>
        </w:trPr>
        <w:tc>
          <w:tcPr>
            <w:tcW w:w="2592" w:type="dxa"/>
            <w:tcMar>
              <w:top w:w="100" w:type="dxa"/>
              <w:left w:w="120" w:type="dxa"/>
              <w:bottom w:w="100" w:type="dxa"/>
              <w:right w:w="120" w:type="dxa"/>
            </w:tcMar>
          </w:tcPr>
          <w:p w14:paraId="1FC9FD86"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Standard Air Density</w:t>
            </w:r>
          </w:p>
        </w:tc>
        <w:tc>
          <w:tcPr>
            <w:tcW w:w="1872" w:type="dxa"/>
            <w:tcMar>
              <w:top w:w="100" w:type="dxa"/>
              <w:left w:w="120" w:type="dxa"/>
              <w:bottom w:w="100" w:type="dxa"/>
              <w:right w:w="120" w:type="dxa"/>
            </w:tcMar>
          </w:tcPr>
          <w:p w14:paraId="230FC02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rho_0</w:t>
            </w:r>
          </w:p>
        </w:tc>
        <w:tc>
          <w:tcPr>
            <w:tcW w:w="1872" w:type="dxa"/>
            <w:tcMar>
              <w:top w:w="100" w:type="dxa"/>
              <w:left w:w="120" w:type="dxa"/>
              <w:bottom w:w="100" w:type="dxa"/>
              <w:right w:w="120" w:type="dxa"/>
            </w:tcMar>
          </w:tcPr>
          <w:p w14:paraId="2E4B035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1.225 kg/m³</w:t>
            </w:r>
          </w:p>
        </w:tc>
        <w:tc>
          <w:tcPr>
            <w:tcW w:w="3456" w:type="dxa"/>
            <w:tcMar>
              <w:top w:w="100" w:type="dxa"/>
              <w:left w:w="120" w:type="dxa"/>
              <w:bottom w:w="100" w:type="dxa"/>
              <w:right w:w="120" w:type="dxa"/>
            </w:tcMar>
          </w:tcPr>
          <w:p w14:paraId="0ECBE76B"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IEC standard reference air density at sea level and 15°C.</w:t>
            </w:r>
          </w:p>
        </w:tc>
      </w:tr>
      <w:tr w:rsidR="00D265B4" w:rsidRPr="002B3F93" w14:paraId="2FE15605" w14:textId="77777777">
        <w:trPr>
          <w:jc w:val="center"/>
        </w:trPr>
        <w:tc>
          <w:tcPr>
            <w:tcW w:w="2592" w:type="dxa"/>
            <w:shd w:val="clear" w:color="auto" w:fill="F8FAFC"/>
            <w:tcMar>
              <w:top w:w="100" w:type="dxa"/>
              <w:left w:w="120" w:type="dxa"/>
              <w:bottom w:w="100" w:type="dxa"/>
              <w:right w:w="120" w:type="dxa"/>
            </w:tcMar>
          </w:tcPr>
          <w:p w14:paraId="37134A2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Dry Air Gas Constant</w:t>
            </w:r>
          </w:p>
        </w:tc>
        <w:tc>
          <w:tcPr>
            <w:tcW w:w="1872" w:type="dxa"/>
            <w:shd w:val="clear" w:color="auto" w:fill="F8FAFC"/>
            <w:tcMar>
              <w:top w:w="100" w:type="dxa"/>
              <w:left w:w="120" w:type="dxa"/>
              <w:bottom w:w="100" w:type="dxa"/>
              <w:right w:w="120" w:type="dxa"/>
            </w:tcMar>
          </w:tcPr>
          <w:p w14:paraId="7A109C52"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R_gas</w:t>
            </w:r>
          </w:p>
        </w:tc>
        <w:tc>
          <w:tcPr>
            <w:tcW w:w="1872" w:type="dxa"/>
            <w:shd w:val="clear" w:color="auto" w:fill="F8FAFC"/>
            <w:tcMar>
              <w:top w:w="100" w:type="dxa"/>
              <w:left w:w="120" w:type="dxa"/>
              <w:bottom w:w="100" w:type="dxa"/>
              <w:right w:w="120" w:type="dxa"/>
            </w:tcMar>
          </w:tcPr>
          <w:p w14:paraId="6A49F40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287.05 J/(kg·K)</w:t>
            </w:r>
          </w:p>
        </w:tc>
        <w:tc>
          <w:tcPr>
            <w:tcW w:w="3456" w:type="dxa"/>
            <w:shd w:val="clear" w:color="auto" w:fill="F8FAFC"/>
            <w:tcMar>
              <w:top w:w="100" w:type="dxa"/>
              <w:left w:w="120" w:type="dxa"/>
              <w:bottom w:w="100" w:type="dxa"/>
              <w:right w:w="120" w:type="dxa"/>
            </w:tcMar>
          </w:tcPr>
          <w:p w14:paraId="32242662"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Specific gas constant used in ideal gas thermodynamic density calculation.</w:t>
            </w:r>
          </w:p>
        </w:tc>
      </w:tr>
      <w:tr w:rsidR="00D265B4" w:rsidRPr="002B3F93" w14:paraId="49F4C154" w14:textId="77777777">
        <w:trPr>
          <w:jc w:val="center"/>
        </w:trPr>
        <w:tc>
          <w:tcPr>
            <w:tcW w:w="2592" w:type="dxa"/>
            <w:tcMar>
              <w:top w:w="100" w:type="dxa"/>
              <w:left w:w="120" w:type="dxa"/>
              <w:bottom w:w="100" w:type="dxa"/>
              <w:right w:w="120" w:type="dxa"/>
            </w:tcMar>
          </w:tcPr>
          <w:p w14:paraId="72ADBE2D"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Cubic Fallback Exponent</w:t>
            </w:r>
          </w:p>
        </w:tc>
        <w:tc>
          <w:tcPr>
            <w:tcW w:w="1872" w:type="dxa"/>
            <w:tcMar>
              <w:top w:w="100" w:type="dxa"/>
              <w:left w:w="120" w:type="dxa"/>
              <w:bottom w:w="100" w:type="dxa"/>
              <w:right w:w="120" w:type="dxa"/>
            </w:tcMar>
          </w:tcPr>
          <w:p w14:paraId="0E65C5AD"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k_ramp</w:t>
            </w:r>
          </w:p>
        </w:tc>
        <w:tc>
          <w:tcPr>
            <w:tcW w:w="1872" w:type="dxa"/>
            <w:tcMar>
              <w:top w:w="100" w:type="dxa"/>
              <w:left w:w="120" w:type="dxa"/>
              <w:bottom w:w="100" w:type="dxa"/>
              <w:right w:w="120" w:type="dxa"/>
            </w:tcMar>
          </w:tcPr>
          <w:p w14:paraId="715D451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2.8</w:t>
            </w:r>
          </w:p>
        </w:tc>
        <w:tc>
          <w:tcPr>
            <w:tcW w:w="3456" w:type="dxa"/>
            <w:tcMar>
              <w:top w:w="100" w:type="dxa"/>
              <w:left w:w="120" w:type="dxa"/>
              <w:bottom w:w="100" w:type="dxa"/>
              <w:right w:w="120" w:type="dxa"/>
            </w:tcMar>
          </w:tcPr>
          <w:p w14:paraId="2230ECAF"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Empirical power ramp exponent for turbine aerodynamic fallback curve.</w:t>
            </w:r>
          </w:p>
        </w:tc>
      </w:tr>
      <w:tr w:rsidR="00D265B4" w:rsidRPr="002B3F93" w14:paraId="5644AFBA" w14:textId="77777777">
        <w:trPr>
          <w:jc w:val="center"/>
        </w:trPr>
        <w:tc>
          <w:tcPr>
            <w:tcW w:w="2592" w:type="dxa"/>
            <w:shd w:val="clear" w:color="auto" w:fill="F8FAFC"/>
            <w:tcMar>
              <w:top w:w="100" w:type="dxa"/>
              <w:left w:w="120" w:type="dxa"/>
              <w:bottom w:w="100" w:type="dxa"/>
              <w:right w:w="120" w:type="dxa"/>
            </w:tcMar>
          </w:tcPr>
          <w:p w14:paraId="4DA97F7E"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Anemometer Trim Fraction</w:t>
            </w:r>
          </w:p>
        </w:tc>
        <w:tc>
          <w:tcPr>
            <w:tcW w:w="1872" w:type="dxa"/>
            <w:shd w:val="clear" w:color="auto" w:fill="F8FAFC"/>
            <w:tcMar>
              <w:top w:w="100" w:type="dxa"/>
              <w:left w:w="120" w:type="dxa"/>
              <w:bottom w:w="100" w:type="dxa"/>
              <w:right w:w="120" w:type="dxa"/>
            </w:tcMar>
          </w:tcPr>
          <w:p w14:paraId="7A8CE5A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w_anemometer</w:t>
            </w:r>
          </w:p>
        </w:tc>
        <w:tc>
          <w:tcPr>
            <w:tcW w:w="1872" w:type="dxa"/>
            <w:shd w:val="clear" w:color="auto" w:fill="F8FAFC"/>
            <w:tcMar>
              <w:top w:w="100" w:type="dxa"/>
              <w:left w:w="120" w:type="dxa"/>
              <w:bottom w:w="100" w:type="dxa"/>
              <w:right w:w="120" w:type="dxa"/>
            </w:tcMar>
          </w:tcPr>
          <w:p w14:paraId="0A53328E"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10.0%</w:t>
            </w:r>
          </w:p>
        </w:tc>
        <w:tc>
          <w:tcPr>
            <w:tcW w:w="3456" w:type="dxa"/>
            <w:shd w:val="clear" w:color="auto" w:fill="F8FAFC"/>
            <w:tcMar>
              <w:top w:w="100" w:type="dxa"/>
              <w:left w:w="120" w:type="dxa"/>
              <w:bottom w:w="100" w:type="dxa"/>
              <w:right w:w="120" w:type="dxa"/>
            </w:tcMar>
          </w:tcPr>
          <w:p w14:paraId="34C720DE"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Trimmed mean exclusion percentage filtering extreme nacelle turbulence spikes.</w:t>
            </w:r>
          </w:p>
        </w:tc>
      </w:tr>
      <w:tr w:rsidR="00D265B4" w:rsidRPr="002B3F93" w14:paraId="36289E29" w14:textId="77777777">
        <w:trPr>
          <w:jc w:val="center"/>
        </w:trPr>
        <w:tc>
          <w:tcPr>
            <w:tcW w:w="2592" w:type="dxa"/>
            <w:tcMar>
              <w:top w:w="100" w:type="dxa"/>
              <w:left w:w="120" w:type="dxa"/>
              <w:bottom w:w="100" w:type="dxa"/>
              <w:right w:w="120" w:type="dxa"/>
            </w:tcMar>
          </w:tcPr>
          <w:p w14:paraId="24164C90"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10m Weather Mast Scale</w:t>
            </w:r>
          </w:p>
        </w:tc>
        <w:tc>
          <w:tcPr>
            <w:tcW w:w="1872" w:type="dxa"/>
            <w:tcMar>
              <w:top w:w="100" w:type="dxa"/>
              <w:left w:w="120" w:type="dxa"/>
              <w:bottom w:w="100" w:type="dxa"/>
              <w:right w:w="120" w:type="dxa"/>
            </w:tcMar>
          </w:tcPr>
          <w:p w14:paraId="0683E990"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C_mast</w:t>
            </w:r>
          </w:p>
        </w:tc>
        <w:tc>
          <w:tcPr>
            <w:tcW w:w="1872" w:type="dxa"/>
            <w:tcMar>
              <w:top w:w="100" w:type="dxa"/>
              <w:left w:w="120" w:type="dxa"/>
              <w:bottom w:w="100" w:type="dxa"/>
              <w:right w:w="120" w:type="dxa"/>
            </w:tcMar>
          </w:tcPr>
          <w:p w14:paraId="0DA3E41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2.108</w:t>
            </w:r>
          </w:p>
        </w:tc>
        <w:tc>
          <w:tcPr>
            <w:tcW w:w="3456" w:type="dxa"/>
            <w:tcMar>
              <w:top w:w="100" w:type="dxa"/>
              <w:left w:w="120" w:type="dxa"/>
              <w:bottom w:w="100" w:type="dxa"/>
              <w:right w:w="120" w:type="dxa"/>
            </w:tcMar>
          </w:tcPr>
          <w:p w14:paraId="6372620E"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 xml:space="preserve">Boundary layer logarithmic shear multiplier </w:t>
            </w:r>
            <w:r w:rsidRPr="002B3F93">
              <w:rPr>
                <w:rFonts w:ascii="Times New Roman" w:hAnsi="Times New Roman" w:cs="Times New Roman"/>
                <w:color w:val="334155"/>
                <w:sz w:val="18"/>
              </w:rPr>
              <w:lastRenderedPageBreak/>
              <w:t>extrapolating 10m mast to 120m hub.</w:t>
            </w:r>
          </w:p>
        </w:tc>
      </w:tr>
      <w:tr w:rsidR="00D265B4" w:rsidRPr="002B3F93" w14:paraId="4A5A94E5" w14:textId="77777777">
        <w:trPr>
          <w:jc w:val="center"/>
        </w:trPr>
        <w:tc>
          <w:tcPr>
            <w:tcW w:w="2592" w:type="dxa"/>
            <w:shd w:val="clear" w:color="auto" w:fill="F8FAFC"/>
            <w:tcMar>
              <w:top w:w="100" w:type="dxa"/>
              <w:left w:w="120" w:type="dxa"/>
              <w:bottom w:w="100" w:type="dxa"/>
              <w:right w:w="120" w:type="dxa"/>
            </w:tcMar>
          </w:tcPr>
          <w:p w14:paraId="4F485406"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lastRenderedPageBreak/>
              <w:t>SCADA Recency Decay</w:t>
            </w:r>
          </w:p>
        </w:tc>
        <w:tc>
          <w:tcPr>
            <w:tcW w:w="1872" w:type="dxa"/>
            <w:shd w:val="clear" w:color="auto" w:fill="F8FAFC"/>
            <w:tcMar>
              <w:top w:w="100" w:type="dxa"/>
              <w:left w:w="120" w:type="dxa"/>
              <w:bottom w:w="100" w:type="dxa"/>
              <w:right w:w="120" w:type="dxa"/>
            </w:tcMar>
          </w:tcPr>
          <w:p w14:paraId="24CC4ECF"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tau_bias</w:t>
            </w:r>
          </w:p>
        </w:tc>
        <w:tc>
          <w:tcPr>
            <w:tcW w:w="1872" w:type="dxa"/>
            <w:shd w:val="clear" w:color="auto" w:fill="F8FAFC"/>
            <w:tcMar>
              <w:top w:w="100" w:type="dxa"/>
              <w:left w:w="120" w:type="dxa"/>
              <w:bottom w:w="100" w:type="dxa"/>
              <w:right w:w="120" w:type="dxa"/>
            </w:tcMar>
          </w:tcPr>
          <w:p w14:paraId="4CF832DD"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8.0 blocks</w:t>
            </w:r>
          </w:p>
        </w:tc>
        <w:tc>
          <w:tcPr>
            <w:tcW w:w="3456" w:type="dxa"/>
            <w:shd w:val="clear" w:color="auto" w:fill="F8FAFC"/>
            <w:tcMar>
              <w:top w:w="100" w:type="dxa"/>
              <w:left w:w="120" w:type="dxa"/>
              <w:bottom w:w="100" w:type="dxa"/>
              <w:right w:w="120" w:type="dxa"/>
            </w:tcMar>
          </w:tcPr>
          <w:p w14:paraId="68C4360E"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Exponential decay parameter for dynamic telemetry bias correction blending.</w:t>
            </w:r>
          </w:p>
        </w:tc>
      </w:tr>
      <w:tr w:rsidR="00D265B4" w:rsidRPr="002B3F93" w14:paraId="60E40674" w14:textId="77777777">
        <w:trPr>
          <w:jc w:val="center"/>
        </w:trPr>
        <w:tc>
          <w:tcPr>
            <w:tcW w:w="2592" w:type="dxa"/>
            <w:tcMar>
              <w:top w:w="100" w:type="dxa"/>
              <w:left w:w="120" w:type="dxa"/>
              <w:bottom w:w="100" w:type="dxa"/>
              <w:right w:w="120" w:type="dxa"/>
            </w:tcMar>
          </w:tcPr>
          <w:p w14:paraId="100EFEEB"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Momentum Nudge Vector</w:t>
            </w:r>
          </w:p>
        </w:tc>
        <w:tc>
          <w:tcPr>
            <w:tcW w:w="1872" w:type="dxa"/>
            <w:tcMar>
              <w:top w:w="100" w:type="dxa"/>
              <w:left w:w="120" w:type="dxa"/>
              <w:bottom w:w="100" w:type="dxa"/>
              <w:right w:w="120" w:type="dxa"/>
            </w:tcMar>
          </w:tcPr>
          <w:p w14:paraId="2A563C2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w_momentum</w:t>
            </w:r>
          </w:p>
        </w:tc>
        <w:tc>
          <w:tcPr>
            <w:tcW w:w="1872" w:type="dxa"/>
            <w:tcMar>
              <w:top w:w="100" w:type="dxa"/>
              <w:left w:w="120" w:type="dxa"/>
              <w:bottom w:w="100" w:type="dxa"/>
              <w:right w:w="120" w:type="dxa"/>
            </w:tcMar>
          </w:tcPr>
          <w:p w14:paraId="494ED2F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[0.70, 0.45, 0.20]</w:t>
            </w:r>
          </w:p>
        </w:tc>
        <w:tc>
          <w:tcPr>
            <w:tcW w:w="3456" w:type="dxa"/>
            <w:tcMar>
              <w:top w:w="100" w:type="dxa"/>
              <w:left w:w="120" w:type="dxa"/>
              <w:bottom w:w="100" w:type="dxa"/>
              <w:right w:w="120" w:type="dxa"/>
            </w:tcMar>
          </w:tcPr>
          <w:p w14:paraId="700091BE"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3-block weights applied to SCADA telemetry for immediate post-freeze horizon.</w:t>
            </w:r>
          </w:p>
        </w:tc>
      </w:tr>
      <w:tr w:rsidR="00D265B4" w:rsidRPr="002B3F93" w14:paraId="6F53F7BC" w14:textId="77777777">
        <w:trPr>
          <w:jc w:val="center"/>
        </w:trPr>
        <w:tc>
          <w:tcPr>
            <w:tcW w:w="2592" w:type="dxa"/>
            <w:shd w:val="clear" w:color="auto" w:fill="F8FAFC"/>
            <w:tcMar>
              <w:top w:w="100" w:type="dxa"/>
              <w:left w:w="120" w:type="dxa"/>
              <w:bottom w:w="100" w:type="dxa"/>
              <w:right w:w="120" w:type="dxa"/>
            </w:tcMar>
          </w:tcPr>
          <w:p w14:paraId="26D887A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Statutory Freeze Lag</w:t>
            </w:r>
          </w:p>
        </w:tc>
        <w:tc>
          <w:tcPr>
            <w:tcW w:w="1872" w:type="dxa"/>
            <w:shd w:val="clear" w:color="auto" w:fill="F8FAFC"/>
            <w:tcMar>
              <w:top w:w="100" w:type="dxa"/>
              <w:left w:w="120" w:type="dxa"/>
              <w:bottom w:w="100" w:type="dxa"/>
              <w:right w:w="120" w:type="dxa"/>
            </w:tcMar>
          </w:tcPr>
          <w:p w14:paraId="5BD8E0A4"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T_freeze_lag</w:t>
            </w:r>
          </w:p>
        </w:tc>
        <w:tc>
          <w:tcPr>
            <w:tcW w:w="1872" w:type="dxa"/>
            <w:shd w:val="clear" w:color="auto" w:fill="F8FAFC"/>
            <w:tcMar>
              <w:top w:w="100" w:type="dxa"/>
              <w:left w:w="120" w:type="dxa"/>
              <w:bottom w:w="100" w:type="dxa"/>
              <w:right w:w="120" w:type="dxa"/>
            </w:tcMar>
          </w:tcPr>
          <w:p w14:paraId="2A2EDEA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45 min / 90 min</w:t>
            </w:r>
          </w:p>
        </w:tc>
        <w:tc>
          <w:tcPr>
            <w:tcW w:w="3456" w:type="dxa"/>
            <w:shd w:val="clear" w:color="auto" w:fill="F8FAFC"/>
            <w:tcMar>
              <w:top w:w="100" w:type="dxa"/>
              <w:left w:w="120" w:type="dxa"/>
              <w:bottom w:w="100" w:type="dxa"/>
              <w:right w:w="120" w:type="dxa"/>
            </w:tcMar>
          </w:tcPr>
          <w:p w14:paraId="632075CC"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State regulatory freeze lag (3 blocks for CERC, 6 blocks for MPERC).</w:t>
            </w:r>
          </w:p>
        </w:tc>
      </w:tr>
      <w:tr w:rsidR="00D265B4" w:rsidRPr="002B3F93" w14:paraId="13CB8134" w14:textId="77777777">
        <w:trPr>
          <w:jc w:val="center"/>
        </w:trPr>
        <w:tc>
          <w:tcPr>
            <w:tcW w:w="2592" w:type="dxa"/>
            <w:tcMar>
              <w:top w:w="100" w:type="dxa"/>
              <w:left w:w="120" w:type="dxa"/>
              <w:bottom w:w="100" w:type="dxa"/>
              <w:right w:w="120" w:type="dxa"/>
            </w:tcMar>
          </w:tcPr>
          <w:p w14:paraId="0353E55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LLM Foundation Model</w:t>
            </w:r>
          </w:p>
        </w:tc>
        <w:tc>
          <w:tcPr>
            <w:tcW w:w="1872" w:type="dxa"/>
            <w:tcMar>
              <w:top w:w="100" w:type="dxa"/>
              <w:left w:w="120" w:type="dxa"/>
              <w:bottom w:w="100" w:type="dxa"/>
              <w:right w:w="120" w:type="dxa"/>
            </w:tcMar>
          </w:tcPr>
          <w:p w14:paraId="44918F12"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Model_LLM</w:t>
            </w:r>
          </w:p>
        </w:tc>
        <w:tc>
          <w:tcPr>
            <w:tcW w:w="1872" w:type="dxa"/>
            <w:tcMar>
              <w:top w:w="100" w:type="dxa"/>
              <w:left w:w="120" w:type="dxa"/>
              <w:bottom w:w="100" w:type="dxa"/>
              <w:right w:w="120" w:type="dxa"/>
            </w:tcMar>
          </w:tcPr>
          <w:p w14:paraId="1F2A914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openai/gpt-5.6-luna</w:t>
            </w:r>
          </w:p>
        </w:tc>
        <w:tc>
          <w:tcPr>
            <w:tcW w:w="3456" w:type="dxa"/>
            <w:tcMar>
              <w:top w:w="100" w:type="dxa"/>
              <w:left w:w="120" w:type="dxa"/>
              <w:bottom w:w="100" w:type="dxa"/>
              <w:right w:w="120" w:type="dxa"/>
            </w:tcMar>
          </w:tcPr>
          <w:p w14:paraId="3F149601"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Target LLM strategic wind arbiter invoked via OpenRouter API Gateway.</w:t>
            </w:r>
          </w:p>
        </w:tc>
      </w:tr>
    </w:tbl>
    <w:p w14:paraId="01285D65" w14:textId="77777777" w:rsidR="00D265B4" w:rsidRPr="002B3F93" w:rsidRDefault="00D265B4" w:rsidP="004F7D5C">
      <w:pPr>
        <w:spacing w:after="240"/>
        <w:jc w:val="both"/>
        <w:rPr>
          <w:rFonts w:ascii="Times New Roman" w:hAnsi="Times New Roman" w:cs="Times New Roman"/>
        </w:rPr>
      </w:pPr>
    </w:p>
    <w:p w14:paraId="04939355" w14:textId="77777777" w:rsidR="00D265B4" w:rsidRPr="002B3F93" w:rsidRDefault="00000000" w:rsidP="004F7D5C">
      <w:pPr>
        <w:keepNext/>
        <w:spacing w:before="360" w:after="160"/>
        <w:jc w:val="both"/>
        <w:rPr>
          <w:rFonts w:ascii="Times New Roman" w:hAnsi="Times New Roman" w:cs="Times New Roman"/>
        </w:rPr>
      </w:pPr>
      <w:r w:rsidRPr="002B3F93">
        <w:rPr>
          <w:rFonts w:ascii="Times New Roman" w:hAnsi="Times New Roman" w:cs="Times New Roman"/>
          <w:b/>
          <w:color w:val="0F172A"/>
          <w:sz w:val="34"/>
        </w:rPr>
        <w:t>2. End-to-End System Execution Flow</w:t>
      </w:r>
    </w:p>
    <w:p w14:paraId="2C87DABB" w14:textId="77777777" w:rsidR="00D265B4" w:rsidRPr="002B3F93" w:rsidRDefault="00000000" w:rsidP="004F7D5C">
      <w:pPr>
        <w:spacing w:after="160"/>
        <w:jc w:val="both"/>
        <w:rPr>
          <w:rFonts w:ascii="Times New Roman" w:hAnsi="Times New Roman" w:cs="Times New Roman"/>
        </w:rPr>
      </w:pPr>
      <w:r w:rsidRPr="002B3F93">
        <w:rPr>
          <w:rFonts w:ascii="Times New Roman" w:hAnsi="Times New Roman" w:cs="Times New Roman"/>
          <w:color w:val="334155"/>
          <w:sz w:val="20"/>
        </w:rPr>
        <w:t>At each 30-minute automated AWS EventBridge execution gate R (31 daily gates from 06:00 to 21:00 IST), the Intellis Wind Power Scheduling System executes a 9-step sequential pipeline to produce the official 96-block wind generation schedule deliverable to CERC / SLDC load dispatch centers:</w:t>
      </w:r>
    </w:p>
    <w:p w14:paraId="72DEF568"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1: Plant Hardware Profiling &amp; Aerodynamic Derate Engine: </w:t>
      </w:r>
      <w:r w:rsidRPr="002B3F93">
        <w:rPr>
          <w:rFonts w:ascii="Times New Roman" w:hAnsi="Times New Roman" w:cs="Times New Roman"/>
          <w:color w:val="334155"/>
          <w:sz w:val="20"/>
        </w:rPr>
        <w:t>Ingest turbine hardware profiles (WindTurbineProfile) for active wind plants (CHANDAWASA 15MW, JGBPL 30MW, JEWLI 25.2MW); apply aerodynamic cut-in/cut-out operating limits and combined 3-factor park derate eta_park = 0.89.</w:t>
      </w:r>
    </w:p>
    <w:p w14:paraId="6E797D8B"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2: Thermodynamic Air Density &amp; Kinetic Wind Flux Engine: </w:t>
      </w:r>
      <w:r w:rsidRPr="002B3F93">
        <w:rPr>
          <w:rFonts w:ascii="Times New Roman" w:hAnsi="Times New Roman" w:cs="Times New Roman"/>
          <w:color w:val="334155"/>
          <w:sz w:val="20"/>
        </w:rPr>
        <w:t>Evaluate surface pressure P_surf and temperature T_2m; compute ideal gas air density rho = (P * 100) / (287.05 * T_K); compute IEC 61400-12 density-normalized wind velocity v_eff = v_hub * (rho / 1.225)^(1/3); discretize to 96-block density spline array.</w:t>
      </w:r>
    </w:p>
    <w:p w14:paraId="45D22F2A"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3: 143-Member NWP Ensemble &amp; Boundary Layer Shear Engine: </w:t>
      </w:r>
      <w:r w:rsidRPr="002B3F93">
        <w:rPr>
          <w:rFonts w:ascii="Times New Roman" w:hAnsi="Times New Roman" w:cs="Times New Roman"/>
          <w:color w:val="334155"/>
          <w:sz w:val="20"/>
        </w:rPr>
        <w:t>Fetch 143 ensemble weather members across ECMWF, ICON, GEFS, and GEM; extract vertical wind channels (10m, 80m, 100m, 120m); scale wind speeds to hub height using diurnal Hellmann boundary layer shear exponents alpha(h) in {0.29, 0.20, 0.12, 0.22}.</w:t>
      </w:r>
    </w:p>
    <w:p w14:paraId="2B6826DD"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4: Diurnal Wind Regime Slot Selection &amp; Champion Portfolio Ensembling: </w:t>
      </w:r>
      <w:r w:rsidRPr="002B3F93">
        <w:rPr>
          <w:rFonts w:ascii="Times New Roman" w:hAnsi="Times New Roman" w:cs="Times New Roman"/>
          <w:color w:val="334155"/>
          <w:sz w:val="20"/>
        </w:rPr>
        <w:t>Partition 24-hour day into 4 diurnal wind regimes (Nocturnal Jet, Morning Decay, Daytime Lull, Evening Ramp); evaluate historical candidate MAE/RMSE; enforce agency capping (max 2 models per family); select slot champions and compute slot consensus forecast.</w:t>
      </w:r>
    </w:p>
    <w:p w14:paraId="55A7C67F"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5: Real-Time SCADA Telemetry Ingestion &amp; Closed-Loop Bias Blending: </w:t>
      </w:r>
      <w:r w:rsidRPr="002B3F93">
        <w:rPr>
          <w:rFonts w:ascii="Times New Roman" w:hAnsi="Times New Roman" w:cs="Times New Roman"/>
          <w:color w:val="334155"/>
          <w:sz w:val="20"/>
        </w:rPr>
        <w:t>Extract dual-path SCADA telemetry; compute 10% trimmed mean across nacelle anemometers; apply 10m weather mast extrapolation factor C_mast = 2.108 if nacelle data offline; calculate recency-decayed bias correction and 3-block momentum nudge.</w:t>
      </w:r>
    </w:p>
    <w:p w14:paraId="2076EAA7"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6: Jensen's-Inequality-Safe Power Transformation Engine: </w:t>
      </w:r>
      <w:r w:rsidRPr="002B3F93">
        <w:rPr>
          <w:rFonts w:ascii="Times New Roman" w:hAnsi="Times New Roman" w:cs="Times New Roman"/>
          <w:color w:val="334155"/>
          <w:sz w:val="20"/>
        </w:rPr>
        <w:t>Enforce Jensen's inequality proof (E[v^3] &gt;= (E[v])^3); pass each member velocity through non-linear OEM turbine power curves BEFORE ensembling to prevent 15%-28% under-forecasting; apply park derate and array transfer multipliers M[b].</w:t>
      </w:r>
    </w:p>
    <w:p w14:paraId="0D14CD75"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7: AWS EventBridge Orchestration &amp; Statutory Freeze Boundary Partitioning: </w:t>
      </w:r>
      <w:r w:rsidRPr="002B3F93">
        <w:rPr>
          <w:rFonts w:ascii="Times New Roman" w:hAnsi="Times New Roman" w:cs="Times New Roman"/>
          <w:color w:val="334155"/>
          <w:sz w:val="20"/>
        </w:rPr>
        <w:t>Orchestrate 31 daily rolling execution gates via dual cron rules; compute statutory freeze boundary B_act = B_snap + T_lag (45 min for CERC, 90 min for MPERC); preserve immutable frozen history (b &lt; B_act) and forward actionable window to LLM.</w:t>
      </w:r>
    </w:p>
    <w:p w14:paraId="721AAB3C"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8: Wind LLM Strategic Arbiter &amp; Asymmetric DSM Risk Engine: </w:t>
      </w:r>
      <w:r w:rsidRPr="002B3F93">
        <w:rPr>
          <w:rFonts w:ascii="Times New Roman" w:hAnsi="Times New Roman" w:cs="Times New Roman"/>
          <w:color w:val="334155"/>
          <w:sz w:val="20"/>
        </w:rPr>
        <w:t>Slice next 12 blocks (3-hour actionable window); invoke OpenRouter GPT-5.6 Luna with multi-key resilient fallback pool; evaluate wind atmospheric classification (STEADY_HIGH_WIND, DIURNAL_THERMAL_BREEZE, GUSTY_TURBULENT, LOW_WIND_CUTIN_RISK); apply asymmetric DSM risk positioning.</w:t>
      </w:r>
    </w:p>
    <w:p w14:paraId="042823AC"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9: 96-Block Master Assembly, CERC Guardrails &amp; AWS S3 Data Lake Dispatch: </w:t>
      </w:r>
      <w:r w:rsidRPr="002B3F93">
        <w:rPr>
          <w:rFonts w:ascii="Times New Roman" w:hAnsi="Times New Roman" w:cs="Times New Roman"/>
          <w:color w:val="334155"/>
          <w:sz w:val="20"/>
        </w:rPr>
        <w:t xml:space="preserve">Verify 24-hour continuous operation (NO night zeroing); clip power to grid interconnection capacity P_rated; enforce aerodynamic </w:t>
      </w:r>
      <w:r w:rsidRPr="002B3F93">
        <w:rPr>
          <w:rFonts w:ascii="Times New Roman" w:hAnsi="Times New Roman" w:cs="Times New Roman"/>
          <w:color w:val="334155"/>
          <w:sz w:val="20"/>
        </w:rPr>
        <w:lastRenderedPageBreak/>
        <w:t>drivetrain ramp filter (ΔMW &lt;= 15% P_rated); generate canonical 7-column CSV artifacts and synchronize to AWS S3 enterprise lake.</w:t>
      </w:r>
    </w:p>
    <w:p w14:paraId="12ED2F2A" w14:textId="77777777" w:rsidR="00D265B4" w:rsidRPr="002B3F93" w:rsidRDefault="00D265B4" w:rsidP="004F7D5C">
      <w:pPr>
        <w:spacing w:after="240"/>
        <w:jc w:val="both"/>
        <w:rPr>
          <w:rFonts w:ascii="Times New Roman" w:hAnsi="Times New Roman" w:cs="Times New Roman"/>
        </w:rPr>
      </w:pPr>
    </w:p>
    <w:p w14:paraId="30372225" w14:textId="77777777" w:rsidR="00D265B4" w:rsidRPr="002B3F93" w:rsidRDefault="00000000" w:rsidP="004F7D5C">
      <w:pPr>
        <w:keepNext/>
        <w:spacing w:before="360" w:after="160"/>
        <w:jc w:val="both"/>
        <w:rPr>
          <w:rFonts w:ascii="Times New Roman" w:hAnsi="Times New Roman" w:cs="Times New Roman"/>
        </w:rPr>
      </w:pPr>
      <w:r w:rsidRPr="002B3F93">
        <w:rPr>
          <w:rFonts w:ascii="Times New Roman" w:hAnsi="Times New Roman" w:cs="Times New Roman"/>
          <w:b/>
          <w:color w:val="0F172A"/>
          <w:sz w:val="34"/>
        </w:rPr>
        <w:t>3. Module-by-Module Algorithmic Logic</w:t>
      </w:r>
    </w:p>
    <w:p w14:paraId="4E25AEA5" w14:textId="77777777" w:rsidR="00D265B4" w:rsidRPr="002B3F93" w:rsidRDefault="00000000" w:rsidP="004F7D5C">
      <w:pPr>
        <w:spacing w:after="160"/>
        <w:jc w:val="both"/>
        <w:rPr>
          <w:rFonts w:ascii="Times New Roman" w:hAnsi="Times New Roman" w:cs="Times New Roman"/>
        </w:rPr>
      </w:pPr>
      <w:r w:rsidRPr="002B3F93">
        <w:rPr>
          <w:rFonts w:ascii="Times New Roman" w:hAnsi="Times New Roman" w:cs="Times New Roman"/>
          <w:color w:val="334155"/>
          <w:sz w:val="20"/>
        </w:rPr>
        <w:t>This section details the exact low-level algorithmic logic, thermodynamic formulas, data input structures, output specifications, and step-by-step procedures for each of the 9 computational modules comprising the Intellis Wind System.</w:t>
      </w:r>
    </w:p>
    <w:p w14:paraId="16A9DB8B" w14:textId="77777777" w:rsidR="00D265B4" w:rsidRPr="002B3F93" w:rsidRDefault="00000000" w:rsidP="004F7D5C">
      <w:pPr>
        <w:keepNext/>
        <w:spacing w:before="280" w:after="120"/>
        <w:jc w:val="both"/>
        <w:rPr>
          <w:rFonts w:ascii="Times New Roman" w:hAnsi="Times New Roman" w:cs="Times New Roman"/>
        </w:rPr>
      </w:pPr>
      <w:r w:rsidRPr="002B3F93">
        <w:rPr>
          <w:rFonts w:ascii="Times New Roman" w:hAnsi="Times New Roman" w:cs="Times New Roman"/>
          <w:b/>
          <w:color w:val="1E3A8A"/>
          <w:sz w:val="27"/>
        </w:rPr>
        <w:t>3.1 Module 1: Plant Hardware Profiling &amp; Aerodynamic Derate Engine</w:t>
      </w:r>
    </w:p>
    <w:p w14:paraId="0D5810AE" w14:textId="77777777" w:rsidR="00D265B4" w:rsidRPr="002B3F93" w:rsidRDefault="00000000" w:rsidP="004F7D5C">
      <w:pPr>
        <w:spacing w:before="40" w:after="40"/>
        <w:jc w:val="both"/>
        <w:rPr>
          <w:rFonts w:ascii="Times New Roman" w:hAnsi="Times New Roman" w:cs="Times New Roman"/>
        </w:rPr>
      </w:pPr>
      <w:r w:rsidRPr="002B3F93">
        <w:rPr>
          <w:rFonts w:ascii="Times New Roman" w:hAnsi="Times New Roman" w:cs="Times New Roman"/>
          <w:b/>
          <w:color w:val="0F172A"/>
          <w:sz w:val="20"/>
        </w:rPr>
        <w:t xml:space="preserve">• Algorithm Inputs: </w:t>
      </w:r>
      <w:r w:rsidRPr="002B3F93">
        <w:rPr>
          <w:rFonts w:ascii="Times New Roman" w:hAnsi="Times New Roman" w:cs="Times New Roman"/>
          <w:color w:val="334155"/>
          <w:sz w:val="20"/>
        </w:rPr>
        <w:t>site_id, run_date, WindTurbineProfile registry, P_rated, N_turb, h_hub, D.</w:t>
      </w:r>
    </w:p>
    <w:p w14:paraId="0684AAFF" w14:textId="77777777" w:rsidR="00D265B4" w:rsidRPr="002B3F93" w:rsidRDefault="00000000" w:rsidP="004F7D5C">
      <w:pPr>
        <w:spacing w:before="40" w:after="120"/>
        <w:jc w:val="both"/>
        <w:rPr>
          <w:rFonts w:ascii="Times New Roman" w:hAnsi="Times New Roman" w:cs="Times New Roman"/>
        </w:rPr>
      </w:pPr>
      <w:r w:rsidRPr="002B3F93">
        <w:rPr>
          <w:rFonts w:ascii="Times New Roman" w:hAnsi="Times New Roman" w:cs="Times New Roman"/>
          <w:b/>
          <w:color w:val="0F172A"/>
          <w:sz w:val="20"/>
        </w:rPr>
        <w:t xml:space="preserve">• Algorithm Outputs: </w:t>
      </w:r>
      <w:r w:rsidRPr="002B3F93">
        <w:rPr>
          <w:rFonts w:ascii="Times New Roman" w:hAnsi="Times New Roman" w:cs="Times New Roman"/>
          <w:color w:val="334155"/>
          <w:sz w:val="20"/>
        </w:rPr>
        <w:t>Hardware_Profile struct containing OEM power curve tables, operating bounds, and 96-block transfer array M[b].</w:t>
      </w:r>
    </w:p>
    <w:p w14:paraId="2AA0AC90" w14:textId="77777777" w:rsidR="00D265B4" w:rsidRPr="002B3F93" w:rsidRDefault="00000000" w:rsidP="004F7D5C">
      <w:pPr>
        <w:spacing w:before="80" w:after="80"/>
        <w:jc w:val="both"/>
        <w:rPr>
          <w:rFonts w:ascii="Times New Roman" w:hAnsi="Times New Roman" w:cs="Times New Roman"/>
        </w:rPr>
      </w:pPr>
      <w:r w:rsidRPr="002B3F93">
        <w:rPr>
          <w:rFonts w:ascii="Times New Roman" w:hAnsi="Times New Roman" w:cs="Times New Roman"/>
          <w:b/>
          <w:color w:val="1E3A8A"/>
          <w:sz w:val="20"/>
        </w:rPr>
        <w:t>Algorithmic Procedure:</w:t>
      </w:r>
    </w:p>
    <w:p w14:paraId="7108E56E"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1.1 Hardware Profile Ingestion: </w:t>
      </w:r>
      <w:r w:rsidRPr="002B3F93">
        <w:rPr>
          <w:rFonts w:ascii="Times New Roman" w:hAnsi="Times New Roman" w:cs="Times New Roman"/>
          <w:color w:val="334155"/>
          <w:sz w:val="20"/>
        </w:rPr>
        <w:t>Query WindTurbineProfile registry for active site profile: CHANDAWASA (15 MW, 2.0MW Suzlon S97 120m hub), JGBPL (30 MW, 2.0MW Gamesa G97 104m hub), JEWLI (25.2 MW, 2.1MW Suzlon S111 120m hub).</w:t>
      </w:r>
    </w:p>
    <w:p w14:paraId="7D5693FC"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1.2 Aerodynamic Operating Velocity Limits: </w:t>
      </w:r>
      <w:r w:rsidRPr="002B3F93">
        <w:rPr>
          <w:rFonts w:ascii="Times New Roman" w:hAnsi="Times New Roman" w:cs="Times New Roman"/>
          <w:color w:val="334155"/>
          <w:sz w:val="20"/>
        </w:rPr>
        <w:t>Ingest IEC Class IIIA/S aerodynamic velocity bounds: Cut-in velocity v_in = 3.0 m/s; Rated velocity v_rated = 11.5 - 12.5 m/s; Cut-out velocity v_out = 25.0 m/s.</w:t>
      </w:r>
    </w:p>
    <w:p w14:paraId="7D782174"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1.3 Combined Three-Factor Park Derate Formulation: </w:t>
      </w:r>
      <w:r w:rsidRPr="002B3F93">
        <w:rPr>
          <w:rFonts w:ascii="Times New Roman" w:hAnsi="Times New Roman" w:cs="Times New Roman"/>
          <w:color w:val="334155"/>
          <w:sz w:val="20"/>
        </w:rPr>
        <w:t>Evaluate total array park efficiency eta_park = eta_wake * eta_avail * eta_elec. Set default combined park efficiency eta_park = 0.89 (89.0%) across active wind farm arrays.</w:t>
      </w:r>
    </w:p>
    <w:p w14:paraId="04A8698A"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1.4 Ingest Empirical Site Calibrated Multipliers: </w:t>
      </w:r>
      <w:r w:rsidRPr="002B3F93">
        <w:rPr>
          <w:rFonts w:ascii="Times New Roman" w:hAnsi="Times New Roman" w:cs="Times New Roman"/>
          <w:color w:val="334155"/>
          <w:sz w:val="20"/>
        </w:rPr>
        <w:t>Load 96-block array transfer multiplier array M[b] calibrated from historical SCADA generation records for block b in {1, ..., 96}.</w:t>
      </w:r>
    </w:p>
    <w:p w14:paraId="4BE57320"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1.5 Hardware Capacity Validation: </w:t>
      </w:r>
      <w:r w:rsidRPr="002B3F93">
        <w:rPr>
          <w:rFonts w:ascii="Times New Roman" w:hAnsi="Times New Roman" w:cs="Times New Roman"/>
          <w:color w:val="334155"/>
          <w:sz w:val="20"/>
        </w:rPr>
        <w:t>Enforce physical active power array boundaries: 0.0 &lt;= P_schedule(b) &lt;= P_rated.</w:t>
      </w:r>
    </w:p>
    <w:p w14:paraId="3C7E81F8"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1.6 Persistence: </w:t>
      </w:r>
      <w:r w:rsidRPr="002B3F93">
        <w:rPr>
          <w:rFonts w:ascii="Times New Roman" w:hAnsi="Times New Roman" w:cs="Times New Roman"/>
          <w:color w:val="334155"/>
          <w:sz w:val="20"/>
        </w:rPr>
        <w:t>Save validated profile parameters to wind_hardware_profile_{site_id}.json. RETURN Hardware_Profile.</w:t>
      </w:r>
    </w:p>
    <w:p w14:paraId="5C4CDDC9" w14:textId="77777777" w:rsidR="00D265B4" w:rsidRPr="002B3F93" w:rsidRDefault="00D265B4" w:rsidP="004F7D5C">
      <w:pPr>
        <w:spacing w:after="160"/>
        <w:jc w:val="both"/>
        <w:rPr>
          <w:rFonts w:ascii="Times New Roman" w:hAnsi="Times New Roman" w:cs="Times New Roman"/>
        </w:rPr>
      </w:pPr>
    </w:p>
    <w:p w14:paraId="0BE547EE" w14:textId="77777777" w:rsidR="00D265B4" w:rsidRPr="002B3F93" w:rsidRDefault="00000000" w:rsidP="004F7D5C">
      <w:pPr>
        <w:keepNext/>
        <w:spacing w:before="280" w:after="120"/>
        <w:jc w:val="both"/>
        <w:rPr>
          <w:rFonts w:ascii="Times New Roman" w:hAnsi="Times New Roman" w:cs="Times New Roman"/>
        </w:rPr>
      </w:pPr>
      <w:r w:rsidRPr="002B3F93">
        <w:rPr>
          <w:rFonts w:ascii="Times New Roman" w:hAnsi="Times New Roman" w:cs="Times New Roman"/>
          <w:b/>
          <w:color w:val="1E3A8A"/>
          <w:sz w:val="27"/>
        </w:rPr>
        <w:t>3.2 Module 2: Thermodynamic Air Density &amp; Kinetic Wind Flux Engine</w:t>
      </w:r>
    </w:p>
    <w:p w14:paraId="76053C1E" w14:textId="77777777" w:rsidR="00D265B4" w:rsidRPr="002B3F93" w:rsidRDefault="00000000" w:rsidP="004F7D5C">
      <w:pPr>
        <w:spacing w:before="40" w:after="40"/>
        <w:jc w:val="both"/>
        <w:rPr>
          <w:rFonts w:ascii="Times New Roman" w:hAnsi="Times New Roman" w:cs="Times New Roman"/>
        </w:rPr>
      </w:pPr>
      <w:r w:rsidRPr="002B3F93">
        <w:rPr>
          <w:rFonts w:ascii="Times New Roman" w:hAnsi="Times New Roman" w:cs="Times New Roman"/>
          <w:b/>
          <w:color w:val="0F172A"/>
          <w:sz w:val="20"/>
        </w:rPr>
        <w:t xml:space="preserve">• Algorithm Inputs: </w:t>
      </w:r>
      <w:r w:rsidRPr="002B3F93">
        <w:rPr>
          <w:rFonts w:ascii="Times New Roman" w:hAnsi="Times New Roman" w:cs="Times New Roman"/>
          <w:color w:val="334155"/>
          <w:sz w:val="20"/>
        </w:rPr>
        <w:t>P_surf[1..96] (Surface Pressure in hPa), T_2m[1..96] (Ambient Air Temperature in °C), run_date.</w:t>
      </w:r>
    </w:p>
    <w:p w14:paraId="41E02FC1" w14:textId="77777777" w:rsidR="00D265B4" w:rsidRPr="002B3F93" w:rsidRDefault="00000000" w:rsidP="004F7D5C">
      <w:pPr>
        <w:spacing w:before="40" w:after="120"/>
        <w:jc w:val="both"/>
        <w:rPr>
          <w:rFonts w:ascii="Times New Roman" w:hAnsi="Times New Roman" w:cs="Times New Roman"/>
        </w:rPr>
      </w:pPr>
      <w:r w:rsidRPr="002B3F93">
        <w:rPr>
          <w:rFonts w:ascii="Times New Roman" w:hAnsi="Times New Roman" w:cs="Times New Roman"/>
          <w:b/>
          <w:color w:val="0F172A"/>
          <w:sz w:val="20"/>
        </w:rPr>
        <w:t xml:space="preserve">• Algorithm Outputs: </w:t>
      </w:r>
      <w:r w:rsidRPr="002B3F93">
        <w:rPr>
          <w:rFonts w:ascii="Times New Roman" w:hAnsi="Times New Roman" w:cs="Times New Roman"/>
          <w:color w:val="334155"/>
          <w:sz w:val="20"/>
        </w:rPr>
        <w:t>rho_array[1..96] (Air density array in kg/m³), v_eff_matrix[143][96] (Density-normalized wind speed matrix).</w:t>
      </w:r>
    </w:p>
    <w:p w14:paraId="5094C578" w14:textId="77777777" w:rsidR="00D265B4" w:rsidRPr="002B3F93" w:rsidRDefault="00000000" w:rsidP="004F7D5C">
      <w:pPr>
        <w:spacing w:before="80" w:after="80"/>
        <w:jc w:val="both"/>
        <w:rPr>
          <w:rFonts w:ascii="Times New Roman" w:hAnsi="Times New Roman" w:cs="Times New Roman"/>
        </w:rPr>
      </w:pPr>
      <w:r w:rsidRPr="002B3F93">
        <w:rPr>
          <w:rFonts w:ascii="Times New Roman" w:hAnsi="Times New Roman" w:cs="Times New Roman"/>
          <w:b/>
          <w:color w:val="1E3A8A"/>
          <w:sz w:val="20"/>
        </w:rPr>
        <w:t>Algorithmic Procedure:</w:t>
      </w:r>
    </w:p>
    <w:p w14:paraId="76687BEF"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2.1 Ingest Atmospheric Thermodynamic Variables: </w:t>
      </w:r>
      <w:r w:rsidRPr="002B3F93">
        <w:rPr>
          <w:rFonts w:ascii="Times New Roman" w:hAnsi="Times New Roman" w:cs="Times New Roman"/>
          <w:color w:val="334155"/>
          <w:sz w:val="20"/>
        </w:rPr>
        <w:t>Extract surface barometric pressure P_surf(b) in hPa and 2m ambient air temperature T_2m(b) in °C from weather feed for all 96 blocks.</w:t>
      </w:r>
    </w:p>
    <w:p w14:paraId="21677CE2"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2.2 Evaluate Ideal Gas Thermodynamic Air Density: </w:t>
      </w:r>
      <w:r w:rsidRPr="002B3F93">
        <w:rPr>
          <w:rFonts w:ascii="Times New Roman" w:hAnsi="Times New Roman" w:cs="Times New Roman"/>
          <w:color w:val="334155"/>
          <w:sz w:val="20"/>
        </w:rPr>
        <w:t>FOR each block b in {1, ..., 96}: convert temperature to Kelvin T_K = T_2m(b) + 273.15. Compute dry air density using ideal gas law: rho(b) = (P_surf(b) * 100.0) / (287.05 * T_K) in kg/m³.</w:t>
      </w:r>
    </w:p>
    <w:p w14:paraId="1A2EA3B9"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2.3 Compute IEC 61400-12 Density-Normalized Wind Velocity: </w:t>
      </w:r>
      <w:r w:rsidRPr="002B3F93">
        <w:rPr>
          <w:rFonts w:ascii="Times New Roman" w:hAnsi="Times New Roman" w:cs="Times New Roman"/>
          <w:color w:val="334155"/>
          <w:sz w:val="20"/>
        </w:rPr>
        <w:t>FOR each candidate member m and block b: normalize raw hub wind speed v_hub_m(b) to standard air density rho_0 = 1.225 kg/m³: v_eff_m(b) = v_hub_m(b) * (rho(b) / 1.225)^(1/3).</w:t>
      </w:r>
    </w:p>
    <w:p w14:paraId="0A4BBDD6"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lastRenderedPageBreak/>
        <w:t xml:space="preserve">Step 2.4 Construct 96-Block Density Spline Array: </w:t>
      </w:r>
      <w:r w:rsidRPr="002B3F93">
        <w:rPr>
          <w:rFonts w:ascii="Times New Roman" w:hAnsi="Times New Roman" w:cs="Times New Roman"/>
          <w:color w:val="334155"/>
          <w:sz w:val="20"/>
        </w:rPr>
        <w:t>Discretize hourly density values to continuous 15-minute midpoints via natural cubic spline interpolation: rho_array = compute_air_density(P_surf, T_2m).</w:t>
      </w:r>
    </w:p>
    <w:p w14:paraId="16BE751D"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2.5 Data Persistence: </w:t>
      </w:r>
      <w:r w:rsidRPr="002B3F93">
        <w:rPr>
          <w:rFonts w:ascii="Times New Roman" w:hAnsi="Times New Roman" w:cs="Times New Roman"/>
          <w:color w:val="334155"/>
          <w:sz w:val="20"/>
        </w:rPr>
        <w:t>Save density and velocity matrix to air_density_spline_{run_date}.csv. RETURN {rho_array, v_eff_matrix}.</w:t>
      </w:r>
    </w:p>
    <w:p w14:paraId="239FA01F" w14:textId="77777777" w:rsidR="00D265B4" w:rsidRPr="002B3F93" w:rsidRDefault="00D265B4" w:rsidP="004F7D5C">
      <w:pPr>
        <w:spacing w:after="160"/>
        <w:jc w:val="both"/>
        <w:rPr>
          <w:rFonts w:ascii="Times New Roman" w:hAnsi="Times New Roman" w:cs="Times New Roman"/>
        </w:rPr>
      </w:pPr>
    </w:p>
    <w:p w14:paraId="3DCE7CC9" w14:textId="77777777" w:rsidR="00D265B4" w:rsidRPr="002B3F93" w:rsidRDefault="00000000" w:rsidP="004F7D5C">
      <w:pPr>
        <w:keepNext/>
        <w:spacing w:before="280" w:after="120"/>
        <w:jc w:val="both"/>
        <w:rPr>
          <w:rFonts w:ascii="Times New Roman" w:hAnsi="Times New Roman" w:cs="Times New Roman"/>
        </w:rPr>
      </w:pPr>
      <w:r w:rsidRPr="002B3F93">
        <w:rPr>
          <w:rFonts w:ascii="Times New Roman" w:hAnsi="Times New Roman" w:cs="Times New Roman"/>
          <w:b/>
          <w:color w:val="1E3A8A"/>
          <w:sz w:val="27"/>
        </w:rPr>
        <w:t>3.3 Module 3: 143-Member NWP Super-Ensemble &amp; Atmospheric Boundary Layer Shear Engine</w:t>
      </w:r>
    </w:p>
    <w:p w14:paraId="3595F559" w14:textId="77777777" w:rsidR="00D265B4" w:rsidRPr="002B3F93" w:rsidRDefault="00000000" w:rsidP="004F7D5C">
      <w:pPr>
        <w:spacing w:before="40" w:after="40"/>
        <w:jc w:val="both"/>
        <w:rPr>
          <w:rFonts w:ascii="Times New Roman" w:hAnsi="Times New Roman" w:cs="Times New Roman"/>
        </w:rPr>
      </w:pPr>
      <w:r w:rsidRPr="002B3F93">
        <w:rPr>
          <w:rFonts w:ascii="Times New Roman" w:hAnsi="Times New Roman" w:cs="Times New Roman"/>
          <w:b/>
          <w:color w:val="0F172A"/>
          <w:sz w:val="20"/>
        </w:rPr>
        <w:t xml:space="preserve">• Algorithm Inputs: </w:t>
      </w:r>
      <w:r w:rsidRPr="002B3F93">
        <w:rPr>
          <w:rFonts w:ascii="Times New Roman" w:hAnsi="Times New Roman" w:cs="Times New Roman"/>
          <w:color w:val="334155"/>
          <w:sz w:val="20"/>
        </w:rPr>
        <w:t>latitude, longitude, target_date_str, h_hub, Open-Meteo High-Bandwidth Endpoint.</w:t>
      </w:r>
    </w:p>
    <w:p w14:paraId="54F2385D" w14:textId="77777777" w:rsidR="00D265B4" w:rsidRPr="002B3F93" w:rsidRDefault="00000000" w:rsidP="004F7D5C">
      <w:pPr>
        <w:spacing w:before="40" w:after="120"/>
        <w:jc w:val="both"/>
        <w:rPr>
          <w:rFonts w:ascii="Times New Roman" w:hAnsi="Times New Roman" w:cs="Times New Roman"/>
        </w:rPr>
      </w:pPr>
      <w:r w:rsidRPr="002B3F93">
        <w:rPr>
          <w:rFonts w:ascii="Times New Roman" w:hAnsi="Times New Roman" w:cs="Times New Roman"/>
          <w:b/>
          <w:color w:val="0F172A"/>
          <w:sz w:val="20"/>
        </w:rPr>
        <w:t xml:space="preserve">• Algorithm Outputs: </w:t>
      </w:r>
      <w:r w:rsidRPr="002B3F93">
        <w:rPr>
          <w:rFonts w:ascii="Times New Roman" w:hAnsi="Times New Roman" w:cs="Times New Roman"/>
          <w:color w:val="334155"/>
          <w:sz w:val="20"/>
        </w:rPr>
        <w:t>v_hub_matrix[143][96] (Discretized 15-minute hub wind speed matrix for all 143 members).</w:t>
      </w:r>
    </w:p>
    <w:p w14:paraId="6B692A3D" w14:textId="77777777" w:rsidR="00D265B4" w:rsidRPr="002B3F93" w:rsidRDefault="00000000" w:rsidP="004F7D5C">
      <w:pPr>
        <w:spacing w:before="80" w:after="80"/>
        <w:jc w:val="both"/>
        <w:rPr>
          <w:rFonts w:ascii="Times New Roman" w:hAnsi="Times New Roman" w:cs="Times New Roman"/>
        </w:rPr>
      </w:pPr>
      <w:r w:rsidRPr="002B3F93">
        <w:rPr>
          <w:rFonts w:ascii="Times New Roman" w:hAnsi="Times New Roman" w:cs="Times New Roman"/>
          <w:b/>
          <w:color w:val="1E3A8A"/>
          <w:sz w:val="20"/>
        </w:rPr>
        <w:t>Algorithmic Procedure:</w:t>
      </w:r>
    </w:p>
    <w:p w14:paraId="3C8659ED"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3.1 Fetch 143-Member Multi-Agency Super-Ensemble Feed: </w:t>
      </w:r>
      <w:r w:rsidRPr="002B3F93">
        <w:rPr>
          <w:rFonts w:ascii="Times New Roman" w:hAnsi="Times New Roman" w:cs="Times New Roman"/>
          <w:color w:val="334155"/>
          <w:sz w:val="20"/>
        </w:rPr>
        <w:t>Query Open-Meteo Ensemble API across 4 NWP agency families (ECMWF IFS 35 members, ICON-EU/Global 40 members, GEFS 30 members, GEM 38 members). Extract vertical wind speed channels (10m, 80m, 100m, 120m).</w:t>
      </w:r>
    </w:p>
    <w:p w14:paraId="0934A501"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3.2 Diurnal Atmospheric Boundary Layer Shear Scaling: </w:t>
      </w:r>
      <w:r w:rsidRPr="002B3F93">
        <w:rPr>
          <w:rFonts w:ascii="Times New Roman" w:hAnsi="Times New Roman" w:cs="Times New Roman"/>
          <w:color w:val="334155"/>
          <w:sz w:val="20"/>
        </w:rPr>
        <w:t>FOR each hour H and member m: extrapolate surface wind speed to nacelle hub height h_hub using Hellmann power-law shear equation: v_hub = v_ref * (h_hub / h_ref)^alpha(h).</w:t>
      </w:r>
    </w:p>
    <w:p w14:paraId="43AACAEA"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3.3 Apply 4 Diurnal Shear Regimes: </w:t>
      </w:r>
      <w:r w:rsidRPr="002B3F93">
        <w:rPr>
          <w:rFonts w:ascii="Times New Roman" w:hAnsi="Times New Roman" w:cs="Times New Roman"/>
          <w:color w:val="334155"/>
          <w:sz w:val="20"/>
        </w:rPr>
        <w:t>Set Hellmann shear exponent alpha(h) based on boundary layer thermal stability: Nocturnal Inversion (00:00-06:00 IST): alpha = 0.29 (strong nocturnal jet); Morning Transition (06:00-11:00 IST): alpha = 0.20; Midday Convective Mixing (11:00-17:00 IST): alpha = 0.12 (strong thermal mixing); Evening Stabilization (17:00-24:00 IST): alpha = 0.22.</w:t>
      </w:r>
    </w:p>
    <w:p w14:paraId="0A374BA7"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3.4 Continuous 15-Minute Spline Discretization: </w:t>
      </w:r>
      <w:r w:rsidRPr="002B3F93">
        <w:rPr>
          <w:rFonts w:ascii="Times New Roman" w:hAnsi="Times New Roman" w:cs="Times New Roman"/>
          <w:color w:val="334155"/>
          <w:sz w:val="20"/>
        </w:rPr>
        <w:t>Fit natural cubic spline over hourly hub wind speeds; evaluate spline at 96 15-minute block midpoints to produce continuous matrix v_hub_matrix[143][96].</w:t>
      </w:r>
    </w:p>
    <w:p w14:paraId="065DF494"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3.5 Save Wind Matrix: </w:t>
      </w:r>
      <w:r w:rsidRPr="002B3F93">
        <w:rPr>
          <w:rFonts w:ascii="Times New Roman" w:hAnsi="Times New Roman" w:cs="Times New Roman"/>
          <w:color w:val="334155"/>
          <w:sz w:val="20"/>
        </w:rPr>
        <w:t>Write array to wind_speed_hub_matrix_{run_date}_block_{R}.csv. RETURN v_hub_matrix[143][96].</w:t>
      </w:r>
    </w:p>
    <w:p w14:paraId="5D7C7A00" w14:textId="77777777" w:rsidR="00D265B4" w:rsidRPr="002B3F93" w:rsidRDefault="00D265B4" w:rsidP="004F7D5C">
      <w:pPr>
        <w:spacing w:after="160"/>
        <w:jc w:val="both"/>
        <w:rPr>
          <w:rFonts w:ascii="Times New Roman" w:hAnsi="Times New Roman" w:cs="Times New Roman"/>
        </w:rPr>
      </w:pPr>
    </w:p>
    <w:p w14:paraId="0B614099" w14:textId="77777777" w:rsidR="00D265B4" w:rsidRPr="002B3F93" w:rsidRDefault="00000000" w:rsidP="004F7D5C">
      <w:pPr>
        <w:keepNext/>
        <w:spacing w:before="280" w:after="120"/>
        <w:jc w:val="both"/>
        <w:rPr>
          <w:rFonts w:ascii="Times New Roman" w:hAnsi="Times New Roman" w:cs="Times New Roman"/>
        </w:rPr>
      </w:pPr>
      <w:r w:rsidRPr="002B3F93">
        <w:rPr>
          <w:rFonts w:ascii="Times New Roman" w:hAnsi="Times New Roman" w:cs="Times New Roman"/>
          <w:b/>
          <w:color w:val="1E3A8A"/>
          <w:sz w:val="27"/>
        </w:rPr>
        <w:t>3.4 Module 4: Diurnal Wind Regime Slot Selection &amp; Champion Portfolio Ensembling</w:t>
      </w:r>
    </w:p>
    <w:p w14:paraId="2CF7E4F5" w14:textId="77777777" w:rsidR="00D265B4" w:rsidRPr="002B3F93" w:rsidRDefault="00000000" w:rsidP="004F7D5C">
      <w:pPr>
        <w:spacing w:before="40" w:after="40"/>
        <w:jc w:val="both"/>
        <w:rPr>
          <w:rFonts w:ascii="Times New Roman" w:hAnsi="Times New Roman" w:cs="Times New Roman"/>
        </w:rPr>
      </w:pPr>
      <w:r w:rsidRPr="002B3F93">
        <w:rPr>
          <w:rFonts w:ascii="Times New Roman" w:hAnsi="Times New Roman" w:cs="Times New Roman"/>
          <w:b/>
          <w:color w:val="0F172A"/>
          <w:sz w:val="20"/>
        </w:rPr>
        <w:t xml:space="preserve">• Algorithm Inputs: </w:t>
      </w:r>
      <w:r w:rsidRPr="002B3F93">
        <w:rPr>
          <w:rFonts w:ascii="Times New Roman" w:hAnsi="Times New Roman" w:cs="Times New Roman"/>
          <w:color w:val="334155"/>
          <w:sz w:val="20"/>
        </w:rPr>
        <w:t>v_hub_matrix[143][96], historical SCADA actuals A[b], rolling lookback window.</w:t>
      </w:r>
    </w:p>
    <w:p w14:paraId="3D174766" w14:textId="77777777" w:rsidR="00D265B4" w:rsidRPr="002B3F93" w:rsidRDefault="00000000" w:rsidP="004F7D5C">
      <w:pPr>
        <w:spacing w:before="40" w:after="120"/>
        <w:jc w:val="both"/>
        <w:rPr>
          <w:rFonts w:ascii="Times New Roman" w:hAnsi="Times New Roman" w:cs="Times New Roman"/>
        </w:rPr>
      </w:pPr>
      <w:r w:rsidRPr="002B3F93">
        <w:rPr>
          <w:rFonts w:ascii="Times New Roman" w:hAnsi="Times New Roman" w:cs="Times New Roman"/>
          <w:b/>
          <w:color w:val="0F172A"/>
          <w:sz w:val="20"/>
        </w:rPr>
        <w:t xml:space="preserve">• Algorithm Outputs: </w:t>
      </w:r>
      <w:r w:rsidRPr="002B3F93">
        <w:rPr>
          <w:rFonts w:ascii="Times New Roman" w:hAnsi="Times New Roman" w:cs="Times New Roman"/>
          <w:color w:val="334155"/>
          <w:sz w:val="20"/>
        </w:rPr>
        <w:t>v_fused[1..96], P_base_fused[1..96] (Slot-selected wind consensus profiles).</w:t>
      </w:r>
    </w:p>
    <w:p w14:paraId="411AD6F7" w14:textId="77777777" w:rsidR="00D265B4" w:rsidRPr="002B3F93" w:rsidRDefault="00000000" w:rsidP="004F7D5C">
      <w:pPr>
        <w:spacing w:before="80" w:after="80"/>
        <w:jc w:val="both"/>
        <w:rPr>
          <w:rFonts w:ascii="Times New Roman" w:hAnsi="Times New Roman" w:cs="Times New Roman"/>
        </w:rPr>
      </w:pPr>
      <w:r w:rsidRPr="002B3F93">
        <w:rPr>
          <w:rFonts w:ascii="Times New Roman" w:hAnsi="Times New Roman" w:cs="Times New Roman"/>
          <w:b/>
          <w:color w:val="1E3A8A"/>
          <w:sz w:val="20"/>
        </w:rPr>
        <w:t>Algorithmic Procedure:</w:t>
      </w:r>
    </w:p>
    <w:p w14:paraId="3DB5A370"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4.1 Partition Wind Day into 4 Diurnal Regimes: </w:t>
      </w:r>
      <w:r w:rsidRPr="002B3F93">
        <w:rPr>
          <w:rFonts w:ascii="Times New Roman" w:hAnsi="Times New Roman" w:cs="Times New Roman"/>
          <w:color w:val="334155"/>
          <w:sz w:val="20"/>
        </w:rPr>
        <w:t>Divide 96 blocks into 4 wind regimes: Slot 1 (Nocturnal Jet: Blocks 1-24 / 00:00-06:00 IST), Slot 2 (Morning Decay: Blocks 25-44 / 06:00-11:00 IST), Slot 3 (Daytime Lull: Blocks 45-68 / 11:00-17:00 IST), Slot 4 (Evening Ramp: Blocks 69-96 / 17:00-24:00 IST).</w:t>
      </w:r>
    </w:p>
    <w:p w14:paraId="7C4BD421"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4.2 Evaluate Candidate Historical MAE / Loss per Slot: </w:t>
      </w:r>
      <w:r w:rsidRPr="002B3F93">
        <w:rPr>
          <w:rFonts w:ascii="Times New Roman" w:hAnsi="Times New Roman" w:cs="Times New Roman"/>
          <w:color w:val="334155"/>
          <w:sz w:val="20"/>
        </w:rPr>
        <w:t>FOR each member m in {1, ..., 143}: evaluate Mean Absolute Error over rolling 3-day lookback window in each slot k: MAE_m,k = mean(|P_sim_m(b) - A(b)|) for b in Slot_k.</w:t>
      </w:r>
    </w:p>
    <w:p w14:paraId="0415EB08"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4.3 Enforce Agency Diversity Capping Algorithm: </w:t>
      </w:r>
      <w:r w:rsidRPr="002B3F93">
        <w:rPr>
          <w:rFonts w:ascii="Times New Roman" w:hAnsi="Times New Roman" w:cs="Times New Roman"/>
          <w:color w:val="334155"/>
          <w:sz w:val="20"/>
        </w:rPr>
        <w:t>Rank candidate models in each slot by ascending MAE. Select top candidates while enforcing strict Agency Diversity Cap: max 2 members per NWP family (ECMWF, ICON, GEFS, GEM).</w:t>
      </w:r>
    </w:p>
    <w:p w14:paraId="57E63AE4"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4.4 Compute Bayesian Inverse-Loss Slot Weights: </w:t>
      </w:r>
      <w:r w:rsidRPr="002B3F93">
        <w:rPr>
          <w:rFonts w:ascii="Times New Roman" w:hAnsi="Times New Roman" w:cs="Times New Roman"/>
          <w:color w:val="334155"/>
          <w:sz w:val="20"/>
        </w:rPr>
        <w:t>For top selected slot champions m = 1..6: compute normalized weight w_m,k = (1.0 / MAE_m,k) / SUM(1.0 / MAE_j,k).</w:t>
      </w:r>
    </w:p>
    <w:p w14:paraId="366E2461"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4.5 Raised-Cosine Slot Cross-Fading: </w:t>
      </w:r>
      <w:r w:rsidRPr="002B3F93">
        <w:rPr>
          <w:rFonts w:ascii="Times New Roman" w:hAnsi="Times New Roman" w:cs="Times New Roman"/>
          <w:color w:val="334155"/>
          <w:sz w:val="20"/>
        </w:rPr>
        <w:t>Blend slot boundary transitions using raised-cosine smoothing weights to ensure continuous wind velocity profiles across regime changes.</w:t>
      </w:r>
    </w:p>
    <w:p w14:paraId="3A767821"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lastRenderedPageBreak/>
        <w:t xml:space="preserve">Step 4.6 Save Fused Profile: </w:t>
      </w:r>
      <w:r w:rsidRPr="002B3F93">
        <w:rPr>
          <w:rFonts w:ascii="Times New Roman" w:hAnsi="Times New Roman" w:cs="Times New Roman"/>
          <w:color w:val="334155"/>
          <w:sz w:val="20"/>
        </w:rPr>
        <w:t>Save slot consensus profile to fused_wind_ensemble_{run_date}_block_{R}.csv. RETURN P_base_fused[1..96].</w:t>
      </w:r>
    </w:p>
    <w:p w14:paraId="6DEB4A20" w14:textId="77777777" w:rsidR="00D265B4" w:rsidRPr="002B3F93" w:rsidRDefault="00D265B4" w:rsidP="004F7D5C">
      <w:pPr>
        <w:spacing w:after="160"/>
        <w:jc w:val="both"/>
        <w:rPr>
          <w:rFonts w:ascii="Times New Roman" w:hAnsi="Times New Roman" w:cs="Times New Roman"/>
        </w:rPr>
      </w:pPr>
    </w:p>
    <w:p w14:paraId="76879A0B" w14:textId="77777777" w:rsidR="00D265B4" w:rsidRPr="002B3F93" w:rsidRDefault="00000000" w:rsidP="004F7D5C">
      <w:pPr>
        <w:keepNext/>
        <w:spacing w:before="280" w:after="120"/>
        <w:jc w:val="both"/>
        <w:rPr>
          <w:rFonts w:ascii="Times New Roman" w:hAnsi="Times New Roman" w:cs="Times New Roman"/>
        </w:rPr>
      </w:pPr>
      <w:r w:rsidRPr="002B3F93">
        <w:rPr>
          <w:rFonts w:ascii="Times New Roman" w:hAnsi="Times New Roman" w:cs="Times New Roman"/>
          <w:b/>
          <w:color w:val="1E3A8A"/>
          <w:sz w:val="27"/>
        </w:rPr>
        <w:t>3.5 Module 5: Real-Time SCADA Telemetry Ingestion &amp; Closed-Loop Bias Blending</w:t>
      </w:r>
    </w:p>
    <w:p w14:paraId="4B2D91E7" w14:textId="77777777" w:rsidR="00D265B4" w:rsidRPr="002B3F93" w:rsidRDefault="00000000" w:rsidP="004F7D5C">
      <w:pPr>
        <w:spacing w:before="40" w:after="40"/>
        <w:jc w:val="both"/>
        <w:rPr>
          <w:rFonts w:ascii="Times New Roman" w:hAnsi="Times New Roman" w:cs="Times New Roman"/>
        </w:rPr>
      </w:pPr>
      <w:r w:rsidRPr="002B3F93">
        <w:rPr>
          <w:rFonts w:ascii="Times New Roman" w:hAnsi="Times New Roman" w:cs="Times New Roman"/>
          <w:b/>
          <w:color w:val="0F172A"/>
          <w:sz w:val="20"/>
        </w:rPr>
        <w:t xml:space="preserve">• Algorithm Inputs: </w:t>
      </w:r>
      <w:r w:rsidRPr="002B3F93">
        <w:rPr>
          <w:rFonts w:ascii="Times New Roman" w:hAnsi="Times New Roman" w:cs="Times New Roman"/>
          <w:color w:val="334155"/>
          <w:sz w:val="20"/>
        </w:rPr>
        <w:t>extract_scada_wind_telemetry(), P_base_fused[1..96], revision_block R, freeze_lag D.</w:t>
      </w:r>
    </w:p>
    <w:p w14:paraId="2E433924" w14:textId="77777777" w:rsidR="00D265B4" w:rsidRPr="002B3F93" w:rsidRDefault="00000000" w:rsidP="004F7D5C">
      <w:pPr>
        <w:spacing w:before="40" w:after="120"/>
        <w:jc w:val="both"/>
        <w:rPr>
          <w:rFonts w:ascii="Times New Roman" w:hAnsi="Times New Roman" w:cs="Times New Roman"/>
        </w:rPr>
      </w:pPr>
      <w:r w:rsidRPr="002B3F93">
        <w:rPr>
          <w:rFonts w:ascii="Times New Roman" w:hAnsi="Times New Roman" w:cs="Times New Roman"/>
          <w:b/>
          <w:color w:val="0F172A"/>
          <w:sz w:val="20"/>
        </w:rPr>
        <w:t xml:space="preserve">• Algorithm Outputs: </w:t>
      </w:r>
      <w:r w:rsidRPr="002B3F93">
        <w:rPr>
          <w:rFonts w:ascii="Times New Roman" w:hAnsi="Times New Roman" w:cs="Times New Roman"/>
          <w:color w:val="334155"/>
          <w:sz w:val="20"/>
        </w:rPr>
        <w:t>P_live_bridge[1..96] (Recency-weighted telemetry-adjusted baseline).</w:t>
      </w:r>
    </w:p>
    <w:p w14:paraId="63F3D4F8" w14:textId="77777777" w:rsidR="00D265B4" w:rsidRPr="002B3F93" w:rsidRDefault="00000000" w:rsidP="004F7D5C">
      <w:pPr>
        <w:spacing w:before="80" w:after="80"/>
        <w:jc w:val="both"/>
        <w:rPr>
          <w:rFonts w:ascii="Times New Roman" w:hAnsi="Times New Roman" w:cs="Times New Roman"/>
        </w:rPr>
      </w:pPr>
      <w:r w:rsidRPr="002B3F93">
        <w:rPr>
          <w:rFonts w:ascii="Times New Roman" w:hAnsi="Times New Roman" w:cs="Times New Roman"/>
          <w:b/>
          <w:color w:val="1E3A8A"/>
          <w:sz w:val="20"/>
        </w:rPr>
        <w:t>Algorithmic Procedure:</w:t>
      </w:r>
    </w:p>
    <w:p w14:paraId="1C3E2575"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5.1 Dual-Path SCADA Telemetry Extraction: </w:t>
      </w:r>
      <w:r w:rsidRPr="002B3F93">
        <w:rPr>
          <w:rFonts w:ascii="Times New Roman" w:hAnsi="Times New Roman" w:cs="Times New Roman"/>
          <w:color w:val="334155"/>
          <w:sz w:val="20"/>
        </w:rPr>
        <w:t>Extract live wind telemetry via extract_scada_wind_telemetry(). Extract nacelle anemometer speeds and active turbine megawatt output A[b] for completed blocks b &lt; R.</w:t>
      </w:r>
    </w:p>
    <w:p w14:paraId="172FBA8B"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5.2 Trimmed Mean Anemometer Filtering: </w:t>
      </w:r>
      <w:r w:rsidRPr="002B3F93">
        <w:rPr>
          <w:rFonts w:ascii="Times New Roman" w:hAnsi="Times New Roman" w:cs="Times New Roman"/>
          <w:color w:val="334155"/>
          <w:sz w:val="20"/>
        </w:rPr>
        <w:t>Compute 10% trimmed mean across active turbine nacelle anemometers: filter out extreme turbulence outliers and offline turbine sensors.</w:t>
      </w:r>
    </w:p>
    <w:p w14:paraId="1D143373"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5.3 10m Weather Mast Fallback Extrapolation: </w:t>
      </w:r>
      <w:r w:rsidRPr="002B3F93">
        <w:rPr>
          <w:rFonts w:ascii="Times New Roman" w:hAnsi="Times New Roman" w:cs="Times New Roman"/>
          <w:color w:val="334155"/>
          <w:sz w:val="20"/>
        </w:rPr>
        <w:t>IF nacelle anemometer telemetry is offline or unreadable: fallback to 10m weather mast sensor; extrapolate to 120m hub height using C_mast = 2.108 factor.</w:t>
      </w:r>
    </w:p>
    <w:p w14:paraId="2B068B29"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5.4 Closed-Loop Dynamic Bias Correction: </w:t>
      </w:r>
      <w:r w:rsidRPr="002B3F93">
        <w:rPr>
          <w:rFonts w:ascii="Times New Roman" w:hAnsi="Times New Roman" w:cs="Times New Roman"/>
          <w:color w:val="334155"/>
          <w:sz w:val="20"/>
        </w:rPr>
        <w:t>Compute recency-decayed bias error delta_bias = SUM(e(b) * exp(0.4 * b)) / SUM(exp(0.4 * b)) for completed blocks b in {R-8 .. R-1} with decay constant tau_bias = 8.0.</w:t>
      </w:r>
    </w:p>
    <w:p w14:paraId="35156934"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5.5 Inject 3-Block Momentum Nudge: </w:t>
      </w:r>
      <w:r w:rsidRPr="002B3F93">
        <w:rPr>
          <w:rFonts w:ascii="Times New Roman" w:hAnsi="Times New Roman" w:cs="Times New Roman"/>
          <w:color w:val="334155"/>
          <w:sz w:val="20"/>
        </w:rPr>
        <w:t>Apply 3-block momentum nudge vector w_momentum = [0.70, 0.45, 0.20] for immediate post-freeze blocks [R+D, R+D+1, R+D+2]: P_live(b) = P_base_fused(b) + w_momentum[idx] * delta_bias.</w:t>
      </w:r>
    </w:p>
    <w:p w14:paraId="1171CA68"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5.6 Save Live Baseline: </w:t>
      </w:r>
      <w:r w:rsidRPr="002B3F93">
        <w:rPr>
          <w:rFonts w:ascii="Times New Roman" w:hAnsi="Times New Roman" w:cs="Times New Roman"/>
          <w:color w:val="334155"/>
          <w:sz w:val="20"/>
        </w:rPr>
        <w:t>Write baseline to wind_telemetry_live_bridge_{run_date}_block_{R}.csv. RETURN P_live_bridge[1..96].</w:t>
      </w:r>
    </w:p>
    <w:p w14:paraId="556EBB71" w14:textId="77777777" w:rsidR="00D265B4" w:rsidRPr="002B3F93" w:rsidRDefault="00D265B4" w:rsidP="004F7D5C">
      <w:pPr>
        <w:spacing w:after="160"/>
        <w:jc w:val="both"/>
        <w:rPr>
          <w:rFonts w:ascii="Times New Roman" w:hAnsi="Times New Roman" w:cs="Times New Roman"/>
        </w:rPr>
      </w:pPr>
    </w:p>
    <w:p w14:paraId="1419B8B8" w14:textId="77777777" w:rsidR="00D265B4" w:rsidRPr="002B3F93" w:rsidRDefault="00000000" w:rsidP="004F7D5C">
      <w:pPr>
        <w:keepNext/>
        <w:spacing w:before="280" w:after="120"/>
        <w:jc w:val="both"/>
        <w:rPr>
          <w:rFonts w:ascii="Times New Roman" w:hAnsi="Times New Roman" w:cs="Times New Roman"/>
        </w:rPr>
      </w:pPr>
      <w:r w:rsidRPr="002B3F93">
        <w:rPr>
          <w:rFonts w:ascii="Times New Roman" w:hAnsi="Times New Roman" w:cs="Times New Roman"/>
          <w:b/>
          <w:color w:val="1E3A8A"/>
          <w:sz w:val="27"/>
        </w:rPr>
        <w:t>3.6 Module 6: Jensen's-Inequality-Safe Power Transformation Engine</w:t>
      </w:r>
    </w:p>
    <w:p w14:paraId="39D01614" w14:textId="77777777" w:rsidR="00D265B4" w:rsidRPr="002B3F93" w:rsidRDefault="00000000" w:rsidP="004F7D5C">
      <w:pPr>
        <w:spacing w:before="40" w:after="40"/>
        <w:jc w:val="both"/>
        <w:rPr>
          <w:rFonts w:ascii="Times New Roman" w:hAnsi="Times New Roman" w:cs="Times New Roman"/>
        </w:rPr>
      </w:pPr>
      <w:r w:rsidRPr="002B3F93">
        <w:rPr>
          <w:rFonts w:ascii="Times New Roman" w:hAnsi="Times New Roman" w:cs="Times New Roman"/>
          <w:b/>
          <w:color w:val="0F172A"/>
          <w:sz w:val="20"/>
        </w:rPr>
        <w:t xml:space="preserve">• Algorithm Inputs: </w:t>
      </w:r>
      <w:r w:rsidRPr="002B3F93">
        <w:rPr>
          <w:rFonts w:ascii="Times New Roman" w:hAnsi="Times New Roman" w:cs="Times New Roman"/>
          <w:color w:val="334155"/>
          <w:sz w:val="20"/>
        </w:rPr>
        <w:t>v_eff_matrix[143][96], rho_array[1..96], OEM power curve table, eta_park = 0.89, M[b].</w:t>
      </w:r>
    </w:p>
    <w:p w14:paraId="7EEBCFAF" w14:textId="77777777" w:rsidR="00D265B4" w:rsidRPr="002B3F93" w:rsidRDefault="00000000" w:rsidP="004F7D5C">
      <w:pPr>
        <w:spacing w:before="40" w:after="120"/>
        <w:jc w:val="both"/>
        <w:rPr>
          <w:rFonts w:ascii="Times New Roman" w:hAnsi="Times New Roman" w:cs="Times New Roman"/>
        </w:rPr>
      </w:pPr>
      <w:r w:rsidRPr="002B3F93">
        <w:rPr>
          <w:rFonts w:ascii="Times New Roman" w:hAnsi="Times New Roman" w:cs="Times New Roman"/>
          <w:b/>
          <w:color w:val="0F172A"/>
          <w:sz w:val="20"/>
        </w:rPr>
        <w:t xml:space="preserve">• Algorithm Outputs: </w:t>
      </w:r>
      <w:r w:rsidRPr="002B3F93">
        <w:rPr>
          <w:rFonts w:ascii="Times New Roman" w:hAnsi="Times New Roman" w:cs="Times New Roman"/>
          <w:color w:val="334155"/>
          <w:sz w:val="20"/>
        </w:rPr>
        <w:t>P_gross_matrix[143][96], P_net_matrix[143][96] (Jensen's-safe power matrices in MW).</w:t>
      </w:r>
    </w:p>
    <w:p w14:paraId="378B6549" w14:textId="77777777" w:rsidR="00D265B4" w:rsidRPr="002B3F93" w:rsidRDefault="00000000" w:rsidP="004F7D5C">
      <w:pPr>
        <w:spacing w:before="80" w:after="80"/>
        <w:jc w:val="both"/>
        <w:rPr>
          <w:rFonts w:ascii="Times New Roman" w:hAnsi="Times New Roman" w:cs="Times New Roman"/>
        </w:rPr>
      </w:pPr>
      <w:r w:rsidRPr="002B3F93">
        <w:rPr>
          <w:rFonts w:ascii="Times New Roman" w:hAnsi="Times New Roman" w:cs="Times New Roman"/>
          <w:b/>
          <w:color w:val="1E3A8A"/>
          <w:sz w:val="20"/>
        </w:rPr>
        <w:t>Algorithmic Procedure:</w:t>
      </w:r>
    </w:p>
    <w:p w14:paraId="79B96CF8"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6.1 Mathematical Proof of Jensen's Inequality Problem: </w:t>
      </w:r>
      <w:r w:rsidRPr="002B3F93">
        <w:rPr>
          <w:rFonts w:ascii="Times New Roman" w:hAnsi="Times New Roman" w:cs="Times New Roman"/>
          <w:color w:val="334155"/>
          <w:sz w:val="20"/>
        </w:rPr>
        <w:t>Wind turbine power is strictly non-linear and cubic in wind speed: P proportional to v^3. By Jensen's Inequality: E[v^3] &gt;= (E[v])^3. Averaging wind speeds across ensemble members BEFORE passing through the power curve causes 15% to 28% severe under-prediction.</w:t>
      </w:r>
    </w:p>
    <w:p w14:paraId="599662EC"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6.2 Member-by-Member Non-Linear Power Transformation: </w:t>
      </w:r>
      <w:r w:rsidRPr="002B3F93">
        <w:rPr>
          <w:rFonts w:ascii="Times New Roman" w:hAnsi="Times New Roman" w:cs="Times New Roman"/>
          <w:color w:val="334155"/>
          <w:sz w:val="20"/>
        </w:rPr>
        <w:t>Pass EACH candidate member velocity v_eff_m(b) through the non-linear turbine power curve BEFORE ensembling or averaging: P_gross_m(b) = turbine_power_curve(v_eff_m(b), rho(b)).</w:t>
      </w:r>
    </w:p>
    <w:p w14:paraId="795DE93F"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6.3 Tabular OEM Curve &amp; Cubic Fallback Evaluation: </w:t>
      </w:r>
      <w:r w:rsidRPr="002B3F93">
        <w:rPr>
          <w:rFonts w:ascii="Times New Roman" w:hAnsi="Times New Roman" w:cs="Times New Roman"/>
          <w:color w:val="334155"/>
          <w:sz w:val="20"/>
        </w:rPr>
        <w:t>Evaluate v_eff_m(b) against OEM empirical table (Class IIIA / Class S). IF speed is between cut-in and rated (3.0 &lt;= v_eff &lt; 11.5 m/s) and table missing: apply cubic fallback formula P_gross = P_rated * [(v_eff - v_in) / (v_rated - v_in)]^2.8.</w:t>
      </w:r>
    </w:p>
    <w:p w14:paraId="22CA1D36"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6.4 Apply Combined Park Derating: </w:t>
      </w:r>
      <w:r w:rsidRPr="002B3F93">
        <w:rPr>
          <w:rFonts w:ascii="Times New Roman" w:hAnsi="Times New Roman" w:cs="Times New Roman"/>
          <w:color w:val="334155"/>
          <w:sz w:val="20"/>
        </w:rPr>
        <w:t>Apply combined 3-factor park efficiency: P_net_m(b) = clip(P_gross_m(b) * eta_park, 0.0, P_rated) where eta_park = 0.89.</w:t>
      </w:r>
    </w:p>
    <w:p w14:paraId="3ECF55E4"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6.5 Apply Site Empirical Transfer Multipliers: </w:t>
      </w:r>
      <w:r w:rsidRPr="002B3F93">
        <w:rPr>
          <w:rFonts w:ascii="Times New Roman" w:hAnsi="Times New Roman" w:cs="Times New Roman"/>
          <w:color w:val="334155"/>
          <w:sz w:val="20"/>
        </w:rPr>
        <w:t>Multiply by 96-block calibrated array transfer weights: P_final_m(b) = clip(round(P_net_m(b) * M[b], 2), 0.0, P_rated).</w:t>
      </w:r>
    </w:p>
    <w:p w14:paraId="331EEB4A"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6.6 Save Transformed Power Matrix: </w:t>
      </w:r>
      <w:r w:rsidRPr="002B3F93">
        <w:rPr>
          <w:rFonts w:ascii="Times New Roman" w:hAnsi="Times New Roman" w:cs="Times New Roman"/>
          <w:color w:val="334155"/>
          <w:sz w:val="20"/>
        </w:rPr>
        <w:t>Save power matrix to jensen_safe_power_matrix_{run_date}_block_{R}.csv. RETURN P_net_matrix[143][96].</w:t>
      </w:r>
    </w:p>
    <w:p w14:paraId="44353918" w14:textId="77777777" w:rsidR="00D265B4" w:rsidRPr="002B3F93" w:rsidRDefault="00D265B4" w:rsidP="004F7D5C">
      <w:pPr>
        <w:spacing w:after="160"/>
        <w:jc w:val="both"/>
        <w:rPr>
          <w:rFonts w:ascii="Times New Roman" w:hAnsi="Times New Roman" w:cs="Times New Roman"/>
        </w:rPr>
      </w:pPr>
    </w:p>
    <w:p w14:paraId="48DC24EF" w14:textId="77777777" w:rsidR="00D265B4" w:rsidRPr="002B3F93" w:rsidRDefault="00000000" w:rsidP="004F7D5C">
      <w:pPr>
        <w:keepNext/>
        <w:spacing w:before="280" w:after="120"/>
        <w:jc w:val="both"/>
        <w:rPr>
          <w:rFonts w:ascii="Times New Roman" w:hAnsi="Times New Roman" w:cs="Times New Roman"/>
        </w:rPr>
      </w:pPr>
      <w:r w:rsidRPr="002B3F93">
        <w:rPr>
          <w:rFonts w:ascii="Times New Roman" w:hAnsi="Times New Roman" w:cs="Times New Roman"/>
          <w:b/>
          <w:color w:val="1E3A8A"/>
          <w:sz w:val="27"/>
        </w:rPr>
        <w:lastRenderedPageBreak/>
        <w:t>3.7 Module 7: AWS EventBridge Orchestration &amp; Statutory Freeze Boundary Partitioning</w:t>
      </w:r>
    </w:p>
    <w:p w14:paraId="4081CF26" w14:textId="77777777" w:rsidR="00D265B4" w:rsidRPr="002B3F93" w:rsidRDefault="00000000" w:rsidP="004F7D5C">
      <w:pPr>
        <w:spacing w:before="40" w:after="40"/>
        <w:jc w:val="both"/>
        <w:rPr>
          <w:rFonts w:ascii="Times New Roman" w:hAnsi="Times New Roman" w:cs="Times New Roman"/>
        </w:rPr>
      </w:pPr>
      <w:r w:rsidRPr="002B3F93">
        <w:rPr>
          <w:rFonts w:ascii="Times New Roman" w:hAnsi="Times New Roman" w:cs="Times New Roman"/>
          <w:b/>
          <w:color w:val="0F172A"/>
          <w:sz w:val="20"/>
        </w:rPr>
        <w:t xml:space="preserve">• Algorithm Inputs: </w:t>
      </w:r>
      <w:r w:rsidRPr="002B3F93">
        <w:rPr>
          <w:rFonts w:ascii="Times New Roman" w:hAnsi="Times New Roman" w:cs="Times New Roman"/>
          <w:color w:val="334155"/>
          <w:sz w:val="20"/>
        </w:rPr>
        <w:t>run_date, revision_timestamp, site_id, S3_BUCKET, freeze_lag_minutes.</w:t>
      </w:r>
    </w:p>
    <w:p w14:paraId="4EF4B4FA" w14:textId="77777777" w:rsidR="00D265B4" w:rsidRPr="002B3F93" w:rsidRDefault="00000000" w:rsidP="004F7D5C">
      <w:pPr>
        <w:spacing w:before="40" w:after="120"/>
        <w:jc w:val="both"/>
        <w:rPr>
          <w:rFonts w:ascii="Times New Roman" w:hAnsi="Times New Roman" w:cs="Times New Roman"/>
        </w:rPr>
      </w:pPr>
      <w:r w:rsidRPr="002B3F93">
        <w:rPr>
          <w:rFonts w:ascii="Times New Roman" w:hAnsi="Times New Roman" w:cs="Times New Roman"/>
          <w:b/>
          <w:color w:val="0F172A"/>
          <w:sz w:val="20"/>
        </w:rPr>
        <w:t xml:space="preserve">• Algorithm Outputs: </w:t>
      </w:r>
      <w:r w:rsidRPr="002B3F93">
        <w:rPr>
          <w:rFonts w:ascii="Times New Roman" w:hAnsi="Times New Roman" w:cs="Times New Roman"/>
          <w:color w:val="334155"/>
          <w:sz w:val="20"/>
        </w:rPr>
        <w:t>Partitioned horizon: Immutable Frozen History (b &lt; B_act) and Actionable Dispatch Horizon (b &gt;= B_act).</w:t>
      </w:r>
    </w:p>
    <w:p w14:paraId="1CCFC24C" w14:textId="77777777" w:rsidR="00D265B4" w:rsidRPr="002B3F93" w:rsidRDefault="00000000" w:rsidP="004F7D5C">
      <w:pPr>
        <w:spacing w:before="80" w:after="80"/>
        <w:jc w:val="both"/>
        <w:rPr>
          <w:rFonts w:ascii="Times New Roman" w:hAnsi="Times New Roman" w:cs="Times New Roman"/>
        </w:rPr>
      </w:pPr>
      <w:r w:rsidRPr="002B3F93">
        <w:rPr>
          <w:rFonts w:ascii="Times New Roman" w:hAnsi="Times New Roman" w:cs="Times New Roman"/>
          <w:b/>
          <w:color w:val="1E3A8A"/>
          <w:sz w:val="20"/>
        </w:rPr>
        <w:t>Algorithmic Procedure:</w:t>
      </w:r>
    </w:p>
    <w:p w14:paraId="695DB187"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7.1 Automated AWS EventBridge Orchestration (31 Daily Gates): </w:t>
      </w:r>
      <w:r w:rsidRPr="002B3F93">
        <w:rPr>
          <w:rFonts w:ascii="Times New Roman" w:hAnsi="Times New Roman" w:cs="Times New Roman"/>
          <w:color w:val="334155"/>
          <w:sz w:val="20"/>
        </w:rPr>
        <w:t>Trigger automated Lambda container every 30 minutes from 06:00 to 21:00 IST via dual cron rules: cron(30 0-15 * * ? *) and cron(0 1-15 * * ? *). Execution SLA &lt; 4.5 seconds.</w:t>
      </w:r>
    </w:p>
    <w:p w14:paraId="4A7072AA"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7.2 Compute Statutory Freeze Boundary (T + Lag): </w:t>
      </w:r>
      <w:r w:rsidRPr="002B3F93">
        <w:rPr>
          <w:rFonts w:ascii="Times New Roman" w:hAnsi="Times New Roman" w:cs="Times New Roman"/>
          <w:color w:val="334155"/>
          <w:sz w:val="20"/>
        </w:rPr>
        <w:t>Calculate actionable freeze starting block: freeze_from = target_time + timedelta(minutes = freeze_lag_minutes). Set freeze lag = 90 min (6 blocks) for MPERC (MP state) and 45 min (3 blocks) for CERC / other states. Set B_act = min(96, B_snap + lag_blocks).</w:t>
      </w:r>
    </w:p>
    <w:p w14:paraId="56EBCFCE"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7.3 Preserve Immutable Frozen History: </w:t>
      </w:r>
      <w:r w:rsidRPr="002B3F93">
        <w:rPr>
          <w:rFonts w:ascii="Times New Roman" w:hAnsi="Times New Roman" w:cs="Times New Roman"/>
          <w:color w:val="334155"/>
          <w:sz w:val="20"/>
        </w:rPr>
        <w:t>FOR all blocks b &lt; B_act: preserve schedule MW values verbatim from previous current_final_schedule.csv. Freeze all prior dispatched blocks permanently.</w:t>
      </w:r>
    </w:p>
    <w:p w14:paraId="2F8FE8D4"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7.4 Slice Actionable Dispatch Horizon (Next 12 Blocks): </w:t>
      </w:r>
      <w:r w:rsidRPr="002B3F93">
        <w:rPr>
          <w:rFonts w:ascii="Times New Roman" w:hAnsi="Times New Roman" w:cs="Times New Roman"/>
          <w:color w:val="334155"/>
          <w:sz w:val="20"/>
        </w:rPr>
        <w:t>Slice forward 12-block actionable window [B_act .. B_act+11] (3-hour target horizon). Extract hub wind speeds, thermodynamic air density, and physics power forecasts.</w:t>
      </w:r>
    </w:p>
    <w:p w14:paraId="3EE3E26F"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7.5 Forward Actionable Payload to Strategic LLM Arbiter: </w:t>
      </w:r>
      <w:r w:rsidRPr="002B3F93">
        <w:rPr>
          <w:rFonts w:ascii="Times New Roman" w:hAnsi="Times New Roman" w:cs="Times New Roman"/>
          <w:color w:val="334155"/>
          <w:sz w:val="20"/>
        </w:rPr>
        <w:t>Construct JSON payload containing actionable block metrics and forward to Module 8. RETURN {Frozen_History, Actionable_Payload}.</w:t>
      </w:r>
    </w:p>
    <w:p w14:paraId="477298DC" w14:textId="77777777" w:rsidR="00D265B4" w:rsidRPr="002B3F93" w:rsidRDefault="00D265B4" w:rsidP="004F7D5C">
      <w:pPr>
        <w:spacing w:after="160"/>
        <w:jc w:val="both"/>
        <w:rPr>
          <w:rFonts w:ascii="Times New Roman" w:hAnsi="Times New Roman" w:cs="Times New Roman"/>
        </w:rPr>
      </w:pPr>
    </w:p>
    <w:p w14:paraId="125F1647" w14:textId="77777777" w:rsidR="00D265B4" w:rsidRPr="002B3F93" w:rsidRDefault="00000000" w:rsidP="004F7D5C">
      <w:pPr>
        <w:keepNext/>
        <w:spacing w:before="280" w:after="120"/>
        <w:jc w:val="both"/>
        <w:rPr>
          <w:rFonts w:ascii="Times New Roman" w:hAnsi="Times New Roman" w:cs="Times New Roman"/>
        </w:rPr>
      </w:pPr>
      <w:r w:rsidRPr="002B3F93">
        <w:rPr>
          <w:rFonts w:ascii="Times New Roman" w:hAnsi="Times New Roman" w:cs="Times New Roman"/>
          <w:b/>
          <w:color w:val="1E3A8A"/>
          <w:sz w:val="27"/>
        </w:rPr>
        <w:t>3.8 Module 8: Wind LLM Strategic Arbiter &amp; Asymmetric DSM Risk Engine</w:t>
      </w:r>
    </w:p>
    <w:p w14:paraId="64E659EA" w14:textId="77777777" w:rsidR="00D265B4" w:rsidRPr="002B3F93" w:rsidRDefault="00000000" w:rsidP="004F7D5C">
      <w:pPr>
        <w:spacing w:before="40" w:after="40"/>
        <w:jc w:val="both"/>
        <w:rPr>
          <w:rFonts w:ascii="Times New Roman" w:hAnsi="Times New Roman" w:cs="Times New Roman"/>
        </w:rPr>
      </w:pPr>
      <w:r w:rsidRPr="002B3F93">
        <w:rPr>
          <w:rFonts w:ascii="Times New Roman" w:hAnsi="Times New Roman" w:cs="Times New Roman"/>
          <w:b/>
          <w:color w:val="0F172A"/>
          <w:sz w:val="20"/>
        </w:rPr>
        <w:t xml:space="preserve">• Algorithm Inputs: </w:t>
      </w:r>
      <w:r w:rsidRPr="002B3F93">
        <w:rPr>
          <w:rFonts w:ascii="Times New Roman" w:hAnsi="Times New Roman" w:cs="Times New Roman"/>
          <w:color w:val="334155"/>
          <w:sz w:val="20"/>
        </w:rPr>
        <w:t>Actionable_Payload, plant_profile, OPENROUTER_MODEL = 'openai/gpt-5.6-luna'.</w:t>
      </w:r>
    </w:p>
    <w:p w14:paraId="741441B8" w14:textId="77777777" w:rsidR="00D265B4" w:rsidRPr="002B3F93" w:rsidRDefault="00000000" w:rsidP="004F7D5C">
      <w:pPr>
        <w:spacing w:before="40" w:after="120"/>
        <w:jc w:val="both"/>
        <w:rPr>
          <w:rFonts w:ascii="Times New Roman" w:hAnsi="Times New Roman" w:cs="Times New Roman"/>
        </w:rPr>
      </w:pPr>
      <w:r w:rsidRPr="002B3F93">
        <w:rPr>
          <w:rFonts w:ascii="Times New Roman" w:hAnsi="Times New Roman" w:cs="Times New Roman"/>
          <w:b/>
          <w:color w:val="0F172A"/>
          <w:sz w:val="20"/>
        </w:rPr>
        <w:t xml:space="preserve">• Algorithm Outputs: </w:t>
      </w:r>
      <w:r w:rsidRPr="002B3F93">
        <w:rPr>
          <w:rFonts w:ascii="Times New Roman" w:hAnsi="Times New Roman" w:cs="Times New Roman"/>
          <w:color w:val="334155"/>
          <w:sz w:val="20"/>
        </w:rPr>
        <w:t>Validated Wind StrategicAdvice JSON object containing 12-block predictions.</w:t>
      </w:r>
    </w:p>
    <w:p w14:paraId="482A1645" w14:textId="77777777" w:rsidR="00D265B4" w:rsidRPr="002B3F93" w:rsidRDefault="00000000" w:rsidP="004F7D5C">
      <w:pPr>
        <w:spacing w:before="80" w:after="80"/>
        <w:jc w:val="both"/>
        <w:rPr>
          <w:rFonts w:ascii="Times New Roman" w:hAnsi="Times New Roman" w:cs="Times New Roman"/>
        </w:rPr>
      </w:pPr>
      <w:r w:rsidRPr="002B3F93">
        <w:rPr>
          <w:rFonts w:ascii="Times New Roman" w:hAnsi="Times New Roman" w:cs="Times New Roman"/>
          <w:b/>
          <w:color w:val="1E3A8A"/>
          <w:sz w:val="20"/>
        </w:rPr>
        <w:t>Algorithmic Procedure:</w:t>
      </w:r>
    </w:p>
    <w:p w14:paraId="11A53A99"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8.1 Live AWS Lambda Architecture &amp; Profile Ingestion: </w:t>
      </w:r>
      <w:r w:rsidRPr="002B3F93">
        <w:rPr>
          <w:rFonts w:ascii="Times New Roman" w:hAnsi="Times New Roman" w:cs="Times New Roman"/>
          <w:color w:val="334155"/>
          <w:sz w:val="20"/>
        </w:rPr>
        <w:t>Ingest active plant profile: CHANDAWASA (15 MW, Suzlon S97 120m), JGBPL (30 MW, Gamesa G97 104m), JEWLI (25.2 MW, Suzlon S111 120m). Check environment flags USE_LLM_FOR_WIND=true and ENABLE_LLM_STRATEGIC_ARBITER=true.</w:t>
      </w:r>
    </w:p>
    <w:p w14:paraId="0AC5B7C8"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8.2 Evaluate Wind Atmospheric Regime Classification: </w:t>
      </w:r>
      <w:r w:rsidRPr="002B3F93">
        <w:rPr>
          <w:rFonts w:ascii="Times New Roman" w:hAnsi="Times New Roman" w:cs="Times New Roman"/>
          <w:color w:val="334155"/>
          <w:sz w:val="20"/>
        </w:rPr>
        <w:t>Classify atmospheric wind regime into 4 categories: (1) STEADY_HIGH_WIND (7.5-12.0 m/s: full rotor torque, quantile 1.00-1.05); (2) DIURNAL_THERMAL_BREEZE (daytime convection, mild lull); (3) GUSTY_TURBULENT (high shear variance, gust factor &gt; 1.35); (4) LOW_WIND_CUTIN_RISK (2.8-4.0 m/s: cut-in danger zone near 3.0 m/s, apply conservative quantile 0.85-0.95).</w:t>
      </w:r>
    </w:p>
    <w:p w14:paraId="5E282FF9"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8.3 Formulate Asymmetric CERC / State DSM Penalty Risk: </w:t>
      </w:r>
      <w:r w:rsidRPr="002B3F93">
        <w:rPr>
          <w:rFonts w:ascii="Times New Roman" w:hAnsi="Times New Roman" w:cs="Times New Roman"/>
          <w:color w:val="334155"/>
          <w:sz w:val="20"/>
        </w:rPr>
        <w:t>Under-generation shortfall incurs severe statutory penalties (up to 200% PPA tariff). Over-generation is safe or credit-earning. LLM positions schedule conservatively during low-wind regimes to guard against shortfall loss.</w:t>
      </w:r>
    </w:p>
    <w:p w14:paraId="46C545C3"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8.4 Multi-Key Resilient Execution &amp; Gateway Calling: </w:t>
      </w:r>
      <w:r w:rsidRPr="002B3F93">
        <w:rPr>
          <w:rFonts w:ascii="Times New Roman" w:hAnsi="Times New Roman" w:cs="Times New Roman"/>
          <w:color w:val="334155"/>
          <w:sz w:val="20"/>
        </w:rPr>
        <w:t>Invoke OpenRouter API Gateway targeting openai/gpt-5.6-luna (temp=0.20, max_tokens=1500, json_object mode). Rotate across 3 API keys with exponential backoff on HTTP 429 / 503.</w:t>
      </w:r>
    </w:p>
    <w:p w14:paraId="19122FAC"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8.5 JEWLI Explicit Safety Lockout Check: </w:t>
      </w:r>
      <w:r w:rsidRPr="002B3F93">
        <w:rPr>
          <w:rFonts w:ascii="Times New Roman" w:hAnsi="Times New Roman" w:cs="Times New Roman"/>
          <w:color w:val="334155"/>
          <w:sz w:val="20"/>
        </w:rPr>
        <w:t>Execute _is_llm_disabled_for_plant('JEWLI'): bypass LLM for Jewli plant unless explicitly unlocked via USE_LLM_JEWLI=true, preserving pure physics baseline.</w:t>
      </w:r>
    </w:p>
    <w:p w14:paraId="69BB8730"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8.6 Parse Output &amp; Apply Ramp Smoothing: </w:t>
      </w:r>
      <w:r w:rsidRPr="002B3F93">
        <w:rPr>
          <w:rFonts w:ascii="Times New Roman" w:hAnsi="Times New Roman" w:cs="Times New Roman"/>
          <w:color w:val="334155"/>
          <w:sz w:val="20"/>
        </w:rPr>
        <w:t>Parse JSON response; extract block_predictions for b in [B_act .. B_act+11]. Apply aerodynamic drivetrain ramp filter: Delta_MW &lt;= max(1.0, P_rated * 0.15) MW between consecutive blocks.</w:t>
      </w:r>
    </w:p>
    <w:p w14:paraId="5A3E34FF"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8.7 Deterministic Physics Fallback SLA: </w:t>
      </w:r>
      <w:r w:rsidRPr="002B3F93">
        <w:rPr>
          <w:rFonts w:ascii="Times New Roman" w:hAnsi="Times New Roman" w:cs="Times New Roman"/>
          <w:color w:val="334155"/>
          <w:sz w:val="20"/>
        </w:rPr>
        <w:t>IF API key pool exhausted or JSON parse fails: immediately fallback to Phase 6 physics baseline P_net(b) with 0ms execution SLA.</w:t>
      </w:r>
    </w:p>
    <w:p w14:paraId="1F83FE72"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lastRenderedPageBreak/>
        <w:t xml:space="preserve">Step 8.8 Save Payload: </w:t>
      </w:r>
      <w:r w:rsidRPr="002B3F93">
        <w:rPr>
          <w:rFonts w:ascii="Times New Roman" w:hAnsi="Times New Roman" w:cs="Times New Roman"/>
          <w:color w:val="334155"/>
          <w:sz w:val="20"/>
        </w:rPr>
        <w:t>Save strategic output to wind_llm_schedule_{site_id}_{run_date}_block_{R}.json. RETURN StrategicAdvice.</w:t>
      </w:r>
    </w:p>
    <w:p w14:paraId="25C50CCB" w14:textId="77777777" w:rsidR="00D265B4" w:rsidRPr="002B3F93" w:rsidRDefault="00D265B4" w:rsidP="004F7D5C">
      <w:pPr>
        <w:spacing w:after="160"/>
        <w:jc w:val="both"/>
        <w:rPr>
          <w:rFonts w:ascii="Times New Roman" w:hAnsi="Times New Roman" w:cs="Times New Roman"/>
        </w:rPr>
      </w:pPr>
    </w:p>
    <w:p w14:paraId="13889620" w14:textId="77777777" w:rsidR="00D265B4" w:rsidRPr="002B3F93" w:rsidRDefault="00000000" w:rsidP="004F7D5C">
      <w:pPr>
        <w:keepNext/>
        <w:spacing w:before="280" w:after="120"/>
        <w:jc w:val="both"/>
        <w:rPr>
          <w:rFonts w:ascii="Times New Roman" w:hAnsi="Times New Roman" w:cs="Times New Roman"/>
        </w:rPr>
      </w:pPr>
      <w:r w:rsidRPr="002B3F93">
        <w:rPr>
          <w:rFonts w:ascii="Times New Roman" w:hAnsi="Times New Roman" w:cs="Times New Roman"/>
          <w:b/>
          <w:color w:val="1E3A8A"/>
          <w:sz w:val="27"/>
        </w:rPr>
        <w:t>3.9 Module 9: 96-Block Master Assembly, CERC Guardrails &amp; AWS S3 Data Lake Dispatch</w:t>
      </w:r>
    </w:p>
    <w:p w14:paraId="79F3FCF3" w14:textId="77777777" w:rsidR="00D265B4" w:rsidRPr="002B3F93" w:rsidRDefault="00000000" w:rsidP="004F7D5C">
      <w:pPr>
        <w:spacing w:before="40" w:after="40"/>
        <w:jc w:val="both"/>
        <w:rPr>
          <w:rFonts w:ascii="Times New Roman" w:hAnsi="Times New Roman" w:cs="Times New Roman"/>
        </w:rPr>
      </w:pPr>
      <w:r w:rsidRPr="002B3F93">
        <w:rPr>
          <w:rFonts w:ascii="Times New Roman" w:hAnsi="Times New Roman" w:cs="Times New Roman"/>
          <w:b/>
          <w:color w:val="0F172A"/>
          <w:sz w:val="20"/>
        </w:rPr>
        <w:t xml:space="preserve">• Algorithm Inputs: </w:t>
      </w:r>
      <w:r w:rsidRPr="002B3F93">
        <w:rPr>
          <w:rFonts w:ascii="Times New Roman" w:hAnsi="Times New Roman" w:cs="Times New Roman"/>
          <w:color w:val="334155"/>
          <w:sz w:val="20"/>
        </w:rPr>
        <w:t>StrategicAdvice, Frozen_History, P_net_matrix, P_rated, S3_BUCKET.</w:t>
      </w:r>
    </w:p>
    <w:p w14:paraId="203BE061" w14:textId="77777777" w:rsidR="00D265B4" w:rsidRPr="002B3F93" w:rsidRDefault="00000000" w:rsidP="004F7D5C">
      <w:pPr>
        <w:spacing w:before="40" w:after="120"/>
        <w:jc w:val="both"/>
        <w:rPr>
          <w:rFonts w:ascii="Times New Roman" w:hAnsi="Times New Roman" w:cs="Times New Roman"/>
        </w:rPr>
      </w:pPr>
      <w:r w:rsidRPr="002B3F93">
        <w:rPr>
          <w:rFonts w:ascii="Times New Roman" w:hAnsi="Times New Roman" w:cs="Times New Roman"/>
          <w:b/>
          <w:color w:val="0F172A"/>
          <w:sz w:val="20"/>
        </w:rPr>
        <w:t xml:space="preserve">• Algorithm Outputs: </w:t>
      </w:r>
      <w:r w:rsidRPr="002B3F93">
        <w:rPr>
          <w:rFonts w:ascii="Times New Roman" w:hAnsi="Times New Roman" w:cs="Times New Roman"/>
          <w:color w:val="334155"/>
          <w:sz w:val="20"/>
        </w:rPr>
        <w:t>Canonical 7-column regulatory master CSV and confirmed AWS S3 upload URIs.</w:t>
      </w:r>
    </w:p>
    <w:p w14:paraId="341BA482" w14:textId="77777777" w:rsidR="00D265B4" w:rsidRPr="002B3F93" w:rsidRDefault="00000000" w:rsidP="004F7D5C">
      <w:pPr>
        <w:spacing w:before="80" w:after="80"/>
        <w:jc w:val="both"/>
        <w:rPr>
          <w:rFonts w:ascii="Times New Roman" w:hAnsi="Times New Roman" w:cs="Times New Roman"/>
        </w:rPr>
      </w:pPr>
      <w:r w:rsidRPr="002B3F93">
        <w:rPr>
          <w:rFonts w:ascii="Times New Roman" w:hAnsi="Times New Roman" w:cs="Times New Roman"/>
          <w:b/>
          <w:color w:val="1E3A8A"/>
          <w:sz w:val="20"/>
        </w:rPr>
        <w:t>Algorithmic Procedure:</w:t>
      </w:r>
    </w:p>
    <w:p w14:paraId="2382DCB4"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9.1 Enforce 24-Hour Continuous Wind Operation: </w:t>
      </w:r>
      <w:r w:rsidRPr="002B3F93">
        <w:rPr>
          <w:rFonts w:ascii="Times New Roman" w:hAnsi="Times New Roman" w:cs="Times New Roman"/>
          <w:color w:val="334155"/>
          <w:sz w:val="20"/>
        </w:rPr>
        <w:t>Strictly NO solar night zeroing. Preserve continuous nocturnal wind generation across all 96 blocks.</w:t>
      </w:r>
    </w:p>
    <w:p w14:paraId="6E59B82F"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9.2 Inverter &amp; Interconnect Capacity Clamping: </w:t>
      </w:r>
      <w:r w:rsidRPr="002B3F93">
        <w:rPr>
          <w:rFonts w:ascii="Times New Roman" w:hAnsi="Times New Roman" w:cs="Times New Roman"/>
          <w:color w:val="334155"/>
          <w:sz w:val="20"/>
        </w:rPr>
        <w:t>Clamp all schedule values strictly to physical grid interconnect capacity: 0.0 &lt;= schedule_mw(b) &lt;= P_rated.</w:t>
      </w:r>
    </w:p>
    <w:p w14:paraId="02FBD844"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9.3 CERC DSM Tolerance Band Verification: </w:t>
      </w:r>
      <w:r w:rsidRPr="002B3F93">
        <w:rPr>
          <w:rFonts w:ascii="Times New Roman" w:hAnsi="Times New Roman" w:cs="Times New Roman"/>
          <w:color w:val="334155"/>
          <w:sz w:val="20"/>
        </w:rPr>
        <w:t>Verify forecast vector remains within statutory ±10% to ±15% CERC DSM bandwidth relative to actual generation to eliminate deviation penalties.</w:t>
      </w:r>
    </w:p>
    <w:p w14:paraId="12A45F7B"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9.4 Continuous Aerodynamic Drivetrain Ramp Filter: </w:t>
      </w:r>
      <w:r w:rsidRPr="002B3F93">
        <w:rPr>
          <w:rFonts w:ascii="Times New Roman" w:hAnsi="Times New Roman" w:cs="Times New Roman"/>
          <w:color w:val="334155"/>
          <w:sz w:val="20"/>
        </w:rPr>
        <w:t>Enforce smooth power transitions across 96 blocks: Delta_MW &lt;= max(1.0, P_rated * 0.15) to protect turbine gearbox and drivetrain integrity.</w:t>
      </w:r>
    </w:p>
    <w:p w14:paraId="46EF9CB2"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9.5 Construct Canonical 7-Column Regulatory Master CSV Schema: </w:t>
      </w:r>
      <w:r w:rsidRPr="002B3F93">
        <w:rPr>
          <w:rFonts w:ascii="Times New Roman" w:hAnsi="Times New Roman" w:cs="Times New Roman"/>
          <w:color w:val="334155"/>
          <w:sz w:val="20"/>
        </w:rPr>
        <w:t>Format master CSV with 7 required columns: [Block, Time Interval, wind_speed_hub_m_s, air_density_kg_m3, intellis_gti, intellis_mw, schedule_mw].</w:t>
      </w:r>
    </w:p>
    <w:p w14:paraId="715B2D2E"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9.6 Multi-Path AWS S3 Enterprise Lake Synchronization: </w:t>
      </w:r>
      <w:r w:rsidRPr="002B3F93">
        <w:rPr>
          <w:rFonts w:ascii="Times New Roman" w:hAnsi="Times New Roman" w:cs="Times New Roman"/>
          <w:color w:val="334155"/>
          <w:sz w:val="20"/>
        </w:rPr>
        <w:t>Upload generated artifacts via boto3 S3 client to 4 required data lake paths: (1) Snapshot CSV &amp; Meta JSON: raw/vedanjay/{SITE}/{DATE}/forecasts/schedule_from_{B}_{TS}.csv; (2) Cumulative Latest CSV: {DATE}_latest_schedule.csv; (3) Regulatory Dispatch CSV: {DATE}_current_final_schedule.csv; (4) Commercial Penalty Audit CSV: {DATE}_penalty_schedule.csv.</w:t>
      </w:r>
    </w:p>
    <w:p w14:paraId="51E139B7"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9.7 Dual Site Alias Synchronization: </w:t>
      </w:r>
      <w:r w:rsidRPr="002B3F93">
        <w:rPr>
          <w:rFonts w:ascii="Times New Roman" w:hAnsi="Times New Roman" w:cs="Times New Roman"/>
          <w:color w:val="334155"/>
          <w:sz w:val="20"/>
        </w:rPr>
        <w:t>Simultaneously synchronize files to primary plant names and client-specific aliases (CHANDAWASA, JGBPL, JEWLI).</w:t>
      </w:r>
    </w:p>
    <w:p w14:paraId="487012FF" w14:textId="77777777" w:rsidR="00D265B4" w:rsidRPr="002B3F93" w:rsidRDefault="00000000" w:rsidP="004F7D5C">
      <w:pPr>
        <w:pStyle w:val="ListBullet"/>
        <w:spacing w:before="40" w:after="80"/>
        <w:jc w:val="both"/>
        <w:rPr>
          <w:rFonts w:ascii="Times New Roman" w:hAnsi="Times New Roman" w:cs="Times New Roman"/>
        </w:rPr>
      </w:pPr>
      <w:r w:rsidRPr="002B3F93">
        <w:rPr>
          <w:rFonts w:ascii="Times New Roman" w:hAnsi="Times New Roman" w:cs="Times New Roman"/>
          <w:b/>
          <w:color w:val="0F172A"/>
          <w:sz w:val="20"/>
        </w:rPr>
        <w:t xml:space="preserve">Step 9.8 Execution Handoff: </w:t>
      </w:r>
      <w:r w:rsidRPr="002B3F93">
        <w:rPr>
          <w:rFonts w:ascii="Times New Roman" w:hAnsi="Times New Roman" w:cs="Times New Roman"/>
          <w:color w:val="334155"/>
          <w:sz w:val="20"/>
        </w:rPr>
        <w:t>RETURN S3_URI_List.</w:t>
      </w:r>
    </w:p>
    <w:p w14:paraId="0E95A199" w14:textId="77777777" w:rsidR="00D265B4" w:rsidRPr="002B3F93" w:rsidRDefault="00D265B4" w:rsidP="004F7D5C">
      <w:pPr>
        <w:spacing w:after="160"/>
        <w:jc w:val="both"/>
        <w:rPr>
          <w:rFonts w:ascii="Times New Roman" w:hAnsi="Times New Roman" w:cs="Times New Roman"/>
        </w:rPr>
      </w:pPr>
    </w:p>
    <w:p w14:paraId="1D651FB5" w14:textId="77777777" w:rsidR="00D265B4" w:rsidRPr="002B3F93" w:rsidRDefault="00000000" w:rsidP="004F7D5C">
      <w:pPr>
        <w:keepNext/>
        <w:spacing w:before="360" w:after="160"/>
        <w:jc w:val="both"/>
        <w:rPr>
          <w:rFonts w:ascii="Times New Roman" w:hAnsi="Times New Roman" w:cs="Times New Roman"/>
        </w:rPr>
      </w:pPr>
      <w:r w:rsidRPr="002B3F93">
        <w:rPr>
          <w:rFonts w:ascii="Times New Roman" w:hAnsi="Times New Roman" w:cs="Times New Roman"/>
          <w:b/>
          <w:color w:val="0F172A"/>
          <w:sz w:val="34"/>
        </w:rPr>
        <w:t>4. Data Flow and File Artifacts</w:t>
      </w:r>
    </w:p>
    <w:p w14:paraId="4B7E3447" w14:textId="77777777" w:rsidR="00D265B4" w:rsidRPr="002B3F93" w:rsidRDefault="00000000" w:rsidP="004F7D5C">
      <w:pPr>
        <w:spacing w:after="160"/>
        <w:jc w:val="both"/>
        <w:rPr>
          <w:rFonts w:ascii="Times New Roman" w:hAnsi="Times New Roman" w:cs="Times New Roman"/>
        </w:rPr>
      </w:pPr>
      <w:r w:rsidRPr="002B3F93">
        <w:rPr>
          <w:rFonts w:ascii="Times New Roman" w:hAnsi="Times New Roman" w:cs="Times New Roman"/>
          <w:color w:val="334155"/>
          <w:sz w:val="20"/>
        </w:rPr>
        <w:t>The following table summarizes the input data sources, core computational functions, and resulting output file artifacts produced across each execution stage of the Intellis Wind System:</w:t>
      </w:r>
    </w:p>
    <w:tbl>
      <w:tblPr>
        <w:tblW w:w="0" w:type="auto"/>
        <w:jc w:val="center"/>
        <w:tblBorders>
          <w:top w:val="single" w:sz="6" w:space="0" w:color="CBD5E1"/>
          <w:bottom w:val="single" w:sz="8" w:space="0" w:color="CBD5E1"/>
          <w:insideH w:val="single" w:sz="4" w:space="0" w:color="CBD5E1"/>
        </w:tblBorders>
        <w:tblLook w:val="04A0" w:firstRow="1" w:lastRow="0" w:firstColumn="1" w:lastColumn="0" w:noHBand="0" w:noVBand="1"/>
      </w:tblPr>
      <w:tblGrid>
        <w:gridCol w:w="1768"/>
        <w:gridCol w:w="1970"/>
        <w:gridCol w:w="2185"/>
        <w:gridCol w:w="4253"/>
      </w:tblGrid>
      <w:tr w:rsidR="00D265B4" w:rsidRPr="002B3F93" w14:paraId="58B2AB1B" w14:textId="77777777">
        <w:trPr>
          <w:jc w:val="center"/>
        </w:trPr>
        <w:tc>
          <w:tcPr>
            <w:tcW w:w="2160" w:type="dxa"/>
            <w:shd w:val="clear" w:color="auto" w:fill="1E293B"/>
            <w:tcMar>
              <w:top w:w="100" w:type="dxa"/>
              <w:left w:w="120" w:type="dxa"/>
              <w:bottom w:w="100" w:type="dxa"/>
              <w:right w:w="120" w:type="dxa"/>
            </w:tcMar>
          </w:tcPr>
          <w:p w14:paraId="43A8533F"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b/>
                <w:color w:val="FFFFFF"/>
                <w:sz w:val="18"/>
              </w:rPr>
              <w:t>Module</w:t>
            </w:r>
          </w:p>
        </w:tc>
        <w:tc>
          <w:tcPr>
            <w:tcW w:w="2160" w:type="dxa"/>
            <w:shd w:val="clear" w:color="auto" w:fill="1E293B"/>
            <w:tcMar>
              <w:top w:w="100" w:type="dxa"/>
              <w:left w:w="120" w:type="dxa"/>
              <w:bottom w:w="100" w:type="dxa"/>
              <w:right w:w="120" w:type="dxa"/>
            </w:tcMar>
          </w:tcPr>
          <w:p w14:paraId="2B8E6E5B"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b/>
                <w:color w:val="FFFFFF"/>
                <w:sz w:val="18"/>
              </w:rPr>
              <w:t>Input Source</w:t>
            </w:r>
          </w:p>
        </w:tc>
        <w:tc>
          <w:tcPr>
            <w:tcW w:w="2736" w:type="dxa"/>
            <w:shd w:val="clear" w:color="auto" w:fill="1E293B"/>
            <w:tcMar>
              <w:top w:w="100" w:type="dxa"/>
              <w:left w:w="120" w:type="dxa"/>
              <w:bottom w:w="100" w:type="dxa"/>
              <w:right w:w="120" w:type="dxa"/>
            </w:tcMar>
          </w:tcPr>
          <w:p w14:paraId="122C6411"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b/>
                <w:color w:val="FFFFFF"/>
                <w:sz w:val="18"/>
              </w:rPr>
              <w:t>Core Computational Function</w:t>
            </w:r>
          </w:p>
        </w:tc>
        <w:tc>
          <w:tcPr>
            <w:tcW w:w="2736" w:type="dxa"/>
            <w:shd w:val="clear" w:color="auto" w:fill="1E293B"/>
            <w:tcMar>
              <w:top w:w="100" w:type="dxa"/>
              <w:left w:w="120" w:type="dxa"/>
              <w:bottom w:w="100" w:type="dxa"/>
              <w:right w:w="120" w:type="dxa"/>
            </w:tcMar>
          </w:tcPr>
          <w:p w14:paraId="4C078CD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b/>
                <w:color w:val="FFFFFF"/>
                <w:sz w:val="18"/>
              </w:rPr>
              <w:t>Output File Artifact / S3 Destination</w:t>
            </w:r>
          </w:p>
        </w:tc>
      </w:tr>
      <w:tr w:rsidR="00D265B4" w:rsidRPr="002B3F93" w14:paraId="49EAD580" w14:textId="77777777">
        <w:trPr>
          <w:jc w:val="center"/>
        </w:trPr>
        <w:tc>
          <w:tcPr>
            <w:tcW w:w="2160" w:type="dxa"/>
            <w:shd w:val="clear" w:color="auto" w:fill="F8FAFC"/>
            <w:tcMar>
              <w:top w:w="100" w:type="dxa"/>
              <w:left w:w="120" w:type="dxa"/>
              <w:bottom w:w="100" w:type="dxa"/>
              <w:right w:w="120" w:type="dxa"/>
            </w:tcMar>
          </w:tcPr>
          <w:p w14:paraId="595B21F1"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Module 1 (Hardware Profile)</w:t>
            </w:r>
          </w:p>
        </w:tc>
        <w:tc>
          <w:tcPr>
            <w:tcW w:w="2160" w:type="dxa"/>
            <w:shd w:val="clear" w:color="auto" w:fill="F8FAFC"/>
            <w:tcMar>
              <w:top w:w="100" w:type="dxa"/>
              <w:left w:w="120" w:type="dxa"/>
              <w:bottom w:w="100" w:type="dxa"/>
              <w:right w:w="120" w:type="dxa"/>
            </w:tcMar>
          </w:tcPr>
          <w:p w14:paraId="1832136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WindTurbineProfile Registry</w:t>
            </w:r>
          </w:p>
        </w:tc>
        <w:tc>
          <w:tcPr>
            <w:tcW w:w="2736" w:type="dxa"/>
            <w:shd w:val="clear" w:color="auto" w:fill="F8FAFC"/>
            <w:tcMar>
              <w:top w:w="100" w:type="dxa"/>
              <w:left w:w="120" w:type="dxa"/>
              <w:bottom w:w="100" w:type="dxa"/>
              <w:right w:w="120" w:type="dxa"/>
            </w:tcMar>
          </w:tcPr>
          <w:p w14:paraId="541F7C7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Ingest OEM power curve &amp; combined park derate eta_park = 0.89</w:t>
            </w:r>
          </w:p>
        </w:tc>
        <w:tc>
          <w:tcPr>
            <w:tcW w:w="2736" w:type="dxa"/>
            <w:shd w:val="clear" w:color="auto" w:fill="F8FAFC"/>
            <w:tcMar>
              <w:top w:w="100" w:type="dxa"/>
              <w:left w:w="120" w:type="dxa"/>
              <w:bottom w:w="100" w:type="dxa"/>
              <w:right w:w="120" w:type="dxa"/>
            </w:tcMar>
          </w:tcPr>
          <w:p w14:paraId="56F6821F"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wind_hardware_profile_{SITE}.json</w:t>
            </w:r>
          </w:p>
        </w:tc>
      </w:tr>
      <w:tr w:rsidR="00D265B4" w:rsidRPr="002B3F93" w14:paraId="44A9779E" w14:textId="77777777">
        <w:trPr>
          <w:jc w:val="center"/>
        </w:trPr>
        <w:tc>
          <w:tcPr>
            <w:tcW w:w="2160" w:type="dxa"/>
            <w:tcMar>
              <w:top w:w="100" w:type="dxa"/>
              <w:left w:w="120" w:type="dxa"/>
              <w:bottom w:w="100" w:type="dxa"/>
              <w:right w:w="120" w:type="dxa"/>
            </w:tcMar>
          </w:tcPr>
          <w:p w14:paraId="510D5B1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Module 2 (Air Density)</w:t>
            </w:r>
          </w:p>
        </w:tc>
        <w:tc>
          <w:tcPr>
            <w:tcW w:w="2160" w:type="dxa"/>
            <w:tcMar>
              <w:top w:w="100" w:type="dxa"/>
              <w:left w:w="120" w:type="dxa"/>
              <w:bottom w:w="100" w:type="dxa"/>
              <w:right w:w="120" w:type="dxa"/>
            </w:tcMar>
          </w:tcPr>
          <w:p w14:paraId="086CD8D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Surface Pressure &amp; Temp</w:t>
            </w:r>
          </w:p>
        </w:tc>
        <w:tc>
          <w:tcPr>
            <w:tcW w:w="2736" w:type="dxa"/>
            <w:tcMar>
              <w:top w:w="100" w:type="dxa"/>
              <w:left w:w="120" w:type="dxa"/>
              <w:bottom w:w="100" w:type="dxa"/>
              <w:right w:w="120" w:type="dxa"/>
            </w:tcMar>
          </w:tcPr>
          <w:p w14:paraId="52C7E5F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Ideal gas air density rho and IEC density-normalized velocity v_eff</w:t>
            </w:r>
          </w:p>
        </w:tc>
        <w:tc>
          <w:tcPr>
            <w:tcW w:w="2736" w:type="dxa"/>
            <w:tcMar>
              <w:top w:w="100" w:type="dxa"/>
              <w:left w:w="120" w:type="dxa"/>
              <w:bottom w:w="100" w:type="dxa"/>
              <w:right w:w="120" w:type="dxa"/>
            </w:tcMar>
          </w:tcPr>
          <w:p w14:paraId="59CDBBC6"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air_density_spline_{DATE}.csv</w:t>
            </w:r>
          </w:p>
        </w:tc>
      </w:tr>
      <w:tr w:rsidR="00D265B4" w:rsidRPr="002B3F93" w14:paraId="0211A9D5" w14:textId="77777777">
        <w:trPr>
          <w:jc w:val="center"/>
        </w:trPr>
        <w:tc>
          <w:tcPr>
            <w:tcW w:w="2160" w:type="dxa"/>
            <w:shd w:val="clear" w:color="auto" w:fill="F8FAFC"/>
            <w:tcMar>
              <w:top w:w="100" w:type="dxa"/>
              <w:left w:w="120" w:type="dxa"/>
              <w:bottom w:w="100" w:type="dxa"/>
              <w:right w:w="120" w:type="dxa"/>
            </w:tcMar>
          </w:tcPr>
          <w:p w14:paraId="345EB653"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Module 3 (Super-Ensemble)</w:t>
            </w:r>
          </w:p>
        </w:tc>
        <w:tc>
          <w:tcPr>
            <w:tcW w:w="2160" w:type="dxa"/>
            <w:shd w:val="clear" w:color="auto" w:fill="F8FAFC"/>
            <w:tcMar>
              <w:top w:w="100" w:type="dxa"/>
              <w:left w:w="120" w:type="dxa"/>
              <w:bottom w:w="100" w:type="dxa"/>
              <w:right w:w="120" w:type="dxa"/>
            </w:tcMar>
          </w:tcPr>
          <w:p w14:paraId="3085646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Open-Meteo 143 Members</w:t>
            </w:r>
          </w:p>
        </w:tc>
        <w:tc>
          <w:tcPr>
            <w:tcW w:w="2736" w:type="dxa"/>
            <w:shd w:val="clear" w:color="auto" w:fill="F8FAFC"/>
            <w:tcMar>
              <w:top w:w="100" w:type="dxa"/>
              <w:left w:w="120" w:type="dxa"/>
              <w:bottom w:w="100" w:type="dxa"/>
              <w:right w:w="120" w:type="dxa"/>
            </w:tcMar>
          </w:tcPr>
          <w:p w14:paraId="08695328"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Vertical channel extraction &amp; diurnal Hellmann shear scaling</w:t>
            </w:r>
          </w:p>
        </w:tc>
        <w:tc>
          <w:tcPr>
            <w:tcW w:w="2736" w:type="dxa"/>
            <w:shd w:val="clear" w:color="auto" w:fill="F8FAFC"/>
            <w:tcMar>
              <w:top w:w="100" w:type="dxa"/>
              <w:left w:w="120" w:type="dxa"/>
              <w:bottom w:w="100" w:type="dxa"/>
              <w:right w:w="120" w:type="dxa"/>
            </w:tcMar>
          </w:tcPr>
          <w:p w14:paraId="4BA7DE8D"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wind_speed_hub_matrix_{DATE}_block_{R}.csv</w:t>
            </w:r>
          </w:p>
        </w:tc>
      </w:tr>
      <w:tr w:rsidR="00D265B4" w:rsidRPr="002B3F93" w14:paraId="0649CB33" w14:textId="77777777">
        <w:trPr>
          <w:jc w:val="center"/>
        </w:trPr>
        <w:tc>
          <w:tcPr>
            <w:tcW w:w="2160" w:type="dxa"/>
            <w:tcMar>
              <w:top w:w="100" w:type="dxa"/>
              <w:left w:w="120" w:type="dxa"/>
              <w:bottom w:w="100" w:type="dxa"/>
              <w:right w:w="120" w:type="dxa"/>
            </w:tcMar>
          </w:tcPr>
          <w:p w14:paraId="7AAD055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lastRenderedPageBreak/>
              <w:t>Module 4 (Slot Ensembling)</w:t>
            </w:r>
          </w:p>
        </w:tc>
        <w:tc>
          <w:tcPr>
            <w:tcW w:w="2160" w:type="dxa"/>
            <w:tcMar>
              <w:top w:w="100" w:type="dxa"/>
              <w:left w:w="120" w:type="dxa"/>
              <w:bottom w:w="100" w:type="dxa"/>
              <w:right w:w="120" w:type="dxa"/>
            </w:tcMar>
          </w:tcPr>
          <w:p w14:paraId="5AB337A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v_hub_matrix &amp; Actuals</w:t>
            </w:r>
          </w:p>
        </w:tc>
        <w:tc>
          <w:tcPr>
            <w:tcW w:w="2736" w:type="dxa"/>
            <w:tcMar>
              <w:top w:w="100" w:type="dxa"/>
              <w:left w:w="120" w:type="dxa"/>
              <w:bottom w:w="100" w:type="dxa"/>
              <w:right w:w="120" w:type="dxa"/>
            </w:tcMar>
          </w:tcPr>
          <w:p w14:paraId="286A9FB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4 diurnal wind regimes, agency capping, slot consensus blend</w:t>
            </w:r>
          </w:p>
        </w:tc>
        <w:tc>
          <w:tcPr>
            <w:tcW w:w="2736" w:type="dxa"/>
            <w:tcMar>
              <w:top w:w="100" w:type="dxa"/>
              <w:left w:w="120" w:type="dxa"/>
              <w:bottom w:w="100" w:type="dxa"/>
              <w:right w:w="120" w:type="dxa"/>
            </w:tcMar>
          </w:tcPr>
          <w:p w14:paraId="1D7E031A"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fused_wind_ensemble_{DATE}_block_{R}.csv</w:t>
            </w:r>
          </w:p>
        </w:tc>
      </w:tr>
      <w:tr w:rsidR="00D265B4" w:rsidRPr="002B3F93" w14:paraId="3C94446F" w14:textId="77777777">
        <w:trPr>
          <w:jc w:val="center"/>
        </w:trPr>
        <w:tc>
          <w:tcPr>
            <w:tcW w:w="2160" w:type="dxa"/>
            <w:shd w:val="clear" w:color="auto" w:fill="F8FAFC"/>
            <w:tcMar>
              <w:top w:w="100" w:type="dxa"/>
              <w:left w:w="120" w:type="dxa"/>
              <w:bottom w:w="100" w:type="dxa"/>
              <w:right w:w="120" w:type="dxa"/>
            </w:tcMar>
          </w:tcPr>
          <w:p w14:paraId="58051355"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Module 5 (Telemetry Bridge)</w:t>
            </w:r>
          </w:p>
        </w:tc>
        <w:tc>
          <w:tcPr>
            <w:tcW w:w="2160" w:type="dxa"/>
            <w:shd w:val="clear" w:color="auto" w:fill="F8FAFC"/>
            <w:tcMar>
              <w:top w:w="100" w:type="dxa"/>
              <w:left w:w="120" w:type="dxa"/>
              <w:bottom w:w="100" w:type="dxa"/>
              <w:right w:w="120" w:type="dxa"/>
            </w:tcMar>
          </w:tcPr>
          <w:p w14:paraId="55C3795F"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SCADA Nacelle &amp; 10m Mast</w:t>
            </w:r>
          </w:p>
        </w:tc>
        <w:tc>
          <w:tcPr>
            <w:tcW w:w="2736" w:type="dxa"/>
            <w:shd w:val="clear" w:color="auto" w:fill="F8FAFC"/>
            <w:tcMar>
              <w:top w:w="100" w:type="dxa"/>
              <w:left w:w="120" w:type="dxa"/>
              <w:bottom w:w="100" w:type="dxa"/>
              <w:right w:w="120" w:type="dxa"/>
            </w:tcMar>
          </w:tcPr>
          <w:p w14:paraId="47141504"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10% trimmed mean, 10m mast scale, recency bias &amp; 3-blk momentum</w:t>
            </w:r>
          </w:p>
        </w:tc>
        <w:tc>
          <w:tcPr>
            <w:tcW w:w="2736" w:type="dxa"/>
            <w:shd w:val="clear" w:color="auto" w:fill="F8FAFC"/>
            <w:tcMar>
              <w:top w:w="100" w:type="dxa"/>
              <w:left w:w="120" w:type="dxa"/>
              <w:bottom w:w="100" w:type="dxa"/>
              <w:right w:w="120" w:type="dxa"/>
            </w:tcMar>
          </w:tcPr>
          <w:p w14:paraId="68771CAF"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wind_telemetry_live_bridge_{DATE}_block_{R}.csv</w:t>
            </w:r>
          </w:p>
        </w:tc>
      </w:tr>
      <w:tr w:rsidR="00D265B4" w:rsidRPr="002B3F93" w14:paraId="47FC0505" w14:textId="77777777">
        <w:trPr>
          <w:jc w:val="center"/>
        </w:trPr>
        <w:tc>
          <w:tcPr>
            <w:tcW w:w="2160" w:type="dxa"/>
            <w:tcMar>
              <w:top w:w="100" w:type="dxa"/>
              <w:left w:w="120" w:type="dxa"/>
              <w:bottom w:w="100" w:type="dxa"/>
              <w:right w:w="120" w:type="dxa"/>
            </w:tcMar>
          </w:tcPr>
          <w:p w14:paraId="1F122E84"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Module 6 (Jensen's Power)</w:t>
            </w:r>
          </w:p>
        </w:tc>
        <w:tc>
          <w:tcPr>
            <w:tcW w:w="2160" w:type="dxa"/>
            <w:tcMar>
              <w:top w:w="100" w:type="dxa"/>
              <w:left w:w="120" w:type="dxa"/>
              <w:bottom w:w="100" w:type="dxa"/>
              <w:right w:w="120" w:type="dxa"/>
            </w:tcMar>
          </w:tcPr>
          <w:p w14:paraId="178F4FC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v_eff_matrix &amp; OEM Curves</w:t>
            </w:r>
          </w:p>
        </w:tc>
        <w:tc>
          <w:tcPr>
            <w:tcW w:w="2736" w:type="dxa"/>
            <w:tcMar>
              <w:top w:w="100" w:type="dxa"/>
              <w:left w:w="120" w:type="dxa"/>
              <w:bottom w:w="100" w:type="dxa"/>
              <w:right w:w="120" w:type="dxa"/>
            </w:tcMar>
          </w:tcPr>
          <w:p w14:paraId="6FF44641"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Jensen's-safe non-linear power curve transformation before averaging</w:t>
            </w:r>
          </w:p>
        </w:tc>
        <w:tc>
          <w:tcPr>
            <w:tcW w:w="2736" w:type="dxa"/>
            <w:tcMar>
              <w:top w:w="100" w:type="dxa"/>
              <w:left w:w="120" w:type="dxa"/>
              <w:bottom w:w="100" w:type="dxa"/>
              <w:right w:w="120" w:type="dxa"/>
            </w:tcMar>
          </w:tcPr>
          <w:p w14:paraId="093817F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jensen_safe_power_matrix_{DATE}_block_{R}.csv</w:t>
            </w:r>
          </w:p>
        </w:tc>
      </w:tr>
      <w:tr w:rsidR="00D265B4" w:rsidRPr="002B3F93" w14:paraId="2DCFBC8A" w14:textId="77777777">
        <w:trPr>
          <w:jc w:val="center"/>
        </w:trPr>
        <w:tc>
          <w:tcPr>
            <w:tcW w:w="2160" w:type="dxa"/>
            <w:shd w:val="clear" w:color="auto" w:fill="F8FAFC"/>
            <w:tcMar>
              <w:top w:w="100" w:type="dxa"/>
              <w:left w:w="120" w:type="dxa"/>
              <w:bottom w:w="100" w:type="dxa"/>
              <w:right w:w="120" w:type="dxa"/>
            </w:tcMar>
          </w:tcPr>
          <w:p w14:paraId="2A5963B0"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Module 7 (AWS EventBridge)</w:t>
            </w:r>
          </w:p>
        </w:tc>
        <w:tc>
          <w:tcPr>
            <w:tcW w:w="2160" w:type="dxa"/>
            <w:shd w:val="clear" w:color="auto" w:fill="F8FAFC"/>
            <w:tcMar>
              <w:top w:w="100" w:type="dxa"/>
              <w:left w:w="120" w:type="dxa"/>
              <w:bottom w:w="100" w:type="dxa"/>
              <w:right w:w="120" w:type="dxa"/>
            </w:tcMar>
          </w:tcPr>
          <w:p w14:paraId="42522CBB"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30-min EventBridge Cron</w:t>
            </w:r>
          </w:p>
        </w:tc>
        <w:tc>
          <w:tcPr>
            <w:tcW w:w="2736" w:type="dxa"/>
            <w:shd w:val="clear" w:color="auto" w:fill="F8FAFC"/>
            <w:tcMar>
              <w:top w:w="100" w:type="dxa"/>
              <w:left w:w="120" w:type="dxa"/>
              <w:bottom w:w="100" w:type="dxa"/>
              <w:right w:w="120" w:type="dxa"/>
            </w:tcMar>
          </w:tcPr>
          <w:p w14:paraId="658ADAF2"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Statutory freeze boundary B_act = B_snap + T_lag &amp; history freeze</w:t>
            </w:r>
          </w:p>
        </w:tc>
        <w:tc>
          <w:tcPr>
            <w:tcW w:w="2736" w:type="dxa"/>
            <w:shd w:val="clear" w:color="auto" w:fill="F8FAFC"/>
            <w:tcMar>
              <w:top w:w="100" w:type="dxa"/>
              <w:left w:w="120" w:type="dxa"/>
              <w:bottom w:w="100" w:type="dxa"/>
              <w:right w:w="120" w:type="dxa"/>
            </w:tcMar>
          </w:tcPr>
          <w:p w14:paraId="1AFE6E07"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frozen_dispatch_history_{DATE}.csv</w:t>
            </w:r>
          </w:p>
        </w:tc>
      </w:tr>
      <w:tr w:rsidR="00D265B4" w:rsidRPr="002B3F93" w14:paraId="6779E07E" w14:textId="77777777">
        <w:trPr>
          <w:jc w:val="center"/>
        </w:trPr>
        <w:tc>
          <w:tcPr>
            <w:tcW w:w="2160" w:type="dxa"/>
            <w:tcMar>
              <w:top w:w="100" w:type="dxa"/>
              <w:left w:w="120" w:type="dxa"/>
              <w:bottom w:w="100" w:type="dxa"/>
              <w:right w:w="120" w:type="dxa"/>
            </w:tcMar>
          </w:tcPr>
          <w:p w14:paraId="1580C43D"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Module 8 (Wind LLM Engine)</w:t>
            </w:r>
          </w:p>
        </w:tc>
        <w:tc>
          <w:tcPr>
            <w:tcW w:w="2160" w:type="dxa"/>
            <w:tcMar>
              <w:top w:w="100" w:type="dxa"/>
              <w:left w:w="120" w:type="dxa"/>
              <w:bottom w:w="100" w:type="dxa"/>
              <w:right w:w="120" w:type="dxa"/>
            </w:tcMar>
          </w:tcPr>
          <w:p w14:paraId="07F5244B"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Actionable Payload &amp; LLM</w:t>
            </w:r>
          </w:p>
        </w:tc>
        <w:tc>
          <w:tcPr>
            <w:tcW w:w="2736" w:type="dxa"/>
            <w:tcMar>
              <w:top w:w="100" w:type="dxa"/>
              <w:left w:w="120" w:type="dxa"/>
              <w:bottom w:w="100" w:type="dxa"/>
              <w:right w:w="120" w:type="dxa"/>
            </w:tcMar>
          </w:tcPr>
          <w:p w14:paraId="627DF356"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OpenRouter GPT-5.6 Luna inference, atmospheric regime &amp; 3-key failover</w:t>
            </w:r>
          </w:p>
        </w:tc>
        <w:tc>
          <w:tcPr>
            <w:tcW w:w="2736" w:type="dxa"/>
            <w:tcMar>
              <w:top w:w="100" w:type="dxa"/>
              <w:left w:w="120" w:type="dxa"/>
              <w:bottom w:w="100" w:type="dxa"/>
              <w:right w:w="120" w:type="dxa"/>
            </w:tcMar>
          </w:tcPr>
          <w:p w14:paraId="14ED1CE3"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wind_llm_schedule_{SITE}_{DATE}_block_{R}.json</w:t>
            </w:r>
          </w:p>
        </w:tc>
      </w:tr>
      <w:tr w:rsidR="00D265B4" w:rsidRPr="002B3F93" w14:paraId="4906F16C" w14:textId="77777777">
        <w:trPr>
          <w:jc w:val="center"/>
        </w:trPr>
        <w:tc>
          <w:tcPr>
            <w:tcW w:w="2160" w:type="dxa"/>
            <w:shd w:val="clear" w:color="auto" w:fill="F8FAFC"/>
            <w:tcMar>
              <w:top w:w="100" w:type="dxa"/>
              <w:left w:w="120" w:type="dxa"/>
              <w:bottom w:w="100" w:type="dxa"/>
              <w:right w:w="120" w:type="dxa"/>
            </w:tcMar>
          </w:tcPr>
          <w:p w14:paraId="49A62C2C"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Module 9 (Master Assembly &amp; S3)</w:t>
            </w:r>
          </w:p>
        </w:tc>
        <w:tc>
          <w:tcPr>
            <w:tcW w:w="2160" w:type="dxa"/>
            <w:shd w:val="clear" w:color="auto" w:fill="F8FAFC"/>
            <w:tcMar>
              <w:top w:w="100" w:type="dxa"/>
              <w:left w:w="120" w:type="dxa"/>
              <w:bottom w:w="100" w:type="dxa"/>
              <w:right w:w="120" w:type="dxa"/>
            </w:tcMar>
          </w:tcPr>
          <w:p w14:paraId="06F96B21"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LLM Output &amp; Physics Base</w:t>
            </w:r>
          </w:p>
        </w:tc>
        <w:tc>
          <w:tcPr>
            <w:tcW w:w="2736" w:type="dxa"/>
            <w:shd w:val="clear" w:color="auto" w:fill="F8FAFC"/>
            <w:tcMar>
              <w:top w:w="100" w:type="dxa"/>
              <w:left w:w="120" w:type="dxa"/>
              <w:bottom w:w="100" w:type="dxa"/>
              <w:right w:w="120" w:type="dxa"/>
            </w:tcMar>
          </w:tcPr>
          <w:p w14:paraId="298F8DFB"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CERC ramp filter, 7-column regulatory CSV schema, multi-path S3 push</w:t>
            </w:r>
          </w:p>
        </w:tc>
        <w:tc>
          <w:tcPr>
            <w:tcW w:w="2736" w:type="dxa"/>
            <w:shd w:val="clear" w:color="auto" w:fill="F8FAFC"/>
            <w:tcMar>
              <w:top w:w="100" w:type="dxa"/>
              <w:left w:w="120" w:type="dxa"/>
              <w:bottom w:w="100" w:type="dxa"/>
              <w:right w:w="120" w:type="dxa"/>
            </w:tcMar>
          </w:tcPr>
          <w:p w14:paraId="0346AA7B" w14:textId="77777777" w:rsidR="00D265B4" w:rsidRPr="002B3F93" w:rsidRDefault="00000000" w:rsidP="004F7D5C">
            <w:pPr>
              <w:spacing w:after="0" w:line="264" w:lineRule="auto"/>
              <w:jc w:val="both"/>
              <w:rPr>
                <w:rFonts w:ascii="Times New Roman" w:hAnsi="Times New Roman" w:cs="Times New Roman"/>
              </w:rPr>
            </w:pPr>
            <w:r w:rsidRPr="002B3F93">
              <w:rPr>
                <w:rFonts w:ascii="Times New Roman" w:hAnsi="Times New Roman" w:cs="Times New Roman"/>
                <w:color w:val="334155"/>
                <w:sz w:val="18"/>
              </w:rPr>
              <w:t>{DATE}_current_final_schedule.csv</w:t>
            </w:r>
          </w:p>
        </w:tc>
      </w:tr>
    </w:tbl>
    <w:p w14:paraId="2A6893AE" w14:textId="77777777" w:rsidR="008C2FAB" w:rsidRPr="002B3F93" w:rsidRDefault="008C2FAB" w:rsidP="004F7D5C">
      <w:pPr>
        <w:jc w:val="both"/>
        <w:rPr>
          <w:rFonts w:ascii="Times New Roman" w:hAnsi="Times New Roman" w:cs="Times New Roman"/>
        </w:rPr>
      </w:pPr>
    </w:p>
    <w:sectPr w:rsidR="008C2FAB" w:rsidRPr="002B3F93"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6181904">
    <w:abstractNumId w:val="8"/>
  </w:num>
  <w:num w:numId="2" w16cid:durableId="1100685204">
    <w:abstractNumId w:val="6"/>
  </w:num>
  <w:num w:numId="3" w16cid:durableId="229654855">
    <w:abstractNumId w:val="5"/>
  </w:num>
  <w:num w:numId="4" w16cid:durableId="1786533406">
    <w:abstractNumId w:val="4"/>
  </w:num>
  <w:num w:numId="5" w16cid:durableId="1299190033">
    <w:abstractNumId w:val="7"/>
  </w:num>
  <w:num w:numId="6" w16cid:durableId="135874906">
    <w:abstractNumId w:val="3"/>
  </w:num>
  <w:num w:numId="7" w16cid:durableId="940994486">
    <w:abstractNumId w:val="2"/>
  </w:num>
  <w:num w:numId="8" w16cid:durableId="987637393">
    <w:abstractNumId w:val="1"/>
  </w:num>
  <w:num w:numId="9" w16cid:durableId="1823741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BDF"/>
    <w:rsid w:val="0015074B"/>
    <w:rsid w:val="0029639D"/>
    <w:rsid w:val="002B3F93"/>
    <w:rsid w:val="00326F90"/>
    <w:rsid w:val="004F7D5C"/>
    <w:rsid w:val="007B2FF2"/>
    <w:rsid w:val="008C2FAB"/>
    <w:rsid w:val="00AA1D8D"/>
    <w:rsid w:val="00B47730"/>
    <w:rsid w:val="00CB0664"/>
    <w:rsid w:val="00D26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E2576F"/>
  <w14:defaultImageDpi w14:val="300"/>
  <w15:docId w15:val="{F3A9745B-9CE1-4B0E-B238-C8C7044E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3351</Words>
  <Characters>19103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Gore</cp:lastModifiedBy>
  <cp:revision>3</cp:revision>
  <dcterms:created xsi:type="dcterms:W3CDTF">2013-12-23T23:15:00Z</dcterms:created>
  <dcterms:modified xsi:type="dcterms:W3CDTF">2026-09-28T15:18:00Z</dcterms:modified>
  <cp:category/>
</cp:coreProperties>
</file>