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media/image1.png" ContentType="image/png"/>
  <Override PartName="/word/media/image2.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7"/>
        <w:ind w:hanging="0"/>
        <w:jc w:val="center"/>
        <w:rPr>
          <w:sz w:val="34"/>
        </w:rPr>
      </w:pPr>
      <w:r>
        <w:rPr>
          <w:rFonts w:ascii="Times New Roman" w:hAnsi="Times New Roman"/>
          <w:sz w:val="34"/>
        </w:rPr>
        <w:t>XCR Draft</w:t>
      </w:r>
    </w:p>
    <w:p>
      <w:pPr>
        <w:pStyle w:val="Normal"/>
        <w:spacing w:lineRule="auto" w:line="264" w:before="0" w:after="178"/>
        <w:ind w:left="10" w:hanging="10"/>
        <w:jc w:val="center"/>
        <w:rPr>
          <w:sz w:val="24"/>
        </w:rPr>
      </w:pPr>
      <w:r>
        <w:rPr>
          <w:rFonts w:ascii="Times New Roman" w:hAnsi="Times New Roman"/>
          <w:sz w:val="24"/>
        </w:rPr>
        <w:t>CSB</w:t>
      </w:r>
    </w:p>
    <w:p>
      <w:pPr>
        <w:pStyle w:val="Normal"/>
        <w:spacing w:lineRule="auto" w:line="264" w:before="0" w:after="651"/>
        <w:ind w:left="10" w:hanging="10"/>
        <w:jc w:val="center"/>
        <w:rPr>
          <w:sz w:val="24"/>
        </w:rPr>
      </w:pPr>
      <w:r>
        <w:rPr>
          <w:rFonts w:ascii="Times New Roman" w:hAnsi="Times New Roman"/>
          <w:sz w:val="24"/>
        </w:rPr>
        <w:t>January 2023</w:t>
      </w:r>
    </w:p>
    <w:p>
      <w:pPr>
        <w:pStyle w:val="Heading1"/>
        <w:ind w:left="469" w:hanging="484"/>
        <w:rPr>
          <w:rFonts w:ascii="Times New Roman" w:hAnsi="Times New Roman"/>
        </w:rPr>
      </w:pPr>
      <w:r>
        <w:rPr>
          <w:rFonts w:ascii="Times New Roman" w:hAnsi="Times New Roman"/>
        </w:rPr>
        <w:t>Results</w:t>
      </w:r>
    </w:p>
    <w:p>
      <w:pPr>
        <w:pStyle w:val="Normal"/>
        <w:ind w:left="-15" w:hanging="0"/>
        <w:rPr>
          <w:rFonts w:ascii="Times New Roman" w:hAnsi="Times New Roman"/>
        </w:rPr>
      </w:pPr>
      <w:r>
        <w:rPr>
          <w:rFonts w:ascii="Times New Roman" w:hAnsi="Times New Roman"/>
        </w:rPr>
        <w:t>Having one inactivated X chromosome is a natural state of the cells. Coupled with the fact that X chromosome inactivation is random, these observations indicate an antagonistic relationship between the two X chromosomes (Mutzel et al., 2019). However, the observations during iPSC induction contradict such a relationship, owing to the similar activation levels of both the X chromosomes. Therefore, we decided to understand this relationship further using the dynamic X:A data for the chromosomes during partial and complete reactivation of the X-chromosome. We hence generated a mathematical model where each X chromosome is considered as a single entity and asked what nature of interactions between the two chromosomes best explain the observed dynamics in the X:A ratio during partial activation as well as iPSC induction. Without loss of generality, we use the X:A ratio as the level of that particular chromosome.</w:t>
      </w:r>
    </w:p>
    <w:p>
      <w:pPr>
        <w:pStyle w:val="Normal"/>
        <w:ind w:left="-15" w:firstLine="329"/>
        <w:rPr>
          <w:rFonts w:ascii="Times New Roman" w:hAnsi="Times New Roman"/>
        </w:rPr>
      </w:pPr>
      <w:r>
        <w:rPr>
          <w:rFonts w:ascii="Times New Roman" w:hAnsi="Times New Roman"/>
        </w:rPr>
        <w:t>First, we verified the fits using antagonistic/inhibitory cross-regulation between the two chromosomes. We obtained poor fits (Figure 7A), suggestive of the fact that the model must be modified. We then added activatory self-regulations for each chromosome. The fits obtained by the addition of self-activations are much better than those without self-activations (Figure 7B). Similarly, the fits obtained by the addition of self-inhibition are also satisfactory (Figure 7C). This indicates that some form of self-regulation is necessary to explain the observed dynamics.</w:t>
      </w:r>
    </w:p>
    <w:p>
      <w:pPr>
        <w:pStyle w:val="Normal"/>
        <w:ind w:left="-15" w:firstLine="329"/>
        <w:rPr>
          <w:rFonts w:ascii="Times New Roman" w:hAnsi="Times New Roman"/>
        </w:rPr>
      </w:pPr>
      <w:r>
        <w:rPr>
          <w:rFonts w:ascii="Times New Roman" w:hAnsi="Times New Roman"/>
        </w:rPr>
        <w:t xml:space="preserve">We then consider all combinations of cross-regulatory links (interactions between the chromosomes) and self-regulatory links (interactions within a chromosome, for example, the expression of some genes on the chromosome enhancing the expression of other genes on the same chromosome via epigenetic modifications) (Figure 7D). We generated heatmaps with a color scheme such that the red color indicates a higher </w:t>
      </w:r>
      <w:r>
        <w:rPr>
          <w:rFonts w:ascii="Times New Roman" w:hAnsi="Times New Roman"/>
          <w:i/>
        </w:rPr>
        <w:t>R</w:t>
      </w:r>
      <w:r>
        <w:rPr>
          <w:rFonts w:ascii="Times New Roman" w:hAnsi="Times New Roman"/>
          <w:vertAlign w:val="superscript"/>
        </w:rPr>
        <w:t>2</w:t>
      </w:r>
      <w:r>
        <w:rPr>
          <w:rFonts w:ascii="Times New Roman" w:hAnsi="Times New Roman"/>
        </w:rPr>
        <w:t>, indicative of a good fit.</w:t>
      </w:r>
    </w:p>
    <w:p>
      <w:pPr>
        <w:pStyle w:val="Normal"/>
        <w:ind w:left="-15" w:firstLine="329"/>
        <w:rPr>
          <w:rFonts w:ascii="Times New Roman" w:hAnsi="Times New Roman"/>
        </w:rPr>
      </w:pPr>
      <w:r>
        <w:rPr>
          <w:rFonts w:ascii="Times New Roman" w:hAnsi="Times New Roman"/>
        </w:rPr>
        <w:t xml:space="preserve">We first tested the self-regulatory connections while the cross-regulatory connections were kept fixed as inhibitory. For the full reactivation case (Figure 7E), we observe that the connection to </w:t>
      </w:r>
      <w:r>
        <w:rPr>
          <w:rFonts w:ascii="Times New Roman" w:hAnsi="Times New Roman"/>
          <w:i/>
        </w:rPr>
        <w:t>X</w:t>
      </w:r>
      <w:r>
        <w:rPr>
          <w:rFonts w:ascii="Times New Roman" w:hAnsi="Times New Roman"/>
          <w:i/>
          <w:vertAlign w:val="subscript"/>
        </w:rPr>
        <w:t xml:space="preserve">a </w:t>
      </w:r>
      <w:r>
        <w:rPr>
          <w:rFonts w:ascii="Times New Roman" w:hAnsi="Times New Roman"/>
        </w:rPr>
        <w:t xml:space="preserve">being inhibitory gives a good fit regardless of the connection to </w:t>
      </w:r>
      <w:r>
        <w:rPr>
          <w:rFonts w:ascii="Times New Roman" w:hAnsi="Times New Roman"/>
          <w:i/>
        </w:rPr>
        <w:t>X</w:t>
      </w:r>
      <w:r>
        <w:rPr>
          <w:rFonts w:ascii="Times New Roman" w:hAnsi="Times New Roman"/>
          <w:i/>
          <w:vertAlign w:val="subscript"/>
        </w:rPr>
        <w:t>i</w:t>
      </w:r>
      <w:r>
        <w:rPr>
          <w:rFonts w:ascii="Times New Roman" w:hAnsi="Times New Roman"/>
        </w:rPr>
        <w:t>. The case where both are self-activatory also performs well. However, for the case of partial reactivation, where the reactivation follows similar dynamics as iPSC induction but stops mid-way (Figure 7F, Figure 7G), most of these fail, and only the case where both are self-inhibitory performs the best.</w:t>
      </w:r>
    </w:p>
    <w:p>
      <w:pPr>
        <w:pStyle w:val="Normal"/>
        <w:ind w:left="-15" w:firstLine="329"/>
        <w:rPr>
          <w:rFonts w:ascii="Times New Roman" w:hAnsi="Times New Roman"/>
        </w:rPr>
      </w:pPr>
      <w:r>
        <w:rPr>
          <w:rFonts w:ascii="Times New Roman" w:hAnsi="Times New Roman"/>
        </w:rPr>
        <w:t xml:space="preserve">Then we tested the cross-regulatory connections while fixing the self-regulatory connection as inhibitory. Here, we observe that the case that best fits the full reactivation case (Figure 7H) is when both the cross-connections are inhibitory. Whereas, for the partial reactivation case (Figure 7I), the incoming connection to </w:t>
      </w:r>
      <w:r>
        <w:rPr>
          <w:rFonts w:ascii="Times New Roman" w:hAnsi="Times New Roman"/>
          <w:i/>
        </w:rPr>
        <w:t>X</w:t>
      </w:r>
      <w:r>
        <w:rPr>
          <w:rFonts w:ascii="Times New Roman" w:hAnsi="Times New Roman"/>
          <w:i/>
          <w:vertAlign w:val="subscript"/>
        </w:rPr>
        <w:t xml:space="preserve">a </w:t>
      </w:r>
      <w:r>
        <w:rPr>
          <w:rFonts w:ascii="Times New Roman" w:hAnsi="Times New Roman"/>
        </w:rPr>
        <w:t xml:space="preserve">being inhibitory gives a better fit, while the connection to </w:t>
      </w:r>
      <w:r>
        <w:rPr>
          <w:rFonts w:ascii="Times New Roman" w:hAnsi="Times New Roman"/>
          <w:i/>
        </w:rPr>
        <w:t>X</w:t>
      </w:r>
      <w:r>
        <w:rPr>
          <w:rFonts w:ascii="Times New Roman" w:hAnsi="Times New Roman"/>
          <w:i/>
          <w:vertAlign w:val="subscript"/>
        </w:rPr>
        <w:t xml:space="preserve">i </w:t>
      </w:r>
      <w:r>
        <w:rPr>
          <w:rFonts w:ascii="Times New Roman" w:hAnsi="Times New Roman"/>
        </w:rPr>
        <w:t>being activatory performs slightly better.</w:t>
      </w:r>
    </w:p>
    <w:p>
      <w:pPr>
        <w:pStyle w:val="Normal"/>
        <w:spacing w:before="0" w:after="33"/>
        <w:ind w:left="-15" w:firstLine="329"/>
        <w:rPr>
          <w:rFonts w:ascii="Times New Roman" w:hAnsi="Times New Roman"/>
        </w:rPr>
      </w:pPr>
      <w:r>
        <w:rPr>
          <w:rFonts w:ascii="Times New Roman" w:hAnsi="Times New Roman"/>
        </w:rPr>
        <w:t xml:space="preserve">Similarly, we also tested the cross-regulatory connections while fixing the self-regulatory connection to be activatory. We find that the incoming connection to </w:t>
      </w:r>
      <w:r>
        <w:rPr>
          <w:rFonts w:ascii="Times New Roman" w:hAnsi="Times New Roman"/>
          <w:i/>
        </w:rPr>
        <w:t>X</w:t>
      </w:r>
      <w:r>
        <w:rPr>
          <w:rFonts w:ascii="Times New Roman" w:hAnsi="Times New Roman"/>
          <w:i/>
          <w:vertAlign w:val="subscript"/>
        </w:rPr>
        <w:t xml:space="preserve">i </w:t>
      </w:r>
      <w:r>
        <w:rPr>
          <w:rFonts w:ascii="Times New Roman" w:hAnsi="Times New Roman"/>
        </w:rPr>
        <w:t xml:space="preserve">does not matter as much for the full reactivation case (Figure 7K). However, the incoming connection to </w:t>
      </w:r>
      <w:r>
        <w:rPr>
          <w:rFonts w:ascii="Times New Roman" w:hAnsi="Times New Roman"/>
          <w:i/>
        </w:rPr>
        <w:t>X</w:t>
      </w:r>
      <w:r>
        <w:rPr>
          <w:rFonts w:ascii="Times New Roman" w:hAnsi="Times New Roman"/>
          <w:i/>
          <w:vertAlign w:val="subscript"/>
        </w:rPr>
        <w:t xml:space="preserve">a </w:t>
      </w:r>
      <w:r>
        <w:rPr>
          <w:rFonts w:ascii="Times New Roman" w:hAnsi="Times New Roman"/>
        </w:rPr>
        <w:t xml:space="preserve">being inhibitory gives a better fit. Similarly, the incoming connection to </w:t>
      </w:r>
      <w:r>
        <w:rPr>
          <w:rFonts w:ascii="Times New Roman" w:hAnsi="Times New Roman"/>
          <w:i/>
        </w:rPr>
        <w:t>X</w:t>
      </w:r>
      <w:r>
        <w:rPr>
          <w:rFonts w:ascii="Times New Roman" w:hAnsi="Times New Roman"/>
          <w:i/>
          <w:vertAlign w:val="subscript"/>
        </w:rPr>
        <w:t xml:space="preserve">a </w:t>
      </w:r>
      <w:r>
        <w:rPr>
          <w:rFonts w:ascii="Times New Roman" w:hAnsi="Times New Roman"/>
        </w:rPr>
        <w:t xml:space="preserve">being inhibitory for the partial reactivation case (Figure 7L) gives a better fit, whereas the incoming connection to </w:t>
      </w:r>
      <w:r>
        <w:rPr>
          <w:rFonts w:ascii="Times New Roman" w:hAnsi="Times New Roman"/>
          <w:i/>
        </w:rPr>
        <w:t>X</w:t>
      </w:r>
      <w:r>
        <w:rPr>
          <w:rFonts w:ascii="Times New Roman" w:hAnsi="Times New Roman"/>
          <w:i/>
          <w:vertAlign w:val="subscript"/>
        </w:rPr>
        <w:t xml:space="preserve">i </w:t>
      </w:r>
      <w:r>
        <w:rPr>
          <w:rFonts w:ascii="Times New Roman" w:hAnsi="Times New Roman"/>
        </w:rPr>
        <w:t>does not matter as much.</w:t>
      </w:r>
    </w:p>
    <w:p>
      <w:pPr>
        <w:pStyle w:val="Normal"/>
        <w:ind w:left="-15" w:firstLine="329"/>
        <w:rPr>
          <w:rFonts w:ascii="Times New Roman" w:hAnsi="Times New Roman"/>
        </w:rPr>
      </w:pPr>
      <w:r>
        <w:rPr>
          <w:rFonts w:ascii="Times New Roman" w:hAnsi="Times New Roman"/>
        </w:rPr>
        <w:t>Our results indicate that the self-inhibition with cross-inhibitory regulation explains the reactivation dynamics consistently well for both partial and full reactivation. Despite the ability of our phenomenological model to explain the observed experimental data, it falls short of revealing the specific mechanisms mediating such interactions among the chromosomes. One possibility is that the cross-inhibition identified above corresponds to competition between the two chromosomes for specific resources and/or interactions mediated by regulatory factors that are pertinent during random X-inactivation (Naik et al., 2022).</w:t>
      </w:r>
    </w:p>
    <w:p>
      <w:pPr>
        <w:pStyle w:val="Normal"/>
        <w:ind w:left="-15" w:firstLine="329"/>
        <w:rPr>
          <w:rFonts w:ascii="Times New Roman" w:hAnsi="Times New Roman"/>
        </w:rPr>
      </w:pPr>
      <w:r>
        <w:rPr>
          <w:rFonts w:ascii="Times New Roman" w:hAnsi="Times New Roman"/>
        </w:rPr>
        <w:t xml:space="preserve">To identify the difference between the two cases (full vs. partial reactivation), we quantified the coefficients of each term which can act as a proxy for the strength of connections (Figure 7J). The cross-inhibition on </w:t>
      </w:r>
      <w:r>
        <w:rPr>
          <w:rFonts w:ascii="Times New Roman" w:hAnsi="Times New Roman"/>
          <w:i/>
        </w:rPr>
        <w:t>X</w:t>
      </w:r>
      <w:r>
        <w:rPr>
          <w:rFonts w:ascii="Times New Roman" w:hAnsi="Times New Roman"/>
          <w:i/>
          <w:vertAlign w:val="subscript"/>
        </w:rPr>
        <w:t xml:space="preserve">i </w:t>
      </w:r>
      <w:r>
        <w:rPr>
          <w:rFonts w:ascii="Times New Roman" w:hAnsi="Times New Roman"/>
        </w:rPr>
        <w:t xml:space="preserve">given by </w:t>
      </w:r>
      <w:r>
        <w:rPr>
          <w:rFonts w:ascii="Times New Roman" w:hAnsi="Times New Roman"/>
          <w:i/>
        </w:rPr>
        <w:t>a</w:t>
      </w:r>
      <w:r>
        <w:rPr>
          <w:rFonts w:ascii="Times New Roman" w:hAnsi="Times New Roman"/>
          <w:vertAlign w:val="subscript"/>
        </w:rPr>
        <w:t xml:space="preserve">1 </w:t>
      </w:r>
      <w:r>
        <w:rPr>
          <w:rFonts w:ascii="Times New Roman" w:hAnsi="Times New Roman"/>
        </w:rPr>
        <w:t xml:space="preserve">is higher in the case of partial reactivation, whereas the cross-inhibition on </w:t>
      </w:r>
      <w:r>
        <w:rPr>
          <w:rFonts w:ascii="Times New Roman" w:hAnsi="Times New Roman"/>
          <w:i/>
        </w:rPr>
        <w:t>X</w:t>
      </w:r>
      <w:r>
        <w:rPr>
          <w:rFonts w:ascii="Times New Roman" w:hAnsi="Times New Roman"/>
          <w:i/>
          <w:vertAlign w:val="subscript"/>
        </w:rPr>
        <w:t xml:space="preserve">a </w:t>
      </w:r>
      <w:r>
        <w:rPr>
          <w:rFonts w:ascii="Times New Roman" w:hAnsi="Times New Roman"/>
        </w:rPr>
        <w:t xml:space="preserve">given by </w:t>
      </w:r>
      <w:r>
        <w:rPr>
          <w:rFonts w:ascii="Times New Roman" w:hAnsi="Times New Roman"/>
          <w:i/>
        </w:rPr>
        <w:t>a</w:t>
      </w:r>
      <w:r>
        <w:rPr>
          <w:rFonts w:ascii="Times New Roman" w:hAnsi="Times New Roman"/>
          <w:vertAlign w:val="subscript"/>
        </w:rPr>
        <w:t xml:space="preserve">2 </w:t>
      </w:r>
      <w:r>
        <w:rPr>
          <w:rFonts w:ascii="Times New Roman" w:hAnsi="Times New Roman"/>
        </w:rPr>
        <w:t xml:space="preserve">is lower in the case of partial reactivation. The self-inhibition on </w:t>
      </w:r>
      <w:r>
        <w:rPr>
          <w:rFonts w:ascii="Times New Roman" w:hAnsi="Times New Roman"/>
          <w:i/>
        </w:rPr>
        <w:t>X</w:t>
      </w:r>
      <w:r>
        <w:rPr>
          <w:rFonts w:ascii="Times New Roman" w:hAnsi="Times New Roman"/>
          <w:i/>
          <w:vertAlign w:val="subscript"/>
        </w:rPr>
        <w:t xml:space="preserve">a </w:t>
      </w:r>
      <w:r>
        <w:rPr>
          <w:rFonts w:ascii="Times New Roman" w:hAnsi="Times New Roman"/>
        </w:rPr>
        <w:t xml:space="preserve">given by </w:t>
      </w:r>
      <w:r>
        <w:rPr>
          <w:rFonts w:ascii="Times New Roman" w:hAnsi="Times New Roman"/>
          <w:i/>
        </w:rPr>
        <w:t>b</w:t>
      </w:r>
      <w:r>
        <w:rPr>
          <w:rFonts w:ascii="Times New Roman" w:hAnsi="Times New Roman"/>
          <w:vertAlign w:val="subscript"/>
        </w:rPr>
        <w:t xml:space="preserve">2 </w:t>
      </w:r>
      <w:r>
        <w:rPr>
          <w:rFonts w:ascii="Times New Roman" w:hAnsi="Times New Roman"/>
        </w:rPr>
        <w:t xml:space="preserve">is higher in the case of partial reactivation, whereas the self-inhibition on </w:t>
      </w:r>
      <w:r>
        <w:rPr>
          <w:rFonts w:ascii="Times New Roman" w:hAnsi="Times New Roman"/>
          <w:i/>
        </w:rPr>
        <w:t>X</w:t>
      </w:r>
      <w:r>
        <w:rPr>
          <w:rFonts w:ascii="Times New Roman" w:hAnsi="Times New Roman"/>
          <w:i/>
          <w:vertAlign w:val="subscript"/>
        </w:rPr>
        <w:t xml:space="preserve">i </w:t>
      </w:r>
      <w:r>
        <w:rPr>
          <w:rFonts w:ascii="Times New Roman" w:hAnsi="Times New Roman"/>
        </w:rPr>
        <w:t>is negligible in both cases. This sensitivity analysis indicated the relative role of different interactions in mediating partial versus full reactivation dynamics.</w:t>
      </w:r>
    </w:p>
    <w:p>
      <w:pPr>
        <w:pStyle w:val="Normal"/>
        <w:spacing w:before="0" w:after="435"/>
        <w:ind w:left="-15" w:firstLine="329"/>
        <w:rPr>
          <w:rFonts w:ascii="Times New Roman" w:hAnsi="Times New Roman"/>
        </w:rPr>
      </w:pPr>
      <w:r>
        <w:rPr>
          <w:rFonts w:ascii="Times New Roman" w:hAnsi="Times New Roman"/>
        </w:rPr>
        <w:t xml:space="preserve">Our model so far has been fit to the mean X:A values at the population level. However, we observe a heterogeneity in the population in the experimental data, i.e., at any time point, there is a fraction of the population that is </w:t>
      </w:r>
      <w:r>
        <w:rPr>
          <w:rFonts w:ascii="Times New Roman" w:hAnsi="Times New Roman"/>
          <w:i/>
        </w:rPr>
        <w:t>X</w:t>
      </w:r>
      <w:r>
        <w:rPr>
          <w:rFonts w:ascii="Times New Roman" w:hAnsi="Times New Roman"/>
          <w:i/>
          <w:vertAlign w:val="subscript"/>
        </w:rPr>
        <w:t>a</w:t>
      </w:r>
      <w:r>
        <w:rPr>
          <w:rFonts w:ascii="Times New Roman" w:hAnsi="Times New Roman"/>
          <w:i/>
        </w:rPr>
        <w:t>, X</w:t>
      </w:r>
      <w:r>
        <w:rPr>
          <w:rFonts w:ascii="Times New Roman" w:hAnsi="Times New Roman"/>
          <w:i/>
          <w:vertAlign w:val="subscript"/>
        </w:rPr>
        <w:t xml:space="preserve">i </w:t>
      </w:r>
      <w:r>
        <w:rPr>
          <w:rFonts w:ascii="Times New Roman" w:hAnsi="Times New Roman"/>
        </w:rPr>
        <w:t xml:space="preserve">and the rest is </w:t>
      </w:r>
      <w:r>
        <w:rPr>
          <w:rFonts w:ascii="Times New Roman" w:hAnsi="Times New Roman"/>
          <w:i/>
        </w:rPr>
        <w:t>X</w:t>
      </w:r>
      <w:r>
        <w:rPr>
          <w:rFonts w:ascii="Times New Roman" w:hAnsi="Times New Roman"/>
          <w:i/>
          <w:vertAlign w:val="subscript"/>
        </w:rPr>
        <w:t>a</w:t>
      </w:r>
      <w:r>
        <w:rPr>
          <w:rFonts w:ascii="Times New Roman" w:hAnsi="Times New Roman"/>
          <w:i/>
        </w:rPr>
        <w:t>, X</w:t>
      </w:r>
      <w:r>
        <w:rPr>
          <w:rFonts w:ascii="Times New Roman" w:hAnsi="Times New Roman"/>
          <w:i/>
          <w:vertAlign w:val="subscript"/>
        </w:rPr>
        <w:t>r</w:t>
      </w:r>
      <w:r>
        <w:rPr>
          <w:rFonts w:ascii="Times New Roman" w:hAnsi="Times New Roman"/>
        </w:rPr>
        <w:t>. Furthermore, this fraction keeps changing over time. We hypothesized that the heterogeneity can be explained by the presence of noise in the system. To test this hypothesis, we added a noise term to our equations and solved them with the parameter set we obtained from our fits. We see here that the addition of noise leads to a fraction of cells reactivating faster than the others in the system, evident by the bimodality (Figure 7M). Hence, our model can also explain the heterogeneity in reactivation in addition to the mean behavior of the population.</w:t>
      </w:r>
    </w:p>
    <w:p>
      <w:pPr>
        <w:pStyle w:val="Heading1"/>
        <w:ind w:left="469" w:hanging="484"/>
        <w:rPr>
          <w:rFonts w:ascii="Times New Roman" w:hAnsi="Times New Roman"/>
        </w:rPr>
      </w:pPr>
      <w:r>
        <w:rPr>
          <w:rFonts w:ascii="Times New Roman" w:hAnsi="Times New Roman"/>
        </w:rPr>
        <w:t>Methods</w:t>
      </w:r>
    </w:p>
    <w:p>
      <w:pPr>
        <w:pStyle w:val="Normal"/>
        <w:ind w:hanging="0"/>
        <w:rPr>
          <w:b/>
          <w:b/>
          <w:bCs/>
          <w:sz w:val="24"/>
          <w:szCs w:val="24"/>
        </w:rPr>
      </w:pPr>
      <w:r>
        <w:rPr>
          <w:rFonts w:ascii="Times New Roman" w:hAnsi="Times New Roman"/>
          <w:b/>
          <w:bCs/>
          <w:sz w:val="24"/>
          <w:szCs w:val="24"/>
        </w:rPr>
        <w:t>Mathematical model describing the population level dynamics of X chromosome reactivation</w:t>
      </w:r>
    </w:p>
    <w:p>
      <w:pPr>
        <w:pStyle w:val="Normal"/>
        <w:spacing w:before="0" w:after="80"/>
        <w:ind w:left="-15" w:hanging="0"/>
        <w:rPr>
          <w:rFonts w:ascii="Times New Roman" w:hAnsi="Times New Roman"/>
        </w:rPr>
      </w:pPr>
      <w:r>
        <w:rPr>
          <w:rFonts w:ascii="Times New Roman" w:hAnsi="Times New Roman"/>
        </w:rPr>
        <w:t>We have considered the two X-chromosomes as interacting entities, and they are modeled as differential equations given by:</w:t>
      </w:r>
    </w:p>
    <w:p>
      <w:pPr>
        <w:pStyle w:val="Normal"/>
        <w:spacing w:before="0" w:after="80"/>
        <w:ind w:hanging="0"/>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1516380</wp:posOffset>
            </wp:positionH>
            <wp:positionV relativeFrom="paragraph">
              <wp:posOffset>635</wp:posOffset>
            </wp:positionV>
            <wp:extent cx="4480560" cy="9417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80560" cy="941705"/>
                    </a:xfrm>
                    <a:prstGeom prst="rect">
                      <a:avLst/>
                    </a:prstGeom>
                  </pic:spPr>
                </pic:pic>
              </a:graphicData>
            </a:graphic>
          </wp:anchor>
        </w:drawing>
      </w:r>
    </w:p>
    <w:p>
      <w:pPr>
        <w:pStyle w:val="Normal"/>
        <w:spacing w:before="0" w:after="37"/>
        <w:ind w:left="-15" w:firstLine="329"/>
        <w:rPr>
          <w:rFonts w:ascii="Times New Roman" w:hAnsi="Times New Roman"/>
        </w:rPr>
      </w:pPr>
      <w:r>
        <w:rPr>
          <w:rFonts w:ascii="Times New Roman" w:hAnsi="Times New Roman"/>
        </w:rPr>
        <w:t>Where,</w:t>
      </w:r>
    </w:p>
    <w:p>
      <w:pPr>
        <w:pStyle w:val="Normal"/>
        <w:spacing w:before="0" w:after="37"/>
        <w:ind w:left="-15" w:firstLine="329"/>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1834515</wp:posOffset>
            </wp:positionH>
            <wp:positionV relativeFrom="paragraph">
              <wp:posOffset>635</wp:posOffset>
            </wp:positionV>
            <wp:extent cx="4172585" cy="5822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72585" cy="582295"/>
                    </a:xfrm>
                    <a:prstGeom prst="rect">
                      <a:avLst/>
                    </a:prstGeom>
                  </pic:spPr>
                </pic:pic>
              </a:graphicData>
            </a:graphic>
          </wp:anchor>
        </w:drawing>
      </w:r>
    </w:p>
    <w:p>
      <w:pPr>
        <w:pStyle w:val="Normal"/>
        <w:spacing w:before="0" w:after="37"/>
        <w:ind w:left="-15" w:firstLine="329"/>
        <w:rPr>
          <w:rFonts w:ascii="Times New Roman" w:hAnsi="Times New Roman"/>
        </w:rPr>
      </w:pPr>
      <w:r>
        <w:rPr>
          <w:rFonts w:ascii="Times New Roman" w:hAnsi="Times New Roman"/>
          <w:i/>
        </w:rPr>
        <w:t>X</w:t>
      </w:r>
      <w:r>
        <w:rPr>
          <w:rFonts w:ascii="Times New Roman" w:hAnsi="Times New Roman"/>
          <w:i/>
          <w:vertAlign w:val="subscript"/>
        </w:rPr>
        <w:t xml:space="preserve">i </w:t>
      </w:r>
      <w:r>
        <w:rPr>
          <w:rFonts w:ascii="Times New Roman" w:hAnsi="Times New Roman"/>
        </w:rPr>
        <w:t xml:space="preserve">is the expression level of the inactive X given as X:A ratio, </w:t>
      </w:r>
      <w:r>
        <w:rPr>
          <w:rFonts w:ascii="Times New Roman" w:hAnsi="Times New Roman"/>
          <w:i/>
        </w:rPr>
        <w:t>X</w:t>
      </w:r>
      <w:r>
        <w:rPr>
          <w:rFonts w:ascii="Times New Roman" w:hAnsi="Times New Roman"/>
          <w:i/>
          <w:vertAlign w:val="subscript"/>
        </w:rPr>
        <w:t xml:space="preserve">a </w:t>
      </w:r>
      <w:r>
        <w:rPr>
          <w:rFonts w:ascii="Times New Roman" w:hAnsi="Times New Roman"/>
        </w:rPr>
        <w:t xml:space="preserve">is the expression level of the active X given as X:A ratio, </w:t>
      </w:r>
      <w:r>
        <w:rPr>
          <w:rFonts w:ascii="Times New Roman" w:hAnsi="Times New Roman"/>
          <w:i/>
        </w:rPr>
        <w:t>a</w:t>
      </w:r>
      <w:r>
        <w:rPr>
          <w:rFonts w:ascii="Times New Roman" w:hAnsi="Times New Roman"/>
          <w:vertAlign w:val="subscript"/>
        </w:rPr>
        <w:t>1</w:t>
      </w:r>
      <w:r>
        <w:rPr>
          <w:rFonts w:ascii="Times New Roman" w:hAnsi="Times New Roman"/>
          <w:i/>
        </w:rPr>
        <w:t>,a</w:t>
      </w:r>
      <w:r>
        <w:rPr>
          <w:rFonts w:ascii="Times New Roman" w:hAnsi="Times New Roman"/>
          <w:vertAlign w:val="subscript"/>
        </w:rPr>
        <w:t>2</w:t>
      </w:r>
      <w:r>
        <w:rPr>
          <w:rFonts w:ascii="Times New Roman" w:hAnsi="Times New Roman"/>
          <w:i/>
        </w:rPr>
        <w:t>,b</w:t>
      </w:r>
      <w:r>
        <w:rPr>
          <w:rFonts w:ascii="Times New Roman" w:hAnsi="Times New Roman"/>
          <w:vertAlign w:val="subscript"/>
        </w:rPr>
        <w:t>1</w:t>
      </w:r>
      <w:r>
        <w:rPr>
          <w:rFonts w:ascii="Times New Roman" w:hAnsi="Times New Roman"/>
          <w:i/>
        </w:rPr>
        <w:t>,b</w:t>
      </w:r>
      <w:r>
        <w:rPr>
          <w:rFonts w:ascii="Times New Roman" w:hAnsi="Times New Roman"/>
          <w:vertAlign w:val="subscript"/>
        </w:rPr>
        <w:t>2</w:t>
      </w:r>
      <w:r>
        <w:rPr>
          <w:rFonts w:ascii="Times New Roman" w:hAnsi="Times New Roman"/>
          <w:i/>
        </w:rPr>
        <w:t>,c</w:t>
      </w:r>
      <w:r>
        <w:rPr>
          <w:rFonts w:ascii="Times New Roman" w:hAnsi="Times New Roman"/>
          <w:vertAlign w:val="subscript"/>
        </w:rPr>
        <w:t xml:space="preserve">1 </w:t>
      </w:r>
      <w:r>
        <w:rPr>
          <w:rFonts w:ascii="Times New Roman" w:hAnsi="Times New Roman"/>
        </w:rPr>
        <w:t xml:space="preserve">and </w:t>
      </w:r>
      <w:r>
        <w:rPr>
          <w:rFonts w:ascii="Times New Roman" w:hAnsi="Times New Roman"/>
          <w:i/>
        </w:rPr>
        <w:t>c</w:t>
      </w:r>
      <w:r>
        <w:rPr>
          <w:rFonts w:ascii="Times New Roman" w:hAnsi="Times New Roman"/>
          <w:vertAlign w:val="subscript"/>
        </w:rPr>
        <w:t xml:space="preserve">2 </w:t>
      </w:r>
      <w:r>
        <w:rPr>
          <w:rFonts w:ascii="Times New Roman" w:hAnsi="Times New Roman"/>
        </w:rPr>
        <w:t xml:space="preserve">are the coefficients for cross-regulatory, self-regulatory and decay terms, respectively, </w:t>
      </w:r>
      <w:r>
        <w:rPr>
          <w:rFonts w:ascii="Times New Roman" w:hAnsi="Times New Roman"/>
          <w:i/>
        </w:rPr>
        <w:t xml:space="preserve">n </w:t>
      </w:r>
      <w:r>
        <w:rPr>
          <w:rFonts w:ascii="Times New Roman" w:hAnsi="Times New Roman"/>
        </w:rPr>
        <w:t xml:space="preserve">is the hill coefficient, </w:t>
      </w:r>
      <w:r>
        <w:rPr>
          <w:rFonts w:ascii="Times New Roman" w:hAnsi="Times New Roman"/>
          <w:i/>
        </w:rPr>
        <w:t>K</w:t>
      </w:r>
      <w:r>
        <w:rPr>
          <w:rFonts w:ascii="Times New Roman" w:hAnsi="Times New Roman"/>
          <w:vertAlign w:val="subscript"/>
        </w:rPr>
        <w:t>1</w:t>
      </w:r>
      <w:r>
        <w:rPr>
          <w:rFonts w:ascii="Times New Roman" w:hAnsi="Times New Roman"/>
          <w:i/>
        </w:rPr>
        <w:t>,K</w:t>
      </w:r>
      <w:r>
        <w:rPr>
          <w:rFonts w:ascii="Times New Roman" w:hAnsi="Times New Roman"/>
          <w:vertAlign w:val="subscript"/>
        </w:rPr>
        <w:t>2</w:t>
      </w:r>
      <w:r>
        <w:rPr>
          <w:rFonts w:ascii="Times New Roman" w:hAnsi="Times New Roman"/>
          <w:i/>
        </w:rPr>
        <w:t>,K</w:t>
      </w:r>
      <w:r>
        <w:rPr>
          <w:rFonts w:ascii="Times New Roman" w:hAnsi="Times New Roman"/>
          <w:vertAlign w:val="subscript"/>
        </w:rPr>
        <w:t xml:space="preserve">3 </w:t>
      </w:r>
      <w:r>
        <w:rPr>
          <w:rFonts w:ascii="Times New Roman" w:hAnsi="Times New Roman"/>
        </w:rPr>
        <w:t xml:space="preserve">and </w:t>
      </w:r>
      <w:r>
        <w:rPr>
          <w:rFonts w:ascii="Times New Roman" w:hAnsi="Times New Roman"/>
          <w:i/>
        </w:rPr>
        <w:t>K</w:t>
      </w:r>
      <w:r>
        <w:rPr>
          <w:rFonts w:ascii="Times New Roman" w:hAnsi="Times New Roman"/>
          <w:vertAlign w:val="subscript"/>
        </w:rPr>
        <w:t xml:space="preserve">4 </w:t>
      </w:r>
      <w:r>
        <w:rPr>
          <w:rFonts w:ascii="Times New Roman" w:hAnsi="Times New Roman"/>
        </w:rPr>
        <w:t>are the half-saturation constants.</w:t>
      </w:r>
    </w:p>
    <w:p>
      <w:pPr>
        <w:pStyle w:val="Normal"/>
        <w:spacing w:before="0" w:after="37"/>
        <w:ind w:hanging="0"/>
        <w:rPr>
          <w:rFonts w:ascii="Times New Roman" w:hAnsi="Times New Roman"/>
          <w:b/>
          <w:b/>
          <w:bCs/>
          <w:iCs/>
          <w:sz w:val="24"/>
          <w:szCs w:val="24"/>
        </w:rPr>
      </w:pPr>
      <w:r>
        <w:rPr>
          <w:rFonts w:ascii="Times New Roman" w:hAnsi="Times New Roman"/>
          <w:b/>
          <w:bCs/>
          <w:iCs/>
          <w:sz w:val="24"/>
          <w:szCs w:val="24"/>
        </w:rPr>
      </w:r>
    </w:p>
    <w:p>
      <w:pPr>
        <w:pStyle w:val="Normal"/>
        <w:spacing w:before="0" w:after="37"/>
        <w:ind w:hanging="0"/>
        <w:rPr>
          <w:b/>
          <w:b/>
          <w:bCs/>
          <w:iCs/>
          <w:sz w:val="24"/>
          <w:szCs w:val="24"/>
        </w:rPr>
      </w:pPr>
      <w:r>
        <w:rPr>
          <w:rFonts w:ascii="Times New Roman" w:hAnsi="Times New Roman"/>
          <w:b/>
          <w:bCs/>
          <w:iCs/>
          <w:sz w:val="24"/>
          <w:szCs w:val="24"/>
        </w:rPr>
        <w:t>Fitting the model to single-cell iPSC induction and partial reactivation data</w:t>
      </w:r>
    </w:p>
    <w:p>
      <w:pPr>
        <w:pStyle w:val="Normal"/>
        <w:ind w:left="-15" w:firstLine="329"/>
        <w:rPr>
          <w:rFonts w:ascii="Times New Roman" w:hAnsi="Times New Roman"/>
        </w:rPr>
      </w:pPr>
      <w:r>
        <w:rPr>
          <w:rFonts w:ascii="Times New Roman" w:hAnsi="Times New Roman"/>
        </w:rPr>
        <w:t xml:space="preserve">For the data for full reactivation, we took the data obtained from X-reactivation in iPSC given in </w:t>
      </w:r>
      <w:commentRangeStart w:id="0"/>
      <w:r>
        <w:rPr>
          <w:rFonts w:ascii="Times New Roman" w:hAnsi="Times New Roman"/>
          <w:b/>
        </w:rPr>
        <w:t>Figure X</w:t>
      </w:r>
      <w:r>
        <w:rPr>
          <w:rFonts w:ascii="Times New Roman" w:hAnsi="Times New Roman"/>
          <w:b/>
        </w:rPr>
      </w:r>
      <w:commentRangeEnd w:id="0"/>
      <w:r>
        <w:commentReference w:id="0"/>
      </w:r>
      <w:r>
        <w:rPr>
          <w:rFonts w:ascii="Times New Roman" w:hAnsi="Times New Roman"/>
        </w:rPr>
        <w:t xml:space="preserve">. Due to lack of data between day 0 to day 8, the starting point for X-reactivation was considered to be day 7 and with the same level corresponding to day 0 in the iPSC data. The mean value for day wise levels of </w:t>
      </w:r>
      <w:r>
        <w:rPr>
          <w:rFonts w:ascii="Times New Roman" w:hAnsi="Times New Roman"/>
          <w:i/>
        </w:rPr>
        <w:t>X</w:t>
      </w:r>
      <w:r>
        <w:rPr>
          <w:rFonts w:ascii="Times New Roman" w:hAnsi="Times New Roman"/>
          <w:i/>
          <w:vertAlign w:val="subscript"/>
        </w:rPr>
        <w:t xml:space="preserve">i </w:t>
      </w:r>
      <w:r>
        <w:rPr>
          <w:rFonts w:ascii="Times New Roman" w:hAnsi="Times New Roman"/>
        </w:rPr>
        <w:t xml:space="preserve">and </w:t>
      </w:r>
      <w:r>
        <w:rPr>
          <w:rFonts w:ascii="Times New Roman" w:hAnsi="Times New Roman"/>
          <w:i/>
        </w:rPr>
        <w:t>X</w:t>
      </w:r>
      <w:r>
        <w:rPr>
          <w:rFonts w:ascii="Times New Roman" w:hAnsi="Times New Roman"/>
          <w:i/>
          <w:vertAlign w:val="subscript"/>
        </w:rPr>
        <w:t xml:space="preserve">a </w:t>
      </w:r>
      <w:r>
        <w:rPr>
          <w:rFonts w:ascii="Times New Roman" w:hAnsi="Times New Roman"/>
        </w:rPr>
        <w:t xml:space="preserve">were considered. The levels for iPSC cells were considered as the levels from day 13 to day 15. For the data for partial reactivation, we assumed a hypothetical case of iPSC reactivation stalling at day 12. The value at day 12 was extrapolated up to day 15. These values match qualitatively with the partial reactivation state in </w:t>
      </w:r>
      <w:commentRangeStart w:id="1"/>
      <w:r>
        <w:rPr>
          <w:rFonts w:ascii="Times New Roman" w:hAnsi="Times New Roman"/>
          <w:b/>
        </w:rPr>
        <w:t>Figure X</w:t>
      </w:r>
      <w:r>
        <w:rPr>
          <w:rFonts w:ascii="Times New Roman" w:hAnsi="Times New Roman"/>
          <w:b/>
        </w:rPr>
      </w:r>
      <w:commentRangeEnd w:id="1"/>
      <w:r>
        <w:commentReference w:id="1"/>
      </w:r>
      <w:r>
        <w:rPr>
          <w:rFonts w:ascii="Times New Roman" w:hAnsi="Times New Roman"/>
          <w:b/>
        </w:rPr>
        <w:t xml:space="preserve"> </w:t>
      </w:r>
      <w:r>
        <w:rPr>
          <w:rFonts w:ascii="Times New Roman" w:hAnsi="Times New Roman"/>
        </w:rPr>
        <w:t>and have been done due to the lack of temporal data.</w:t>
      </w:r>
    </w:p>
    <w:p>
      <w:pPr>
        <w:pStyle w:val="Normal"/>
        <w:ind w:left="-15" w:firstLine="329"/>
        <w:rPr>
          <w:rFonts w:ascii="Times New Roman" w:hAnsi="Times New Roman"/>
        </w:rPr>
      </w:pPr>
      <w:r>
        <w:rPr>
          <w:rFonts w:ascii="Times New Roman" w:hAnsi="Times New Roman"/>
        </w:rPr>
        <w:t xml:space="preserve">These equations are fit to the time course data for full and partial reactivation. This was done by minimizing the sum of square error using the </w:t>
      </w:r>
      <w:r>
        <w:rPr>
          <w:rFonts w:eastAsia="Calibri" w:cs="Calibri" w:ascii="Times New Roman" w:hAnsi="Times New Roman"/>
        </w:rPr>
        <w:t xml:space="preserve">differential evolution </w:t>
      </w:r>
      <w:r>
        <w:rPr>
          <w:rFonts w:ascii="Times New Roman" w:hAnsi="Times New Roman"/>
        </w:rPr>
        <w:t xml:space="preserve">algorithm of </w:t>
      </w:r>
      <w:r>
        <w:rPr>
          <w:rFonts w:eastAsia="Calibri" w:cs="Calibri" w:ascii="Times New Roman" w:hAnsi="Times New Roman"/>
        </w:rPr>
        <w:t>scipy</w:t>
      </w:r>
      <w:r>
        <w:rPr>
          <w:rFonts w:ascii="Times New Roman" w:hAnsi="Times New Roman"/>
        </w:rPr>
        <w:t>. The initial population of parameters is sampled using Sobol sampling. The differential equations are solved using the explicit Runge-Kutta method of order 5(4) with these parameters. Then, the sum of square errors between the solutions evaluated at the given time points and the actual data is calculated. A new parameter set is generated by adding a weighted difference between two randomly chosen parameter sets to a third parameter set, similar to a mutation. Then, it randomly combines parameters from the old set with this new set, similar to crossover. The sum of square errors with this new set of parameters is also evaluated and compared with those of the old parameters. If the values are lower with the new set, they replace the old set in the next generation of the population. This is repeated multiple times until an optimal solution is found (Storn &amp; Price, 1997).</w:t>
      </w:r>
    </w:p>
    <w:p>
      <w:pPr>
        <w:pStyle w:val="Normal"/>
        <w:ind w:hanging="0"/>
        <w:rPr>
          <w:b/>
          <w:b/>
          <w:bCs/>
          <w:sz w:val="24"/>
          <w:szCs w:val="24"/>
        </w:rPr>
      </w:pPr>
      <w:r>
        <w:rPr>
          <w:b/>
          <w:bCs/>
          <w:sz w:val="24"/>
          <w:szCs w:val="24"/>
        </w:rPr>
      </w:r>
    </w:p>
    <w:p>
      <w:pPr>
        <w:pStyle w:val="Normal"/>
        <w:ind w:hanging="0"/>
        <w:rPr>
          <w:b/>
          <w:b/>
          <w:bCs/>
          <w:sz w:val="24"/>
          <w:szCs w:val="24"/>
        </w:rPr>
      </w:pPr>
      <w:r>
        <w:rPr>
          <w:rFonts w:ascii="Times New Roman" w:hAnsi="Times New Roman"/>
          <w:b/>
          <w:bCs/>
          <w:sz w:val="24"/>
          <w:szCs w:val="24"/>
        </w:rPr>
        <w:t>Simulating the model with the addition of noise</w:t>
      </w:r>
    </w:p>
    <w:p>
      <w:pPr>
        <w:pStyle w:val="Normal"/>
        <w:ind w:left="-15" w:firstLine="329"/>
        <w:rPr>
          <w:rFonts w:ascii="Times New Roman" w:hAnsi="Times New Roman"/>
        </w:rPr>
      </w:pPr>
      <w:r>
        <w:rPr>
          <w:rFonts w:ascii="Times New Roman" w:hAnsi="Times New Roman"/>
          <w:b w:val="false"/>
          <w:bCs w:val="false"/>
          <w:sz w:val="22"/>
          <w:szCs w:val="22"/>
        </w:rPr>
        <w:t>For</w:t>
      </w:r>
      <w:r>
        <w:rPr>
          <w:rFonts w:ascii="Times New Roman" w:hAnsi="Times New Roman"/>
          <w:b w:val="false"/>
          <w:bCs w:val="false"/>
          <w:sz w:val="24"/>
          <w:szCs w:val="24"/>
        </w:rPr>
        <w:t xml:space="preserve"> </w:t>
      </w:r>
      <w:r>
        <w:rPr>
          <w:rFonts w:ascii="Times New Roman" w:hAnsi="Times New Roman"/>
        </w:rPr>
        <w:t xml:space="preserve">the model with noise, we added a noise term </w:t>
      </w:r>
      <w:r>
        <w:rPr>
          <w:rFonts w:eastAsia="Cambria" w:cs="Cambria" w:ascii="Times New Roman" w:hAnsi="Times New Roman"/>
          <w:i/>
          <w:iCs/>
        </w:rPr>
        <w:t>η</w:t>
      </w:r>
      <w:r>
        <w:rPr>
          <w:rFonts w:ascii="Times New Roman" w:hAnsi="Times New Roman"/>
        </w:rPr>
        <w:t>(</w:t>
      </w:r>
      <w:r>
        <w:rPr>
          <w:rFonts w:ascii="Times New Roman" w:hAnsi="Times New Roman"/>
          <w:i/>
          <w:iCs/>
        </w:rPr>
        <w:t>t</w:t>
      </w:r>
      <w:r>
        <w:rPr>
          <w:rFonts w:ascii="Times New Roman" w:hAnsi="Times New Roman"/>
        </w:rPr>
        <w:t>) to Equation 1 and Equation 2 where the values are sampled from a normal distribution with mean 0 and standard deviation 1. These were then solved with the fit parameters using explicit Runge-Kutta method of order 5(4).</w:t>
      </w:r>
    </w:p>
    <w:p>
      <w:pPr>
        <w:pStyle w:val="Normal"/>
        <w:ind w:hanging="0"/>
        <w:rPr>
          <w:b/>
          <w:b/>
          <w:bCs/>
          <w:sz w:val="24"/>
          <w:szCs w:val="24"/>
        </w:rPr>
      </w:pPr>
      <w:r>
        <w:rPr>
          <w:b/>
          <w:bCs/>
          <w:sz w:val="24"/>
          <w:szCs w:val="24"/>
        </w:rPr>
      </w:r>
    </w:p>
    <w:p>
      <w:pPr>
        <w:pStyle w:val="Normal"/>
        <w:ind w:hanging="0"/>
        <w:rPr>
          <w:b/>
          <w:b/>
          <w:bCs/>
          <w:sz w:val="24"/>
          <w:szCs w:val="24"/>
        </w:rPr>
      </w:pPr>
      <w:r>
        <w:rPr>
          <w:rFonts w:ascii="Times New Roman" w:hAnsi="Times New Roman"/>
          <w:b/>
          <w:bCs/>
          <w:sz w:val="24"/>
          <w:szCs w:val="24"/>
        </w:rPr>
        <w:t>Code availability</w:t>
      </w:r>
    </w:p>
    <w:p>
      <w:pPr>
        <w:pStyle w:val="Normal"/>
        <w:spacing w:before="0" w:after="416"/>
        <w:ind w:left="339" w:hanging="0"/>
        <w:rPr>
          <w:rFonts w:ascii="Times New Roman" w:hAnsi="Times New Roman"/>
        </w:rPr>
      </w:pPr>
      <w:r>
        <w:rPr>
          <w:rFonts w:ascii="Times New Roman" w:hAnsi="Times New Roman"/>
        </w:rPr>
        <w:t xml:space="preserve">The code implementing this is available at </w:t>
      </w:r>
      <w:hyperlink r:id="rId4">
        <w:r>
          <w:rPr>
            <w:rFonts w:ascii="Times New Roman" w:hAnsi="Times New Roman"/>
          </w:rPr>
          <w:t>https://github.com/Harshavardhan-BV/rev-XCI.</w:t>
        </w:r>
      </w:hyperlink>
    </w:p>
    <w:p>
      <w:pPr>
        <w:pStyle w:val="Heading1"/>
        <w:numPr>
          <w:ilvl w:val="0"/>
          <w:numId w:val="0"/>
        </w:numPr>
        <w:ind w:left="-5" w:hanging="0"/>
        <w:rPr>
          <w:rFonts w:ascii="Times New Roman" w:hAnsi="Times New Roman"/>
        </w:rPr>
      </w:pPr>
      <w:r>
        <w:rPr>
          <w:rFonts w:ascii="Times New Roman" w:hAnsi="Times New Roman"/>
        </w:rPr>
        <w:t>References</w:t>
      </w:r>
    </w:p>
    <w:p>
      <w:pPr>
        <w:pStyle w:val="Normal"/>
        <w:ind w:left="705" w:hanging="720"/>
        <w:rPr>
          <w:rFonts w:ascii="Times New Roman" w:hAnsi="Times New Roman"/>
        </w:rPr>
      </w:pPr>
      <w:r>
        <w:rPr>
          <w:rFonts w:ascii="Times New Roman" w:hAnsi="Times New Roman"/>
        </w:rPr>
        <w:t xml:space="preserve">Mutzel, V., Okamoto, I., Dunkel, I., Saitou, M., Giorgetti, L., Heard, E., &amp; Schulz, E. G. (2019). A symmetric toggle switch explains the onset of random x inactivation in different mammals. </w:t>
      </w:r>
      <w:r>
        <w:rPr>
          <w:rFonts w:ascii="Times New Roman" w:hAnsi="Times New Roman"/>
          <w:i/>
        </w:rPr>
        <w:t>Nature structural &amp; molecular biology</w:t>
      </w:r>
      <w:r>
        <w:rPr>
          <w:rFonts w:ascii="Times New Roman" w:hAnsi="Times New Roman"/>
        </w:rPr>
        <w:t xml:space="preserve">, </w:t>
      </w:r>
      <w:r>
        <w:rPr>
          <w:rFonts w:ascii="Times New Roman" w:hAnsi="Times New Roman"/>
          <w:i/>
        </w:rPr>
        <w:t>26</w:t>
      </w:r>
      <w:r>
        <w:rPr>
          <w:rFonts w:ascii="Times New Roman" w:hAnsi="Times New Roman"/>
        </w:rPr>
        <w:t>(5), 350–360.</w:t>
      </w:r>
    </w:p>
    <w:p>
      <w:pPr>
        <w:pStyle w:val="Normal"/>
        <w:ind w:left="705" w:hanging="720"/>
        <w:rPr/>
      </w:pPr>
      <w:r>
        <w:rPr>
          <w:rFonts w:ascii="Times New Roman" w:hAnsi="Times New Roman"/>
        </w:rPr>
        <w:t xml:space="preserve">Naik, H. C., Hari, K., Chandel, D., Jolly, M. K., &amp; Gayen, S. (2022). Single-cell analysis reveals x upregulation is not global in pre-gastrulation embryos. </w:t>
      </w:r>
      <w:r>
        <w:rPr>
          <w:rFonts w:ascii="Times New Roman" w:hAnsi="Times New Roman"/>
          <w:i/>
        </w:rPr>
        <w:t>iScience</w:t>
      </w:r>
      <w:r>
        <w:rPr>
          <w:rFonts w:ascii="Times New Roman" w:hAnsi="Times New Roman"/>
        </w:rPr>
        <w:t xml:space="preserve">, </w:t>
      </w:r>
      <w:r>
        <w:rPr>
          <w:rFonts w:ascii="Times New Roman" w:hAnsi="Times New Roman"/>
          <w:i/>
        </w:rPr>
        <w:t>25</w:t>
      </w:r>
      <w:r>
        <w:rPr>
          <w:rFonts w:ascii="Times New Roman" w:hAnsi="Times New Roman"/>
        </w:rPr>
        <w:t xml:space="preserve">(6), 104465. </w:t>
      </w:r>
      <w:hyperlink r:id="rId5">
        <w:r>
          <w:rPr>
            <w:rFonts w:ascii="Times New Roman" w:hAnsi="Times New Roman"/>
          </w:rPr>
          <w:t xml:space="preserve">https://doi. </w:t>
        </w:r>
      </w:hyperlink>
      <w:hyperlink r:id="rId6">
        <w:r>
          <w:rPr>
            <w:rFonts w:ascii="Times New Roman" w:hAnsi="Times New Roman"/>
          </w:rPr>
          <w:t>org/https://doi.org/10.1016/j.isci.2022.104465</w:t>
        </w:r>
      </w:hyperlink>
    </w:p>
    <w:p>
      <w:pPr>
        <w:sectPr>
          <w:footerReference w:type="even" r:id="rId7"/>
          <w:footerReference w:type="default" r:id="rId8"/>
          <w:footerReference w:type="first" r:id="rId9"/>
          <w:type w:val="nextPage"/>
          <w:pgSz w:w="11906" w:h="16838"/>
          <w:pgMar w:left="1134" w:right="1134" w:gutter="0" w:header="0" w:top="1202" w:footer="494" w:bottom="1092"/>
          <w:pgNumType w:fmt="decimal"/>
          <w:formProt w:val="false"/>
          <w:textDirection w:val="lrTb"/>
          <w:docGrid w:type="default" w:linePitch="100" w:charSpace="4096"/>
        </w:sectPr>
        <w:pStyle w:val="Normal"/>
        <w:ind w:left="705" w:hanging="720"/>
        <w:rPr>
          <w:rFonts w:ascii="Times New Roman" w:hAnsi="Times New Roman"/>
        </w:rPr>
      </w:pPr>
      <w:r>
        <w:rPr>
          <w:rFonts w:ascii="Times New Roman" w:hAnsi="Times New Roman"/>
        </w:rPr>
        <w:t xml:space="preserve">Storn, R., &amp; Price, K. (1997). Differential evolution–a simple and efficient heuristic for global optimization over continuous spaces. </w:t>
      </w:r>
      <w:r>
        <w:rPr>
          <w:rFonts w:ascii="Times New Roman" w:hAnsi="Times New Roman"/>
          <w:i/>
        </w:rPr>
        <w:t>Journal of global optimization</w:t>
      </w:r>
      <w:r>
        <w:rPr>
          <w:rFonts w:ascii="Times New Roman" w:hAnsi="Times New Roman"/>
        </w:rPr>
        <w:t xml:space="preserve">, </w:t>
      </w:r>
      <w:r>
        <w:rPr>
          <w:rFonts w:ascii="Times New Roman" w:hAnsi="Times New Roman"/>
          <w:i/>
        </w:rPr>
        <w:t>11</w:t>
      </w:r>
      <w:r>
        <w:rPr>
          <w:rFonts w:ascii="Times New Roman" w:hAnsi="Times New Roman"/>
        </w:rPr>
        <w:t>(4), 341–359.</w:t>
      </w:r>
    </w:p>
    <w:p>
      <w:pPr>
        <w:pStyle w:val="Normal"/>
        <w:spacing w:before="0" w:after="4"/>
        <w:ind w:left="-15" w:hanging="0"/>
        <w:rPr>
          <w:rFonts w:ascii="Times New Roman" w:hAnsi="Times New Roman"/>
        </w:rPr>
      </w:pPr>
      <w:r>
        <w:rPr/>
      </w:r>
    </w:p>
    <w:p>
      <w:pPr>
        <w:pStyle w:val="Normal"/>
        <w:spacing w:before="0" w:after="4"/>
        <w:ind w:left="-15" w:hanging="0"/>
        <w:rPr>
          <w:rFonts w:ascii="Times New Roman" w:hAnsi="Times New Roman"/>
        </w:rPr>
      </w:pPr>
      <w:r>
        <w:rPr>
          <w:rFonts w:ascii="Times New Roman" w:hAnsi="Times New Roman"/>
        </w:rPr>
        <w:t xml:space="preserve">Figure 7: </w:t>
      </w:r>
      <w:r>
        <w:rPr>
          <w:rFonts w:ascii="Times New Roman" w:hAnsi="Times New Roman"/>
          <w:b/>
        </w:rPr>
        <w:t>Phenomenological model to explain partial and full reactivation dynamics</w:t>
      </w:r>
      <w:r>
        <w:rPr>
          <w:rFonts w:ascii="Times New Roman" w:hAnsi="Times New Roman"/>
        </w:rPr>
        <w:t xml:space="preserve">. A, B, C: Fits on full reactivation data with only cross-inhibition, with cross-inhibition and self-activation, and with cross-inhibition and self-inhibition, respectively. D: Schematic of all combinations of regulatory links. E, F: Heatmaps of </w:t>
      </w:r>
      <w:r>
        <w:rPr>
          <w:rFonts w:ascii="Times New Roman" w:hAnsi="Times New Roman"/>
          <w:i/>
        </w:rPr>
        <w:t>R</w:t>
      </w:r>
      <w:r>
        <w:rPr>
          <w:rFonts w:ascii="Times New Roman" w:hAnsi="Times New Roman"/>
          <w:vertAlign w:val="superscript"/>
        </w:rPr>
        <w:t xml:space="preserve">2 </w:t>
      </w:r>
      <w:r>
        <w:rPr>
          <w:rFonts w:ascii="Times New Roman" w:hAnsi="Times New Roman"/>
        </w:rPr>
        <w:t xml:space="preserve">for fits testing self-regulatory connections with fixed cross-inhibition on full and partial reactivation data, respectively. G: Fits on partial reactivation data with cross-inhibition and self-inhibition. H, I: Heatmaps of </w:t>
      </w:r>
      <w:r>
        <w:rPr>
          <w:rFonts w:ascii="Times New Roman" w:hAnsi="Times New Roman"/>
          <w:i/>
        </w:rPr>
        <w:t>R</w:t>
      </w:r>
      <w:r>
        <w:rPr>
          <w:rFonts w:ascii="Times New Roman" w:hAnsi="Times New Roman"/>
          <w:vertAlign w:val="superscript"/>
        </w:rPr>
        <w:t xml:space="preserve">2 </w:t>
      </w:r>
      <w:r>
        <w:rPr>
          <w:rFonts w:ascii="Times New Roman" w:hAnsi="Times New Roman"/>
        </w:rPr>
        <w:t xml:space="preserve">for fits testing cross-regulatory connections with fixed self-inhibition on full and partial reactivation data, respectively. K, L: Heatmaps of </w:t>
      </w:r>
      <w:r>
        <w:rPr>
          <w:rFonts w:ascii="Times New Roman" w:hAnsi="Times New Roman"/>
          <w:i/>
        </w:rPr>
        <w:t>R</w:t>
      </w:r>
      <w:r>
        <w:rPr>
          <w:rFonts w:ascii="Times New Roman" w:hAnsi="Times New Roman"/>
          <w:vertAlign w:val="superscript"/>
        </w:rPr>
        <w:t xml:space="preserve">2 </w:t>
      </w:r>
      <w:r>
        <w:rPr>
          <w:rFonts w:ascii="Times New Roman" w:hAnsi="Times New Roman"/>
        </w:rPr>
        <w:t>for fits testing cross-regulatory connections with fixed self-activation on full and partial reactivation data, respectively. J: Comparison of fit parameters with cross-inhibition and self-inhibition between full and partial reactivation. M: Time-course distribution of X level on addition of noise to the model.</w:t>
      </w:r>
    </w:p>
    <w:sectPr>
      <w:footerReference w:type="even" r:id="rId10"/>
      <w:footerReference w:type="default" r:id="rId11"/>
      <w:footerReference w:type="first" r:id="rId12"/>
      <w:type w:val="nextPage"/>
      <w:pgSz w:w="11906" w:h="16838"/>
      <w:pgMar w:left="1134" w:right="1134" w:gutter="0" w:header="0" w:top="912" w:footer="720" w:bottom="144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Kishore Hari" w:date="2023-02-27T15:15:00Z" w:initials="KH">
    <w:p>
      <w:r>
        <w:rPr>
          <w:rFonts w:ascii="Liberation Serif" w:hAnsi="Liberation Serif" w:eastAsia="Tahoma" w:cs="Tahoma"/>
          <w:color w:val="auto"/>
          <w:sz w:val="24"/>
          <w:szCs w:val="24"/>
          <w:lang w:val="en-GB" w:eastAsia="en-US" w:bidi="en-US"/>
        </w:rPr>
        <w:t>Corresponding data figure to be referred</w:t>
      </w:r>
    </w:p>
  </w:comment>
  <w:comment w:id="1" w:author="Kishore Hari" w:date="2023-02-27T15:14:00Z" w:initials="KH">
    <w:p>
      <w:r>
        <w:rPr>
          <w:rFonts w:ascii="Liberation Serif" w:hAnsi="Liberation Serif" w:eastAsia="Tahoma" w:cs="Tahoma"/>
          <w:color w:val="auto"/>
          <w:sz w:val="24"/>
          <w:szCs w:val="24"/>
          <w:lang w:val="en-GB" w:eastAsia="en-US" w:bidi="en-US"/>
        </w:rPr>
        <w:t>Corresponding data figure to be referred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jc w:val="center"/>
      <w:rPr/>
    </w:pPr>
    <w:r>
      <w:rPr/>
      <w:fldChar w:fldCharType="begin"/>
    </w:r>
    <w:r>
      <w:rPr/>
      <w:instrText xml:space="preserve">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jc w:val="center"/>
      <w:rPr/>
    </w:pPr>
    <w:r>
      <w:rPr/>
      <w:fldChar w:fldCharType="begin"/>
    </w:r>
    <w:r>
      <w:rPr/>
      <w:instrText xml:space="preserve"> PAGE </w:instrText>
    </w:r>
    <w:r>
      <w:rPr/>
      <w:fldChar w:fldCharType="separate"/>
    </w:r>
    <w:r>
      <w:rPr/>
      <w:t>3</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1">
      <w:start w:val="1"/>
      <w:numFmt w:val="lowerLetter"/>
      <w:lvlText w:val="%2"/>
      <w:lvlJc w:val="left"/>
      <w:pPr>
        <w:tabs>
          <w:tab w:val="num" w:pos="0"/>
        </w:tabs>
        <w:ind w:left="108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2">
      <w:start w:val="1"/>
      <w:numFmt w:val="lowerRoman"/>
      <w:lvlText w:val="%3"/>
      <w:lvlJc w:val="left"/>
      <w:pPr>
        <w:tabs>
          <w:tab w:val="num" w:pos="0"/>
        </w:tabs>
        <w:ind w:left="180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3">
      <w:start w:val="1"/>
      <w:numFmt w:val="decimal"/>
      <w:lvlText w:val="%4"/>
      <w:lvlJc w:val="left"/>
      <w:pPr>
        <w:tabs>
          <w:tab w:val="num" w:pos="0"/>
        </w:tabs>
        <w:ind w:left="252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4">
      <w:start w:val="1"/>
      <w:numFmt w:val="lowerLetter"/>
      <w:lvlText w:val="%5"/>
      <w:lvlJc w:val="left"/>
      <w:pPr>
        <w:tabs>
          <w:tab w:val="num" w:pos="0"/>
        </w:tabs>
        <w:ind w:left="324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5">
      <w:start w:val="1"/>
      <w:numFmt w:val="lowerRoman"/>
      <w:lvlText w:val="%6"/>
      <w:lvlJc w:val="left"/>
      <w:pPr>
        <w:tabs>
          <w:tab w:val="num" w:pos="0"/>
        </w:tabs>
        <w:ind w:left="396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6">
      <w:start w:val="1"/>
      <w:numFmt w:val="decimal"/>
      <w:lvlText w:val="%7"/>
      <w:lvlJc w:val="left"/>
      <w:pPr>
        <w:tabs>
          <w:tab w:val="num" w:pos="0"/>
        </w:tabs>
        <w:ind w:left="468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7">
      <w:start w:val="1"/>
      <w:numFmt w:val="lowerLetter"/>
      <w:lvlText w:val="%8"/>
      <w:lvlJc w:val="left"/>
      <w:pPr>
        <w:tabs>
          <w:tab w:val="num" w:pos="0"/>
        </w:tabs>
        <w:ind w:left="540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8">
      <w:start w:val="1"/>
      <w:numFmt w:val="lowerRoman"/>
      <w:lvlText w:val="%9"/>
      <w:lvlJc w:val="left"/>
      <w:pPr>
        <w:tabs>
          <w:tab w:val="num" w:pos="0"/>
        </w:tabs>
        <w:ind w:left="612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abstractNum>
  <w:num w:numId="1">
    <w:abstractNumId w:val="1"/>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Gautami" w:asciiTheme="minorHAnsi" w:cstheme="minorBidi" w:eastAsiaTheme="minorEastAsia" w:hAnsiTheme="minorHAnsi"/>
        <w:sz w:val="22"/>
        <w:szCs w:val="22"/>
        <w:lang w:val="en-US" w:eastAsia="ja-JP" w:bidi="te-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before="0" w:after="4"/>
      <w:ind w:firstLine="329"/>
      <w:jc w:val="both"/>
    </w:pPr>
    <w:rPr>
      <w:rFonts w:ascii="Cambria" w:hAnsi="Cambria" w:eastAsia="Cambria" w:cs="Cambria"/>
      <w:color w:val="000000"/>
      <w:kern w:val="0"/>
      <w:sz w:val="22"/>
      <w:szCs w:val="22"/>
      <w:lang w:val="en-US" w:eastAsia="ja-JP" w:bidi="te-IN"/>
    </w:rPr>
  </w:style>
  <w:style w:type="paragraph" w:styleId="Heading1">
    <w:name w:val="Heading 1"/>
    <w:next w:val="Normal"/>
    <w:link w:val="Heading1Char"/>
    <w:uiPriority w:val="9"/>
    <w:qFormat/>
    <w:pPr>
      <w:keepNext w:val="true"/>
      <w:keepLines/>
      <w:widowControl/>
      <w:numPr>
        <w:ilvl w:val="0"/>
        <w:numId w:val="1"/>
      </w:numPr>
      <w:suppressAutoHyphens w:val="true"/>
      <w:bidi w:val="0"/>
      <w:spacing w:lineRule="auto" w:line="259" w:before="0" w:after="135"/>
      <w:ind w:left="10" w:hanging="10"/>
      <w:jc w:val="left"/>
      <w:outlineLvl w:val="0"/>
    </w:pPr>
    <w:rPr>
      <w:rFonts w:ascii="Cambria" w:hAnsi="Cambria" w:eastAsia="Cambria" w:cs="Cambria"/>
      <w:b/>
      <w:color w:val="000000"/>
      <w:kern w:val="0"/>
      <w:sz w:val="29"/>
      <w:szCs w:val="22"/>
      <w:lang w:val="en-US" w:eastAsia="ja-JP" w:bidi="te-IN"/>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mbria" w:hAnsi="Cambria" w:eastAsia="Cambria" w:cs="Cambria"/>
      <w:b/>
      <w:color w:val="000000"/>
      <w:sz w:val="29"/>
    </w:rPr>
  </w:style>
  <w:style w:type="character" w:styleId="Annotationreference">
    <w:name w:val="annotation reference"/>
    <w:basedOn w:val="DefaultParagraphFont"/>
    <w:uiPriority w:val="99"/>
    <w:semiHidden/>
    <w:unhideWhenUsed/>
    <w:qFormat/>
    <w:rsid w:val="00ef32ed"/>
    <w:rPr>
      <w:sz w:val="16"/>
      <w:szCs w:val="16"/>
    </w:rPr>
  </w:style>
  <w:style w:type="character" w:styleId="CommentTextChar" w:customStyle="1">
    <w:name w:val="Comment Text Char"/>
    <w:basedOn w:val="DefaultParagraphFont"/>
    <w:link w:val="Annotationtext"/>
    <w:uiPriority w:val="99"/>
    <w:qFormat/>
    <w:rsid w:val="00ef32ed"/>
    <w:rPr>
      <w:rFonts w:ascii="Cambria" w:hAnsi="Cambria" w:eastAsia="Cambria" w:cs="Cambria"/>
      <w:color w:val="000000"/>
      <w:sz w:val="20"/>
      <w:szCs w:val="20"/>
    </w:rPr>
  </w:style>
  <w:style w:type="character" w:styleId="CommentSubjectChar" w:customStyle="1">
    <w:name w:val="Comment Subject Char"/>
    <w:basedOn w:val="CommentTextChar"/>
    <w:link w:val="Annotationsubject"/>
    <w:uiPriority w:val="99"/>
    <w:semiHidden/>
    <w:qFormat/>
    <w:rsid w:val="00ef32ed"/>
    <w:rPr>
      <w:rFonts w:ascii="Cambria" w:hAnsi="Cambria" w:eastAsia="Cambria" w:cs="Cambria"/>
      <w:b/>
      <w:bCs/>
      <w:color w:val="000000"/>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nnotationtext">
    <w:name w:val="annotation text"/>
    <w:basedOn w:val="Normal"/>
    <w:link w:val="CommentTextChar"/>
    <w:uiPriority w:val="99"/>
    <w:unhideWhenUsed/>
    <w:qFormat/>
    <w:rsid w:val="00ef32e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f32ed"/>
    <w:pPr/>
    <w:rPr>
      <w:b/>
      <w:bCs/>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Harshavardhan-BV/rev-XCI" TargetMode="External"/><Relationship Id="rId5" Type="http://schemas.openxmlformats.org/officeDocument/2006/relationships/hyperlink" Target="https://doi.org/https://doi.org/10.1016/j.isci.2022.104465" TargetMode="External"/><Relationship Id="rId6" Type="http://schemas.openxmlformats.org/officeDocument/2006/relationships/hyperlink" Target="https://doi.org/https://doi.org/10.1016/j.isci.2022.104465"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LibreOffice/7.4.5.1$Linux_X86_64 LibreOffice_project/40$Build-1</Application>
  <AppVersion>15.0000</AppVersion>
  <Pages>4</Pages>
  <Words>1563</Words>
  <Characters>8566</Characters>
  <CharactersWithSpaces>10091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2023-02-27T10:04:00Z</dcterms:created>
  <dc:creator>Kishore Hari</dc:creator>
  <dc:description/>
  <dc:language>en-IN</dc:language>
  <cp:lastModifiedBy/>
  <dcterms:modified xsi:type="dcterms:W3CDTF">2023-02-27T17:18:30Z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