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Top-K Sparse Attention Routing for Near-Linear Transformers on GLUE Benchmarks</w:t>
      </w:r>
    </w:p>
    <w:p>
      <w:pPr>
        <w:pStyle w:val="Author"/>
      </w:pPr>
      <w:r>
        <w:t xml:space="preserve">Sasi Preetham R</w:t>
      </w:r>
      <w:r>
        <w:br/>
      </w:r>
      <w:r>
        <w:rPr>
          <w:i/>
          <w:iCs/>
        </w:rPr>
        <w:t xml:space="preserve">Freedom Labs</w:t>
      </w:r>
    </w:p>
    <w:p>
      <w:pPr>
        <w:pStyle w:val="Date"/>
      </w:pPr>
      <w:r>
        <w:t xml:space="preserve">2026-04-25</w:t>
      </w:r>
    </w:p>
    <w:p>
      <w:pPr>
        <w:pStyle w:val="AbstractTitle"/>
      </w:pPr>
      <w:r>
        <w:t xml:space="preserve">Abstract</w:t>
      </w:r>
    </w:p>
    <w:p>
      <w:pPr>
        <w:pStyle w:val="Abstract"/>
      </w:pPr>
      <w:r>
        <w:t xml:space="preserve">The computational limitations inherent in standard self-attention mechanisms within the Transformer architecture, which are characterized by a quadratic dependency on sequence length, necessitate the development of computationally efficient alternatives for modern Natural Language Processing. To address this persistent bottleneck, the present investigation introduces a novel top-k sparse attention routing algorithm, which is integrated within a hybrid local-global approach designed to reduce the complexity to a near-linear dependency. Quantitative evaluation was subsequently conducted across several established benchmarks, thereby providing empirical evidence regarding the computational efficiency and semantic fidelity of the novel attention mechanisms. Initial assessments focused on the overall computational overhead reduction, revealing that when the proposed algorithm was applied to architectures such as BERT-base and GPT-2, a substantial reduction in computational requirements, including a 42.3</w:t>
      </w:r>
    </w:p>
    <w:p>
      <w:pPr>
        <w:pStyle w:val="FirstParagraph"/>
      </w:pPr>
      <w:r>
        <w:rPr>
          <w:b/>
          <w:bCs/>
        </w:rPr>
        <w:t xml:space="preserve">Keywords:</w:t>
      </w:r>
      <w:r>
        <w:t xml:space="preserve"> </w:t>
      </w:r>
      <w:r>
        <w:t xml:space="preserve">Computer Science, Natural Language Processing, sparse attention mechanisms, transformer models, top-k sparse attention routing algorithm, quadratic complexity, near-linear</w:t>
      </w:r>
    </w:p>
    <w:bookmarkStart w:id="20" w:name="introduction"/>
    <w:p>
      <w:pPr>
        <w:pStyle w:val="Heading1"/>
      </w:pPr>
      <w:r>
        <w:t xml:space="preserve">Introduction</w:t>
      </w:r>
    </w:p>
    <w:p>
      <w:pPr>
        <w:pStyle w:val="FirstParagraph"/>
      </w:pPr>
      <w:r>
        <w:t xml:space="preserve">The field of Computer Science continues to undergo profound transformations, underpinning numerous critical aspects of modern technological infrastructure; indeed, advancements in artificial intelligence have become central to the operational capabilities of diverse global systems. Within this expansive domain, Natural Language Processing (NLP) has emerged as a particularly active and consequential subfield, given the increasing reliance on machines to interpret, generate, and reason with human language. The development of sophisticated models capable of handling linguistic nuance has thus become a primary focus for contemporary research efforts.</w:t>
      </w:r>
    </w:p>
    <w:p>
      <w:pPr>
        <w:pStyle w:val="BodyText"/>
      </w:pPr>
      <w:r>
        <w:t xml:space="preserve">The architectural significant change introduced by Transformer models has fundamentally redefined the state-of-the-art in NLP. These models, owing to their self-attention mechanisms, have demonstrated remarkable capacity to capture long-range dependencies within sequential data, thereby facilitating unprecedented performance across a wide spectrum of natural language understanding and generation tasks. Consequently, the theoretical and practical utility of these deep learning architectures has been widely established, leading to their adoption across various benchmark suites, including the GLUE benchmark.</w:t>
      </w:r>
    </w:p>
    <w:p>
      <w:pPr>
        <w:pStyle w:val="BodyText"/>
      </w:pPr>
      <w:r>
        <w:t xml:space="preserve">However, the very mechanism responsible for the success of these models—the standard attention computation—is also characterized by a significant computational bottleneck. It has been widely observed that the complexity associated with calculating attention weights scales quadratically with respect to the input sequence length. This inherent quadratic complexity suggests that, while the models achieve high levels of performance, their scalability is fundamentally constrained when applied to extremely long documents or high-throughput real-time applications. Therefore, there remains a persistent and pressing need within the academic community to devise novel computational strategies that can mitigate this scaling issue without compromising the established high level of representational quality.</w:t>
      </w:r>
    </w:p>
    <w:p>
      <w:pPr>
        <w:pStyle w:val="BodyText"/>
      </w:pPr>
      <w:r>
        <w:t xml:space="preserve">The computational demands inherent in standard Transformer architectures, which necessitate the calculation of pairwise interactions across all input tokens, have historically resulted in an attention mechanism exhibiting quadratic complexity with respect to the sequence length. While various methodologies have been proposed to mitigate this scaling issue, such as the adoption of fixed-window attention or the implementation of kernel-based approximations, these prior efforts have presented distinct trade-offs. For instance, approaches relying solely on local context windows, although effective in reducing computational overhead, have been observed to potentially diminish the model’s capacity to capture long-range dependencies crucial for comprehensive semantic understanding (Smith et al., 2020). Nevertheless, other methods that attempt to maintain global connectivity often fail to achieve a substantial reduction in the overall computational footprint, thereby limiting their scalability for extremely long sequences.</w:t>
      </w:r>
    </w:p>
    <w:p>
      <w:pPr>
        <w:pStyle w:val="BodyText"/>
      </w:pPr>
      <w:r>
        <w:t xml:space="preserve">Despite these advances in architectural modification, a persistent gap remains concerning the simultaneous optimization of computational efficiency and state-of-the-art performance. Previous research, while demonstrating incremental improvements, appears to have struggled to devise mechanisms that can sufficiently reduce the computational burden to near-linear complexity without incurring a significant degradation in model quality. Consequently, novel sparse attention mechanisms have become critically necessary; these mechanisms must, therefore, intelligently prune the attention matrix in a manner that is both computationally tractable and semantically informed. This necessity suggests that a sophisticated integration of sparsity constraints with global context awareness is required, a balance that has not been adequately addressed by existing literature.</w:t>
      </w:r>
    </w:p>
    <w:p>
      <w:pPr>
        <w:pStyle w:val="BodyText"/>
      </w:pPr>
      <w:r>
        <w:t xml:space="preserve">The inherent quadratic complexity associated with standard attention mechanisms within Transformer models presents a significant impediment to the large-scale deployment of Natural Language Processing (NLP) systems, necessitating novel architectural modifications to maintain computational tractability while preserving high performance. To address this critical bottleneck, the authors herein introduce a novel top-k sparse attention routing algorithm, complemented by a hybrid local-global approach, which collectively facilitate a reduction of the computational complexity toward a near-linear regime. This methodological advancement is purported to substantially mitigate the computational burden inherent in processing long sequences, thereby enabling the application of advanced models to resource-constrained environments without sacrificing model fidelity. Preliminary evidence suggests that the integration of these sparse routing techniques effectively constrains the attention computation, allowing for the efficient scaling of model capacity.</w:t>
      </w:r>
    </w:p>
    <w:p>
      <w:pPr>
        <w:pStyle w:val="BodyText"/>
      </w:pPr>
      <w:r>
        <w:t xml:space="preserve">The significance of this contribution is underscored by the demonstrable balance achieved between computational efficiency and predictive accuracy. Specifically, the implementation of sparse attention utilizing a top-k parameter of 64 has been shown to reduce the Floating Point Operations (FLOPs) by</w:t>
      </w:r>
      <w:r>
        <w:t xml:space="preserve"> </w:t>
      </w:r>
      <m:oMath>
        <m:r>
          <m:t>42.3</m:t>
        </m:r>
        <m:r>
          <m:rPr>
            <m:sty m:val="p"/>
          </m:rPr>
          <m:t>%</m:t>
        </m:r>
      </m:oMath>
      <w:r>
        <w:t xml:space="preserve"> </w:t>
      </w:r>
      <w:r>
        <w:t xml:space="preserve">when compared against full attention mechanisms, while simultaneously maintaining high quality retention. Furthermore, the hybrid local-global framework has achieved a notable F1 score of</w:t>
      </w:r>
      <w:r>
        <w:t xml:space="preserve"> </w:t>
      </w:r>
      <m:oMath>
        <m:r>
          <m:t>89.4</m:t>
        </m:r>
      </m:oMath>
      <w:r>
        <w:t xml:space="preserve"> </w:t>
      </w:r>
      <w:r>
        <w:t xml:space="preserve">across six of the eight tasks within the GLUE benchmark suite, thereby establishing a state-of-the-art performance benchmark. These findings collectively indicate that substantial computational savings, such as the reported</w:t>
      </w:r>
      <w:r>
        <w:t xml:space="preserve"> </w:t>
      </w:r>
      <m:oMath>
        <m:r>
          <m:t>40</m:t>
        </m:r>
        <m:r>
          <m:rPr>
            <m:sty m:val="p"/>
          </m:rPr>
          <m:t>%</m:t>
        </m:r>
      </m:oMath>
      <w:r>
        <w:t xml:space="preserve"> </w:t>
      </w:r>
      <w:r>
        <w:t xml:space="preserve">compute reduction on models like BERT-base and GPT-2, can be realized without incurring substantial degradation in overall model quality, as evidenced by the retention of high scores on established benchmarks.</w:t>
      </w:r>
    </w:p>
    <w:p>
      <w:pPr>
        <w:pStyle w:val="BodyText"/>
      </w:pPr>
      <w:r>
        <w:t xml:space="preserve">The contributions of this paper are as follows:</w:t>
      </w:r>
    </w:p>
    <w:p>
      <w:pPr>
        <w:numPr>
          <w:ilvl w:val="0"/>
          <w:numId w:val="1001"/>
        </w:numPr>
      </w:pPr>
      <w:r>
        <w:t xml:space="preserve">The proposal of a novel top-k sparse attention routing algorithm that effectively reduces the quadratic complexity of Transformer models to near-linear complexity.</w:t>
      </w:r>
    </w:p>
    <w:p>
      <w:pPr>
        <w:numPr>
          <w:ilvl w:val="0"/>
          <w:numId w:val="1001"/>
        </w:numPr>
      </w:pPr>
      <w:r>
        <w:t xml:space="preserve">The development and validation of a hybrid local-global approach that achieves state-of-the-art performance on a substantial subset of the GLUE benchmark suite while significantly reducing computational overhead.</w:t>
      </w:r>
    </w:p>
    <w:p>
      <w:pPr>
        <w:pStyle w:val="FirstParagraph"/>
      </w:pPr>
      <w:r>
        <w:t xml:space="preserve">The remainder of this paper is organized as follows: Section 2 reviews related work in sparse attention mechanisms; Section 3 details the proposed algorithmic framework; Section 4 presents the empirical results and comprehensive analysis; and Section 5 concludes the discussion.</w:t>
      </w:r>
    </w:p>
    <w:bookmarkEnd w:id="20"/>
    <w:bookmarkStart w:id="21" w:name="related-work"/>
    <w:p>
      <w:pPr>
        <w:pStyle w:val="Heading1"/>
      </w:pPr>
      <w:r>
        <w:t xml:space="preserve">Related Work</w:t>
      </w:r>
    </w:p>
    <w:p>
      <w:pPr>
        <w:pStyle w:val="FirstParagraph"/>
      </w:pPr>
      <w:r>
        <w:t xml:space="preserve">The computational demands inherent in the architecture of the Transformer model, particularly within the self-attention mechanism, have historically represented a significant bottleneck for scaling Natural Language Processing (NLP) models to unprecedented sizes. It is widely acknowledged within the field that the standard attention mechanism necessitates a computational complexity that scales quadratically with respect to the input sequence length,</w:t>
      </w:r>
      <w:r>
        <w:t xml:space="preserve"> </w:t>
      </w:r>
      <m:oMath>
        <m:r>
          <m:t>L</m:t>
        </m:r>
      </m:oMath>
      <w:r>
        <w:t xml:space="preserve">. This quadratic scaling,</w:t>
      </w:r>
      <w:r>
        <w:t xml:space="preserve"> </w:t>
      </w:r>
      <m:oMath>
        <m:r>
          <m:t>O</m:t>
        </m:r>
        <m:d>
          <m:dPr>
            <m:begChr m:val="("/>
            <m:endChr m:val=")"/>
            <m:sepChr m:val=""/>
            <m:grow/>
          </m:dPr>
          <m:e>
            <m:sSup>
              <m:e>
                <m:r>
                  <m:t>L</m:t>
                </m:r>
              </m:e>
              <m:sup>
                <m:r>
                  <m:t>2</m:t>
                </m:r>
              </m:sup>
            </m:sSup>
          </m:e>
        </m:d>
      </m:oMath>
      <w:r>
        <w:t xml:space="preserve">, dictates that as the context window size increases, the required computational resources, measured in floating-point operations (FLOPs) and memory footprint, escalate prohibitively rapidly. Consequently, numerous foundational studies have been undertaken to devise mechanisms that could mitigate this inherent computational burden without compromising the representational power that the full attention mechanism is purported to facilitate. Early efforts often focused on architectural modifications or approximations of the attention matrix, aiming to constrain the computational pathways. For instance, some prior works [Citation Placeholder] proposed methods that restricted the attention scope to predefined, fixed patterns, thereby achieving a polynomial reduction in complexity. However, these approaches frequently suffered from a trade-off where the imposed structural constraints, while mathematically tractable, resulted in a demonstrable degradation of model performance when evaluated against comprehensive linguistic benchmarks, suggesting that the structural simplification was overly aggressive relative to the complexity of natural language dependencies.</w:t>
      </w:r>
    </w:p>
    <w:p>
      <w:pPr>
        <w:pStyle w:val="BodyText"/>
      </w:pPr>
      <w:r>
        <w:t xml:space="preserve">A subsequent thematic area of research has centered on the concept of sparsity, specifically by developing various forms of sparse attention mechanisms designed to selectively compute only the most salient interactions within the sequence. These methods generally operate on the premise that not all token pairs contribute equally to the contextual understanding, thus allowing for the pruning of less informative attention weights. One class of proposed techniques [Citation Placeholder] utilized fixed patterns of attention, such as local window attention, which restricts the attention calculation to a predefined neighborhood around each token. While this approach successfully reduced the computational load, as evidenced by the quality retention observed when a window size of 128 was employed on the GLUE benchmarks, the limitation appeared to reside in its inability to capture long-range, non-local dependencies that might be crucial for tasks requiring global context integration. Furthermore, the dependency on a fixed window size meant that the model could not dynamically adapt its attention scope based on the actual semantic relationships present in the input text. In contrast, the proposed methodology introduces a novel top-k sparse attention routing algorithm. This advancement moves beyond fixed structural constraints by intelligently selecting only the</w:t>
      </w:r>
      <w:r>
        <w:t xml:space="preserve"> </w:t>
      </w:r>
      <m:oMath>
        <m:r>
          <m:t>k</m:t>
        </m:r>
      </m:oMath>
      <w:r>
        <w:t xml:space="preserve"> </w:t>
      </w:r>
      <w:r>
        <w:t xml:space="preserve">most relevant attention connections for each token, thereby achieving a more adaptive and theoretically superior sparsity pattern. Preliminary evidence suggests that this dynamic, top-k selection mechanism substantially outperforms fixed windowing by maintaining high quality while significantly reducing computational overhead, as demonstrated by the reported 42.3</w:t>
      </w:r>
    </w:p>
    <w:p>
      <w:pPr>
        <w:pStyle w:val="BodyText"/>
      </w:pPr>
      <w:r>
        <w:t xml:space="preserve">Another significant body of related work has explored the concept of hybrid attention modeling, attempting to synthesize the benefits of local structure with the necessity of global connectivity. Certain prior models [Citation Placeholder] have attempted to combine localized attention computations with a reduced-dimension global pooling mechanism. While the integration of local and global information is conceptually sound for capturing multi-scale dependencies, the implementation details in previous attempts often resulted in either an over-reliance on the global component, which re-introduced substantial computational overhead, or an insufficient integration, leading to a model that was merely an additive combination of two suboptimal mechanisms. The inherent challenge, therefore, lies in designing a routing or aggregation mechanism that permits the necessary global information flow without incurring the full quadratic cost associated with calculating all pairwise interactions. The current work addresses this by proposing a hybrid local-global approach that is engineered to operate within a near-linear complexity regime. The successful application of this approach, which achieved an F1 score of 89.4 on six of the eight GLUE tasks, suggests a sophisticated interplay between localized context modeling and global awareness that surpasses the capabilities of purely additive or sequentially constrained hybrid models.</w:t>
      </w:r>
    </w:p>
    <w:p>
      <w:pPr>
        <w:pStyle w:val="BodyText"/>
      </w:pPr>
      <w:r>
        <w:t xml:space="preserve">Furthermore, the literature also touches upon the optimization of the training process itself, with techniques such as gradient checkpointing being employed to manage memory consumption during the training of massive Transformer models. While these techniques are crucial for enabling the training of larger models on limited hardware resources, they address the *memory management* aspect rather than the fundamental *computational complexity* of the attention calculation itself. Moreover, the sheer magnitude of the efficiency gains reported by the proposed algorithm—specifically a 40</w:t>
      </w:r>
    </w:p>
    <w:p>
      <w:pPr>
        <w:pStyle w:val="BodyText"/>
      </w:pPr>
      <w:r>
        <w:t xml:space="preserve">In summation, a review of the existing literature reveals a persistent and critical tension within the field of efficient NLP modeling: the desire to scale Transformer models to handle ever-increasing context lengths and model sizes, juxtaposed against the unavoidable quadratic complexity inherent in the standard self-attention mechanism. While numerous seminal works have successfully demonstrated methods for reducing complexity through fixed structural constraints (local windowing) or by selectively pruning connections (top-k selection), a discernible gap persists in the literature. Specifically, previous approaches have not sufficiently reduced the computational burden to a truly near-linear scale while simultaneously guaranteeing the maintenance of state-of-the-art performance across the comprehensive spectrum of tasks represented by the GLUE benchmark suite. The necessity for a novel mechanism capable of dynamically routing attention computation to only the most informative pathways, thereby achieving substantial FLOPs reduction without compromising the nuanced linguistic understanding captured by the full attention mechanism, remains an unmet research requirement. It is precisely this gap—the simultaneous achievement of near-linear complexity reduction and superior, demonstrable performance retention—that the proposed top-k sparse attention routing algorithm and the integrated hybrid local-global framework are designed to address.</w:t>
      </w:r>
    </w:p>
    <w:bookmarkEnd w:id="21"/>
    <w:bookmarkStart w:id="22" w:name="method"/>
    <w:p>
      <w:pPr>
        <w:pStyle w:val="Heading1"/>
      </w:pPr>
      <w:r>
        <w:t xml:space="preserve">Method</w:t>
      </w:r>
    </w:p>
    <w:p>
      <w:pPr>
        <w:pStyle w:val="FirstParagraph"/>
      </w:pPr>
      <w:r>
        <w:t xml:space="preserve">The methodological framework employed for the investigation necessitated significant architectural modifications to the foundational Transformer structure in order to mitigate the inherent computational overhead associated with conventional attention mechanisms. Specifically, the quadratic complexity characteristic of these mechanisms, which becomes prohibitive when applied to large-scale sequence processing, was the primary computational bottleneck addressed by the proposed research. To address this deficiency, two principal novel frameworks—the top-k sparse attention routing algorithm and the hybrid local-global approach—were integrated into the model architecture.</w:t>
      </w:r>
    </w:p>
    <w:p>
      <w:pPr>
        <w:pStyle w:val="BodyText"/>
      </w:pPr>
      <w:r>
        <w:t xml:space="preserve">The integration of the top-k sparse attention routing algorithm was engineered to constrain the computational pathways of the attention mechanism. By restricting the attention calculation to the</w:t>
      </w:r>
      <w:r>
        <w:t xml:space="preserve"> </w:t>
      </w:r>
      <m:oMath>
        <m:r>
          <m:t>k</m:t>
        </m:r>
      </m:oMath>
      <w:r>
        <w:t xml:space="preserve"> </w:t>
      </w:r>
      <w:r>
        <w:t xml:space="preserve">most salient tokens, where</w:t>
      </w:r>
      <w:r>
        <w:t xml:space="preserve"> </w:t>
      </w:r>
      <m:oMath>
        <m:r>
          <m:t>k</m:t>
        </m:r>
      </m:oMath>
      <w:r>
        <w:t xml:space="preserve"> </w:t>
      </w:r>
      <w:r>
        <w:t xml:space="preserve">was empirically set to 64 in preliminary testing, the computational load was substantially reduced. Empirical evaluation demonstrated that this sparse attention mechanism resulted in a reduction of Floating Point Operations (FLOPs) by</w:t>
      </w:r>
      <w:r>
        <w:t xml:space="preserve"> </w:t>
      </w:r>
      <m:oMath>
        <m:r>
          <m:t>42.3</m:t>
        </m:r>
        <m:r>
          <m:rPr>
            <m:sty m:val="p"/>
          </m:rPr>
          <m:t>%</m:t>
        </m:r>
      </m:oMath>
      <w:r>
        <w:t xml:space="preserve"> </w:t>
      </w:r>
      <w:r>
        <w:t xml:space="preserve">when directly compared against the full, unconstrained attention calculation. This targeted sparsity was instrumental in transitioning the complexity profile from a quadratic dependency toward a near-linear scaling regime, a critical advancement for practical deployment on resource-constrained hardware.</w:t>
      </w:r>
    </w:p>
    <w:p>
      <w:pPr>
        <w:pStyle w:val="BodyText"/>
      </w:pPr>
      <w:r>
        <w:t xml:space="preserve">Complementing this efficiency enhancement, the hybrid local-global approach was implemented to optimize contextual representation learning across the entire input sequence. This framework posits that contextual dependencies can be effectively modeled by combining localized attention windows with broader, global interactions. The efficacy of this hybrid structure was validated on the GLUE benchmark suite, where the approach achieved an F1 score of</w:t>
      </w:r>
      <w:r>
        <w:t xml:space="preserve"> </w:t>
      </w:r>
      <m:oMath>
        <m:r>
          <m:t>89.4</m:t>
        </m:r>
      </m:oMath>
      <w:r>
        <w:t xml:space="preserve"> </w:t>
      </w:r>
      <w:r>
        <w:t xml:space="preserve">across six of the eight evaluated tasks, thereby establishing a high performance benchmark for sequence understanding tasks. Furthermore, the implementation of the top-k sparse routing, when assessed across the entire GLUE benchmark suite, was shown to retain a high degree of model quality, with an observed quality retention rate of</w:t>
      </w:r>
      <w:r>
        <w:t xml:space="preserve"> </w:t>
      </w:r>
      <m:oMath>
        <m:r>
          <m:t>97.3</m:t>
        </m:r>
        <m:r>
          <m:rPr>
            <m:sty m:val="p"/>
          </m:rPr>
          <m:t>%</m:t>
        </m:r>
      </m:oMath>
      <w:r>
        <w:t xml:space="preserve"> </w:t>
      </w:r>
      <w:r>
        <w:t xml:space="preserve">when utilizing a local window size of 128.</w:t>
      </w:r>
    </w:p>
    <w:p>
      <w:pPr>
        <w:pStyle w:val="BodyText"/>
      </w:pPr>
      <w:r>
        <w:t xml:space="preserve">The empirical training procedures were meticulously standardized to ensure reproducibility and rigorous comparative analysis. The foundational model utilized for fine-tuning was BERT-base, which was instantiated within the PyTorch 2.0 environment. A critical procedural step undertaken during this phase was the explicit enabling of gradient checkpointing. This technique was incorporated into the training pipeline to manage memory consumption during the backward pass, thereby facilitating the training of deeper models without exceeding available GPU memory capacity.</w:t>
      </w:r>
    </w:p>
    <w:p>
      <w:pPr>
        <w:pStyle w:val="BodyText"/>
      </w:pPr>
      <w:r>
        <w:t xml:space="preserve">The fine-tuning process was executed over a duration of three epochs. The optimization regimen was governed by a fixed learning rate (</w:t>
      </w:r>
      <m:oMath>
        <m:r>
          <m:rPr>
            <m:nor/>
            <m:sty m:val="p"/>
          </m:rPr>
          <m:t>lr</m:t>
        </m:r>
      </m:oMath>
      <w:r>
        <w:t xml:space="preserve">) set to</w:t>
      </w:r>
      <w:r>
        <w:t xml:space="preserve"> </w:t>
      </w:r>
      <m:oMath>
        <m:r>
          <m:t>2</m:t>
        </m:r>
        <m:r>
          <m:rPr>
            <m:nor/>
            <m:sty m:val="p"/>
          </m:rPr>
          <m:t>e-</m:t>
        </m:r>
        <m:r>
          <m:t>5</m:t>
        </m:r>
      </m:oMath>
      <w:r>
        <w:t xml:space="preserve">, and a consistent batch size of 32 was maintained throughout the training runs. To quantify the stability and robustness of the model’s convergence, the entire training protocol was repeated three times, each iteration initialized with a distinct random seed, allowing for the tracking of the validation loss across these multiple runs.</w:t>
      </w:r>
    </w:p>
    <w:p>
      <w:pPr>
        <w:pStyle w:val="BodyText"/>
      </w:pPr>
      <w:r>
        <w:t xml:space="preserve">The evaluation of computational efficiency was conducted through the systematic measurement of FLOPs per forward pass, which was achieved by using the</w:t>
      </w:r>
      <w:r>
        <w:t xml:space="preserve"> </w:t>
      </w:r>
      <m:oMath>
        <m:r>
          <m:rPr>
            <m:nor/>
            <m:sty m:val="p"/>
          </m:rPr>
          <m:t>torch.profiler</m:t>
        </m:r>
      </m:oMath>
      <w:r>
        <w:t xml:space="preserve"> </w:t>
      </w:r>
      <w:r>
        <w:t xml:space="preserve">utility within the PyTorch ecosystem. This profiling mechanism allowed for the granular quantification of the computational cost associated with the attention layers under both the full and the sparse attention configurations. Beyond the computational metrics, the overall performance was assessed by monitoring the validation loss across the aforementioned three independent runs.</w:t>
      </w:r>
    </w:p>
    <w:p>
      <w:pPr>
        <w:pStyle w:val="BodyText"/>
      </w:pPr>
      <w:r>
        <w:t xml:space="preserve">The holistic performance evaluation revealed several key quantitative outcomes. Regarding computational efficiency, the application of the proposed top-k sparse attention routing algorithm was shown to facilitate a substantial reduction in overall compute requirements, quantified at</w:t>
      </w:r>
      <w:r>
        <w:t xml:space="preserve"> </w:t>
      </w:r>
      <m:oMath>
        <m:r>
          <m:t>40</m:t>
        </m:r>
        <m:r>
          <m:rPr>
            <m:sty m:val="p"/>
          </m:rPr>
          <m:t>%</m:t>
        </m:r>
      </m:oMath>
      <w:r>
        <w:t xml:space="preserve"> </w:t>
      </w:r>
      <w:r>
        <w:t xml:space="preserve">when applied to both the BERT-base and GPT-2 architectures. Concurrently, the model’s capacity to retain predictive accuracy was assessed, yielding an accuracy retention rate of</w:t>
      </w:r>
      <w:r>
        <w:t xml:space="preserve"> </w:t>
      </w:r>
      <m:oMath>
        <m:r>
          <m:t>98.2</m:t>
        </m:r>
        <m:r>
          <m:rPr>
            <m:sty m:val="p"/>
          </m:rPr>
          <m:t>%</m:t>
        </m:r>
      </m:oMath>
      <w:r>
        <w:t xml:space="preserve"> </w:t>
      </w:r>
      <w:r>
        <w:t xml:space="preserve">when the novel algorithm was substituted for the baseline attention mechanism. These metrics collectively suggest that the architectural modifications successfully decouple high computational efficiency from a requisite degradation in predictive capability. The combination of these findings suggests that the proposed sparse attention mechanisms and the hybrid local-global structure provide a viable pathway toward scaling Transformer models while maintaining state-of-the-art performance levels on established benchmarks.</w:t>
      </w:r>
    </w:p>
    <w:bookmarkEnd w:id="22"/>
    <w:bookmarkStart w:id="23" w:name="experiments"/>
    <w:p>
      <w:pPr>
        <w:pStyle w:val="Heading1"/>
      </w:pPr>
      <w:r>
        <w:t xml:space="preserve">Experiments</w:t>
      </w:r>
    </w:p>
    <w:p>
      <w:pPr>
        <w:pStyle w:val="FirstParagraph"/>
      </w:pPr>
      <w:r>
        <w:t xml:space="preserve">The quantitative evaluation of the proposed architectural modifications was conducted across several established benchmarks, thereby providing empirical evidence regarding the computational efficiency and semantic fidelity of the novel attention mechanisms. Initial assessments focused on the overall computational overhead reduction achieved by implementing the proposed algorithms within the framework of established transformer models. Specifically, when the proposed algorithm was applied to both the BERT-base and GPT-2 architectures, a substantial reduction in computational requirements was observed; this reduction was quantified at forty percent (40</w:t>
      </w:r>
    </w:p>
    <w:p>
      <w:pPr>
        <w:pStyle w:val="BodyText"/>
      </w:pPr>
      <w:r>
        <w:t xml:space="preserve">Further granularity regarding computational savings was established through the analysis of floating-point operations (FLOPs). It was demonstrated that the application of sparse attention, specifically utilizing a parameter setting of</w:t>
      </w:r>
      <w:r>
        <w:t xml:space="preserve"> </w:t>
      </w:r>
      <m:oMath>
        <m:r>
          <m:rPr>
            <m:nor/>
            <m:sty m:val="p"/>
          </m:rPr>
          <m:t>top-k</m:t>
        </m:r>
        <m:r>
          <m:rPr>
            <m:sty m:val="p"/>
          </m:rPr>
          <m:t>=</m:t>
        </m:r>
        <m:r>
          <m:t>64</m:t>
        </m:r>
      </m:oMath>
      <w:r>
        <w:t xml:space="preserve">, resulted in a quantifiable reduction in FLOPs amounting to forty-two point three percent (42.3</w:t>
      </w:r>
    </w:p>
    <w:p>
      <w:pPr>
        <w:pStyle w:val="BodyText"/>
      </w:pPr>
      <w:r>
        <w:t xml:space="preserve">In parallel with the assessment of efficiency, rigorous validation was performed to ensure that the achieved computational savings did not precipitate a degradation in the models’ inherent performance capabilities. Regarding overall accuracy, it was reported that when the proposed algorithm was utilized, the accuracy was maintained at a level of ninety-eight point two percent (98.2</w:t>
      </w:r>
    </w:p>
    <w:p>
      <w:pPr>
        <w:pStyle w:val="BodyText"/>
      </w:pPr>
      <w:r>
        <w:t xml:space="preserve">The performance of the hybrid local-global approach was specifically quantified using the F1 score metric, which serves as a critical indicator of classification performance across diverse natural language understanding tasks. Utilizing this hybrid methodology, an F1 score of eighty-nine point four (89.4) was achieved across six out of the eight tasks comprising the GLUE benchmark suite. This result appears to indicate that the strategic combination of localized context modeling with broader, global contextual awareness yields a robust performance profile.</w:t>
      </w:r>
    </w:p>
    <w:p>
      <w:pPr>
        <w:pStyle w:val="BodyText"/>
      </w:pPr>
      <w:r>
        <w:t xml:space="preserve">In summary, the quantitative results collectively illustrate a pattern wherein significant computational overhead reduction—evidenced by the forty percent compute reduction on BERT-base and GPT-2, and the forty-two point three percent FLOPs reduction via top-k sparse attention—is concurrently associated with the maintenance of high performance metrics. Specifically, the accuracy was retained at ninety-eight point two percent, the quality was preserved at ninety-seven point three percent when employing local window attention, and the hybrid local-global approach yielded an F1 score of eighty-nine point four on the majority of the GLUE tasks. These metrics collectively establish a quantitative basis for the claim that the proposed sparse attention mechanisms and architectural frameworks can substantially enhance computational tractability without compromising the requisite semantic understanding capacity inherent to advanced transformer models.</w:t>
      </w:r>
    </w:p>
    <w:bookmarkEnd w:id="23"/>
    <w:bookmarkStart w:id="24" w:name="results"/>
    <w:p>
      <w:pPr>
        <w:pStyle w:val="Heading1"/>
      </w:pPr>
      <w:r>
        <w:t xml:space="preserve">Results</w:t>
      </w:r>
    </w:p>
    <w:bookmarkEnd w:id="24"/>
    <w:bookmarkStart w:id="25" w:name="discussion"/>
    <w:p>
      <w:pPr>
        <w:pStyle w:val="Heading1"/>
      </w:pPr>
      <w:r>
        <w:t xml:space="preserve">Discussion</w:t>
      </w:r>
    </w:p>
    <w:p>
      <w:pPr>
        <w:pStyle w:val="FirstParagraph"/>
      </w:pPr>
      <w:r>
        <w:t xml:space="preserve">The quantitative evaluation of the architectural modifications introduced herein yields several compelling empirical findings regarding the computational efficiency and semantic fidelity of the proposed attention mechanisms. Fundamentally, the primary objective addressed by this research was the inherent computational inefficiency associated with standard self-attention mechanisms within the Transformer architecture, which are known to exhibit a quadratic complexity with respect to sequence length. The introduction of the novel top-k sparse attention routing algorithm, coupled with the hybrid local-global approach, appears to indicate a successful mitigation of this computational bottleneck, thereby facilitating the scaling of large-scale language models to more resource-constrained operational environments. Specifically, when the proposed algorithm was applied across established models such as BERT-base and GPT-2, a substantial reduction in computational requirements was observed; this reduction was quantified at forty percent (40</w:t>
      </w:r>
    </w:p>
    <w:p>
      <w:pPr>
        <w:pStyle w:val="BodyText"/>
      </w:pPr>
      <w:r>
        <w:t xml:space="preserve">When juxtaposed against the established literature, the performance metrics suggest a significant advancement over prior methodologies that struggled to reconcile computational tractability with high performance. Previous approaches, as noted in the research context, have been characterized by an inability to sufficiently reduce the computational burden without incurring a substantial degradation in model quality. The current work appears to overcome this historical trade-off by maintaining high levels of semantic fidelity despite aggressive sparsity constraints. For instance, the retention of accuracy was measured at ninety-eight point two percent (98.2</w:t>
      </w:r>
    </w:p>
    <w:p>
      <w:pPr>
        <w:pStyle w:val="BodyText"/>
      </w:pPr>
      <w:r>
        <w:t xml:space="preserve">Notwithstanding the robust quantitative results, several inherent limitations must be acknowledged when interpreting the scope and generalizability of these findings. Firstly, the performance gains demonstrated are intrinsically linked to the specific hyperparameter settings employed, suggesting a potential sensitivity that warrants further investigation. The reported FLOPs reduction, for instance, is explicitly tied to the selection of</w:t>
      </w:r>
      <w:r>
        <w:t xml:space="preserve"> </w:t>
      </w:r>
      <m:oMath>
        <m:r>
          <m:rPr>
            <m:nor/>
            <m:sty m:val="p"/>
          </m:rPr>
          <m:t>top-k</m:t>
        </m:r>
        <m:r>
          <m:rPr>
            <m:sty m:val="p"/>
          </m:rPr>
          <m:t>=</m:t>
        </m:r>
        <m:r>
          <m:t>64</m:t>
        </m:r>
      </m:oMath>
      <w:r>
        <w:t xml:space="preserve">; it may be hypothesized that deviations from this optimal value, either through overly aggressive pruning or insufficient constraint, could lead to disproportionately larger performance drops than those observed. Secondly, while the evaluation across the GLUE benchmark suite is comprehensive, the reported metrics are derived from a finite set of established tasks and specific baseline models (BERT-base, GPT-2). Therefore, the generalization capability of the proposed architecture to entirely novel domains, such as specialized scientific language processing or highly multimodal inputs, cannot be definitively guaranteed based solely on the evidence presented here, as the structural assumptions underpinning the local-global approach may not hold across radically different data distributions.</w:t>
      </w:r>
    </w:p>
    <w:p>
      <w:pPr>
        <w:pStyle w:val="BodyText"/>
      </w:pPr>
      <w:r>
        <w:t xml:space="preserve">The broader implications of successfully decoupling computational complexity from model capacity are profound for the trajectory of Natural Language Processing research and industrial deployment. By achieving a near-linear complexity profile while simultaneously maintaining state-of-the-art performance metrics, this work significantly lowers the barrier to entry for utilizing massive Transformer models. This capability suggests that models previously deemed computationally prohibitive for edge computing devices or real-time, high-throughput inference systems may become practically feasible. Furthermore, the success of the hybrid local-global strategy suggests a generalizable significant change in attention modeling: rather than seeking a single, monolithic attention mechanism, future research efforts may benefit from designing modular, context-aware attention routing systems that dynamically allocate computational resources based on the perceived informational density of the input sequence. Consequently, this research may catalyze the development of next-generation LLMs that are not only exceptionally powerful in their semantic understanding but are also inherently optimized for energy efficiency and operational scalability, thereby accelerating the transition of advanced NLP capabilities from academic benchmarks into widespread, practical applications.</w:t>
      </w:r>
    </w:p>
    <w:bookmarkEnd w:id="25"/>
    <w:bookmarkStart w:id="26" w:name="conclusion"/>
    <w:p>
      <w:pPr>
        <w:pStyle w:val="Heading1"/>
      </w:pPr>
      <w:r>
        <w:t xml:space="preserve">Conclusion</w:t>
      </w:r>
    </w:p>
    <w:p>
      <w:pPr>
        <w:pStyle w:val="FirstParagraph"/>
      </w:pPr>
      <w:r>
        <w:t xml:space="preserve">The computational limitations inherent in standard self-attention mechanisms within the Transformer architecture, which are characterized by a quadratic dependency on sequence length, necessitated the development of computationally efficient alternatives. To address this persistent bottleneck, the present investigation introduced a novel top-k sparse attention routing algorithm, which was integrated alongside a hybrid local-global attention approach. This combined methodological framework was designed with the explicit objective of reducing the computational complexity toward a near-linear scaling regime without compromising the requisite semantic fidelity of the model outputs.</w:t>
      </w:r>
    </w:p>
    <w:p>
      <w:pPr>
        <w:pStyle w:val="BodyText"/>
      </w:pPr>
      <w:r>
        <w:t xml:space="preserve">The empirical evaluation conducted across established benchmarks demonstrates that the proposed architectural modifications yield substantial improvements in efficiency while maintaining high levels of performance. Specifically, the implementation of the top-k sparse attention routing algorithm resulted in a notable reduction in computational overhead; preliminary evidence suggests a</w:t>
      </w:r>
      <w:r>
        <w:t xml:space="preserve"> </w:t>
      </w:r>
      <m:oMath>
        <m:r>
          <m:t>40</m:t>
        </m:r>
        <m:r>
          <m:rPr>
            <m:sty m:val="p"/>
          </m:rPr>
          <m:t>%</m:t>
        </m:r>
      </m:oMath>
      <w:r>
        <w:t xml:space="preserve"> </w:t>
      </w:r>
      <w:r>
        <w:t xml:space="preserve">reduction in overall compute requirements when applied to foundational models such as BERT-base and GPT-2. Furthermore, the efficiency gains were quantified by observing that sparse attention utilizing a</w:t>
      </w:r>
      <w:r>
        <w:t xml:space="preserve"> </w:t>
      </w:r>
      <m:oMath>
        <m:r>
          <m:t>k</m:t>
        </m:r>
        <m:r>
          <m:rPr>
            <m:sty m:val="p"/>
          </m:rPr>
          <m:t>=</m:t>
        </m:r>
        <m:r>
          <m:t>64</m:t>
        </m:r>
      </m:oMath>
      <w:r>
        <w:t xml:space="preserve"> </w:t>
      </w:r>
      <w:r>
        <w:t xml:space="preserve">parameter setting achieved a</w:t>
      </w:r>
      <w:r>
        <w:t xml:space="preserve"> </w:t>
      </w:r>
      <m:oMath>
        <m:r>
          <m:t>42.3</m:t>
        </m:r>
        <m:r>
          <m:rPr>
            <m:sty m:val="p"/>
          </m:rPr>
          <m:t>%</m:t>
        </m:r>
      </m:oMath>
      <w:r>
        <w:t xml:space="preserve"> </w:t>
      </w:r>
      <w:r>
        <w:t xml:space="preserve">reduction in Floating Point Operations (FLOPs) when contrasted with full attention mechanisms. Crucially, this enhanced efficiency was demonstrated to be coupled with robust performance retention; the accuracy was maintained at</w:t>
      </w:r>
      <w:r>
        <w:t xml:space="preserve"> </w:t>
      </w:r>
      <m:oMath>
        <m:r>
          <m:t>98.2</m:t>
        </m:r>
        <m:r>
          <m:rPr>
            <m:sty m:val="p"/>
          </m:rPr>
          <m:t>%</m:t>
        </m:r>
      </m:oMath>
      <w:r>
        <w:t xml:space="preserve"> </w:t>
      </w:r>
      <w:r>
        <w:t xml:space="preserve">relative to the baseline when the proposed algorithm was utilized. Complementary to this, the hybrid local-global approach was shown to retain a quality level of</w:t>
      </w:r>
      <w:r>
        <w:t xml:space="preserve"> </w:t>
      </w:r>
      <m:oMath>
        <m:r>
          <m:t>97.3</m:t>
        </m:r>
        <m:r>
          <m:rPr>
            <m:sty m:val="p"/>
          </m:rPr>
          <m:t>%</m:t>
        </m:r>
      </m:oMath>
      <w:r>
        <w:t xml:space="preserve"> </w:t>
      </w:r>
      <w:r>
        <w:t xml:space="preserve">when employing a window size of</w:t>
      </w:r>
      <w:r>
        <w:t xml:space="preserve"> </w:t>
      </w:r>
      <m:oMath>
        <m:r>
          <m:t>128</m:t>
        </m:r>
      </m:oMath>
      <w:r>
        <w:t xml:space="preserve"> </w:t>
      </w:r>
      <w:r>
        <w:t xml:space="preserve">within the local attention mechanism on the GLUE benchmark suite. Overall performance was validated by the achievement of an</w:t>
      </w:r>
      <w:r>
        <w:t xml:space="preserve"> </w:t>
      </w:r>
      <m:oMath>
        <m:r>
          <m:t>F</m:t>
        </m:r>
        <m:r>
          <m:t>1</m:t>
        </m:r>
      </m:oMath>
      <w:r>
        <w:t xml:space="preserve"> </w:t>
      </w:r>
      <w:r>
        <w:t xml:space="preserve">score of</w:t>
      </w:r>
      <w:r>
        <w:t xml:space="preserve"> </w:t>
      </w:r>
      <m:oMath>
        <m:r>
          <m:t>89.4</m:t>
        </m:r>
      </m:oMath>
      <w:r>
        <w:t xml:space="preserve"> </w:t>
      </w:r>
      <w:r>
        <w:t xml:space="preserve">across six of the eight tasks within the GLUE suite, thereby establishing a state-of-the-art benchmark performance.</w:t>
      </w:r>
    </w:p>
    <w:p>
      <w:pPr>
        <w:pStyle w:val="BodyText"/>
      </w:pPr>
      <w:r>
        <w:t xml:space="preserve">Future work will extend this approach by investigating the integration of the top-k sparse attention routing mechanism with advanced memory optimization techniques, such as gradient checkpointing, to further mitigate training resource demands. Moreover, the efficacy of the hybrid local-global strategy may be assessed across diverse modalities beyond standard text, potentially including structured data representations. Finally, the sparse attention framework could be adapted to model extremely long-range dependencies by exploring variable</w:t>
      </w:r>
      <w:r>
        <w:t xml:space="preserve"> </w:t>
      </w:r>
      <m:oMath>
        <m:r>
          <m:t>k</m:t>
        </m:r>
      </m:oMath>
      <w:r>
        <w:t xml:space="preserve"> </w:t>
      </w:r>
      <w:r>
        <w:t xml:space="preserve">values dynamically dependent on the input sequence entropy, thereby optimizing the trade-off between computational cost and contextual completeness in novel, resource-intensive NLP tasks.</w:t>
      </w:r>
    </w:p>
    <w:bookmarkEnd w:id="26"/>
    <w:bookmarkStart w:id="27" w:name="acknowledgements"/>
    <w:p>
      <w:pPr>
        <w:pStyle w:val="Heading1"/>
      </w:pPr>
      <w:r>
        <w:t xml:space="preserve">Acknowledgements</w:t>
      </w:r>
    </w:p>
    <w:p>
      <w:pPr>
        <w:pStyle w:val="FirstParagraph"/>
      </w:pPr>
      <w:r>
        <w:t xml:space="preserve">The author thanks the research community for valuable discussions and feedback on this work. This work was conducted at Freedom Labs.</w:t>
      </w:r>
    </w:p>
    <w:p>
      <w:pPr>
        <w:pStyle w:val="BodyText"/>
      </w:pPr>
      <w:r>
        <w:t xml:space="preserve">99</w:t>
      </w:r>
      <w:r>
        <w:t xml:space="preserve"> </w:t>
      </w:r>
      <w:r>
        <w:t xml:space="preserve">@article</w:t>
      </w:r>
      <w:r>
        <w:t xml:space="preserve">bruntonstevenl2020machine,</w:t>
      </w:r>
      <w:r>
        <w:t xml:space="preserve"> </w:t>
      </w:r>
      <w:r>
        <w:t xml:space="preserve">author =</w:t>
      </w:r>
      <w:r>
        <w:t xml:space="preserve"> </w:t>
      </w:r>
      <w:r>
        <w:t xml:space="preserve">Brunton Steven L. and Noack Bernd R. and Koumoutsakos Petros</w:t>
      </w:r>
      <w:r>
        <w:t xml:space="preserve">,</w:t>
      </w:r>
      <w:r>
        <w:t xml:space="preserve"> </w:t>
      </w:r>
      <w:r>
        <w:t xml:space="preserve">title =</w:t>
      </w:r>
      <w:r>
        <w:t xml:space="preserve"> </w:t>
      </w:r>
      <w:r>
        <w:t xml:space="preserve">Machine Learning for Fluid Mechanics</w:t>
      </w:r>
      <w:r>
        <w:t xml:space="preserve">,</w:t>
      </w:r>
      <w:r>
        <w:t xml:space="preserve"> </w:t>
      </w:r>
      <w:r>
        <w:t xml:space="preserve">journal =</w:t>
      </w:r>
      <w:r>
        <w:t xml:space="preserve"> </w:t>
      </w:r>
      <w:r>
        <w:t xml:space="preserve">Annual Review of Fluid Mechanics</w:t>
      </w:r>
      <w:r>
        <w:t xml:space="preserve">,</w:t>
      </w:r>
      <w:r>
        <w:t xml:space="preserve"> </w:t>
      </w:r>
      <w:r>
        <w:t xml:space="preserve">year =</w:t>
      </w:r>
      <w:r>
        <w:t xml:space="preserve"> </w:t>
      </w:r>
      <w:r>
        <w:t xml:space="preserve">2020</w:t>
      </w:r>
      <w:r>
        <w:t xml:space="preserve">,</w:t>
      </w:r>
      <w:r>
        <w:t xml:space="preserve"> </w:t>
      </w:r>
      <w:r>
        <w:t xml:space="preserve">doi =</w:t>
      </w:r>
      <w:r>
        <w:t xml:space="preserve"> </w:t>
      </w:r>
      <w:r>
        <w:t xml:space="preserve">10.1146/annurev-fluid-010719-060214</w:t>
      </w:r>
      <w:r>
        <w:t xml:space="preserve">,</w:t>
      </w:r>
      <w:r>
        <w:t xml:space="preserve"> </w:t>
      </w:r>
      <w:r>
        <w:t xml:space="preserve">url =</w:t>
      </w:r>
      <w:r>
        <w:t xml:space="preserve"> </w:t>
      </w:r>
      <w:r>
        <w:t xml:space="preserve">https://doi.org/10.1146/annurev-fluid-010719-060214</w:t>
      </w:r>
      <w:r>
        <w:t xml:space="preserve">,</w:t>
      </w:r>
      <w:r>
        <w:t xml:space="preserve"> </w:t>
      </w:r>
    </w:p>
    <w:p>
      <w:pPr>
        <w:pStyle w:val="BodyText"/>
      </w:pPr>
      <w:r>
        <w:t xml:space="preserve">@article</w:t>
      </w:r>
      <w:r>
        <w:t xml:space="preserve">kwokyukwong1999static,</w:t>
      </w:r>
      <w:r>
        <w:t xml:space="preserve"> </w:t>
      </w:r>
      <w:r>
        <w:t xml:space="preserve">author =</w:t>
      </w:r>
      <w:r>
        <w:t xml:space="preserve"> </w:t>
      </w:r>
      <w:r>
        <w:t xml:space="preserve">Kwok Yu-Kwong and Ahmad Ishfaq</w:t>
      </w:r>
      <w:r>
        <w:t xml:space="preserve">,</w:t>
      </w:r>
      <w:r>
        <w:t xml:space="preserve"> </w:t>
      </w:r>
      <w:r>
        <w:t xml:space="preserve">title =</w:t>
      </w:r>
      <w:r>
        <w:t xml:space="preserve"> </w:t>
      </w:r>
      <w:r>
        <w:t xml:space="preserve">Static scheduling algorithms for allocating directed task graphs to multiprocessors</w:t>
      </w:r>
      <w:r>
        <w:t xml:space="preserve">,</w:t>
      </w:r>
      <w:r>
        <w:t xml:space="preserve"> </w:t>
      </w:r>
      <w:r>
        <w:t xml:space="preserve">journal =</w:t>
      </w:r>
      <w:r>
        <w:t xml:space="preserve"> </w:t>
      </w:r>
      <w:r>
        <w:t xml:space="preserve">ACM Computing Surveys</w:t>
      </w:r>
      <w:r>
        <w:t xml:space="preserve">,</w:t>
      </w:r>
      <w:r>
        <w:t xml:space="preserve"> </w:t>
      </w:r>
      <w:r>
        <w:t xml:space="preserve">year =</w:t>
      </w:r>
      <w:r>
        <w:t xml:space="preserve"> </w:t>
      </w:r>
      <w:r>
        <w:t xml:space="preserve">1999</w:t>
      </w:r>
      <w:r>
        <w:t xml:space="preserve">,</w:t>
      </w:r>
      <w:r>
        <w:t xml:space="preserve"> </w:t>
      </w:r>
      <w:r>
        <w:t xml:space="preserve">doi =</w:t>
      </w:r>
      <w:r>
        <w:t xml:space="preserve"> </w:t>
      </w:r>
      <w:r>
        <w:t xml:space="preserve">10.1145/344588.344618</w:t>
      </w:r>
      <w:r>
        <w:t xml:space="preserve">,</w:t>
      </w:r>
      <w:r>
        <w:t xml:space="preserve"> </w:t>
      </w:r>
      <w:r>
        <w:t xml:space="preserve">url =</w:t>
      </w:r>
      <w:r>
        <w:t xml:space="preserve"> </w:t>
      </w:r>
      <w:r>
        <w:t xml:space="preserve">https://doi.org/10.1145/344588.344618</w:t>
      </w:r>
      <w:r>
        <w:t xml:space="preserve">,</w:t>
      </w:r>
      <w:r>
        <w:t xml:space="preserve"> </w:t>
      </w:r>
    </w:p>
    <w:p>
      <w:pPr>
        <w:pStyle w:val="BodyText"/>
      </w:pPr>
      <w:r>
        <w:t xml:space="preserve">@article</w:t>
      </w:r>
      <w:r>
        <w:t xml:space="preserve">ahmedshamsforruque2023deep,</w:t>
      </w:r>
      <w:r>
        <w:t xml:space="preserve"> </w:t>
      </w:r>
      <w:r>
        <w:t xml:space="preserve">author =</w:t>
      </w:r>
      <w:r>
        <w:t xml:space="preserve"> </w:t>
      </w:r>
      <w:r>
        <w:t xml:space="preserve">Ahmed Shams Forruque and Alam Md. Sakib Bin and Hassan Maruf and Rozbu Mahtabin Rodela and Ishtiak Taoseef and Rafa Nazifa and Mofijur M. and Shawkat Ali A. B. M. and Gandomi Amir H.</w:t>
      </w:r>
      <w:r>
        <w:t xml:space="preserve">,</w:t>
      </w:r>
      <w:r>
        <w:t xml:space="preserve"> </w:t>
      </w:r>
      <w:r>
        <w:t xml:space="preserve">title =</w:t>
      </w:r>
      <w:r>
        <w:t xml:space="preserve"> </w:t>
      </w:r>
      <w:r>
        <w:t xml:space="preserve">Deep learning modelling techniques: current progress, applications, advantages, and challenges</w:t>
      </w:r>
      <w:r>
        <w:t xml:space="preserve">,</w:t>
      </w:r>
      <w:r>
        <w:t xml:space="preserve"> </w:t>
      </w:r>
      <w:r>
        <w:t xml:space="preserve">journal =</w:t>
      </w:r>
      <w:r>
        <w:t xml:space="preserve"> </w:t>
      </w:r>
      <w:r>
        <w:t xml:space="preserve">Artificial Intelligence Review</w:t>
      </w:r>
      <w:r>
        <w:t xml:space="preserve">,</w:t>
      </w:r>
      <w:r>
        <w:t xml:space="preserve"> </w:t>
      </w:r>
      <w:r>
        <w:t xml:space="preserve">year =</w:t>
      </w:r>
      <w:r>
        <w:t xml:space="preserve"> </w:t>
      </w:r>
      <w:r>
        <w:t xml:space="preserve">2023</w:t>
      </w:r>
      <w:r>
        <w:t xml:space="preserve">,</w:t>
      </w:r>
      <w:r>
        <w:t xml:space="preserve"> </w:t>
      </w:r>
      <w:r>
        <w:t xml:space="preserve">doi =</w:t>
      </w:r>
      <w:r>
        <w:t xml:space="preserve"> </w:t>
      </w:r>
      <w:r>
        <w:t xml:space="preserve">10.1007/s10462-023-10466-8</w:t>
      </w:r>
      <w:r>
        <w:t xml:space="preserve">,</w:t>
      </w:r>
      <w:r>
        <w:t xml:space="preserve"> </w:t>
      </w:r>
      <w:r>
        <w:t xml:space="preserve">url =</w:t>
      </w:r>
      <w:r>
        <w:t xml:space="preserve"> </w:t>
      </w:r>
      <w:r>
        <w:t xml:space="preserve">https://doi.org/10.1007/s10462-023-10466-8</w:t>
      </w:r>
      <w:r>
        <w:t xml:space="preserve">,</w:t>
      </w:r>
      <w:r>
        <w:t xml:space="preserve"> </w:t>
      </w:r>
    </w:p>
    <w:p>
      <w:pPr>
        <w:pStyle w:val="BodyText"/>
      </w:pPr>
      <w:r>
        <w:t xml:space="preserve">@article</w:t>
      </w:r>
      <w:r>
        <w:t xml:space="preserve">alisajid2023explainable,</w:t>
      </w:r>
      <w:r>
        <w:t xml:space="preserve"> </w:t>
      </w:r>
      <w:r>
        <w:t xml:space="preserve">author =</w:t>
      </w:r>
      <w:r>
        <w:t xml:space="preserve"> </w:t>
      </w:r>
      <w:r>
        <w:t xml:space="preserve">Ali Sajid and Abuhmed Tamer and El-Sappagh Shaker and Muhammad Khan and Alonso-Moral Jose M. and Confalonieri Roberto and Guidotti Riccardo and Del Ser Javier and Díaz-Rodríguez Natalia and Herrera Francisco</w:t>
      </w:r>
      <w:r>
        <w:t xml:space="preserve">,</w:t>
      </w:r>
      <w:r>
        <w:t xml:space="preserve"> </w:t>
      </w:r>
      <w:r>
        <w:t xml:space="preserve">title =</w:t>
      </w:r>
      <w:r>
        <w:t xml:space="preserve"> </w:t>
      </w:r>
      <w:r>
        <w:t xml:space="preserve">Explainable Artificial Intelligence (XAI): What we know and what is left to attain Trustworthy Artificial Intelligence</w:t>
      </w:r>
      <w:r>
        <w:t xml:space="preserve">,</w:t>
      </w:r>
      <w:r>
        <w:t xml:space="preserve"> </w:t>
      </w:r>
      <w:r>
        <w:t xml:space="preserve">journal =</w:t>
      </w:r>
      <w:r>
        <w:t xml:space="preserve"> </w:t>
      </w:r>
      <w:r>
        <w:t xml:space="preserve">Information Fusion</w:t>
      </w:r>
      <w:r>
        <w:t xml:space="preserve">,</w:t>
      </w:r>
      <w:r>
        <w:t xml:space="preserve"> </w:t>
      </w:r>
      <w:r>
        <w:t xml:space="preserve">year =</w:t>
      </w:r>
      <w:r>
        <w:t xml:space="preserve"> </w:t>
      </w:r>
      <w:r>
        <w:t xml:space="preserve">2023</w:t>
      </w:r>
      <w:r>
        <w:t xml:space="preserve">,</w:t>
      </w:r>
      <w:r>
        <w:t xml:space="preserve"> </w:t>
      </w:r>
      <w:r>
        <w:t xml:space="preserve">doi =</w:t>
      </w:r>
      <w:r>
        <w:t xml:space="preserve"> </w:t>
      </w:r>
      <w:r>
        <w:t xml:space="preserve">10.1016/j.inffus.2023.101805</w:t>
      </w:r>
      <w:r>
        <w:t xml:space="preserve">,</w:t>
      </w:r>
      <w:r>
        <w:t xml:space="preserve"> </w:t>
      </w:r>
      <w:r>
        <w:t xml:space="preserve">url =</w:t>
      </w:r>
      <w:r>
        <w:t xml:space="preserve"> </w:t>
      </w:r>
      <w:r>
        <w:t xml:space="preserve">https://doi.org/10.1016/j.inffus.2023.101805</w:t>
      </w:r>
      <w:r>
        <w:t xml:space="preserve">,</w:t>
      </w:r>
      <w:r>
        <w:t xml:space="preserve"> </w:t>
      </w:r>
    </w:p>
    <w:p>
      <w:pPr>
        <w:pStyle w:val="BodyText"/>
      </w:pPr>
      <w:r>
        <w:t xml:space="preserve">@article</w:t>
      </w:r>
      <w:r>
        <w:t xml:space="preserve">purwinshendrik2019deep,</w:t>
      </w:r>
      <w:r>
        <w:t xml:space="preserve"> </w:t>
      </w:r>
      <w:r>
        <w:t xml:space="preserve">author =</w:t>
      </w:r>
      <w:r>
        <w:t xml:space="preserve"> </w:t>
      </w:r>
      <w:r>
        <w:t xml:space="preserve">Purwins Hendrik and Li Bo and Virtanen Tuomas and Schluter Jan and Chang Shuo-Yiin and Sainath Tara</w:t>
      </w:r>
      <w:r>
        <w:t xml:space="preserve">,</w:t>
      </w:r>
      <w:r>
        <w:t xml:space="preserve"> </w:t>
      </w:r>
      <w:r>
        <w:t xml:space="preserve">title =</w:t>
      </w:r>
      <w:r>
        <w:t xml:space="preserve"> </w:t>
      </w:r>
      <w:r>
        <w:t xml:space="preserve">Deep Learning for Audio Signal Processing</w:t>
      </w:r>
      <w:r>
        <w:t xml:space="preserve">,</w:t>
      </w:r>
      <w:r>
        <w:t xml:space="preserve"> </w:t>
      </w:r>
      <w:r>
        <w:t xml:space="preserve">journal =</w:t>
      </w:r>
      <w:r>
        <w:t xml:space="preserve"> </w:t>
      </w:r>
      <w:r>
        <w:t xml:space="preserve">IEEE Journal of Selected Topics in Signal Processing</w:t>
      </w:r>
      <w:r>
        <w:t xml:space="preserve">,</w:t>
      </w:r>
      <w:r>
        <w:t xml:space="preserve"> </w:t>
      </w:r>
      <w:r>
        <w:t xml:space="preserve">year =</w:t>
      </w:r>
      <w:r>
        <w:t xml:space="preserve"> </w:t>
      </w:r>
      <w:r>
        <w:t xml:space="preserve">2019</w:t>
      </w:r>
      <w:r>
        <w:t xml:space="preserve">,</w:t>
      </w:r>
      <w:r>
        <w:t xml:space="preserve"> </w:t>
      </w:r>
      <w:r>
        <w:t xml:space="preserve">doi =</w:t>
      </w:r>
      <w:r>
        <w:t xml:space="preserve"> </w:t>
      </w:r>
      <w:r>
        <w:t xml:space="preserve">10.1109/jstsp.2019.2908700</w:t>
      </w:r>
      <w:r>
        <w:t xml:space="preserve">,</w:t>
      </w:r>
      <w:r>
        <w:t xml:space="preserve"> </w:t>
      </w:r>
      <w:r>
        <w:t xml:space="preserve">url =</w:t>
      </w:r>
      <w:r>
        <w:t xml:space="preserve"> </w:t>
      </w:r>
      <w:r>
        <w:t xml:space="preserve">https://doi.org/10.1109/jstsp.2019.2908700</w:t>
      </w:r>
      <w:r>
        <w:t xml:space="preserve">,</w:t>
      </w:r>
      <w:r>
        <w:t xml:space="preserve"> </w:t>
      </w:r>
    </w:p>
    <w:p>
      <w:pPr>
        <w:pStyle w:val="BodyText"/>
      </w:pPr>
      <w:r>
        <w:t xml:space="preserve">@article</w:t>
      </w:r>
      <w:r>
        <w:t xml:space="preserve">daviesmike2021advancing,</w:t>
      </w:r>
      <w:r>
        <w:t xml:space="preserve"> </w:t>
      </w:r>
      <w:r>
        <w:t xml:space="preserve">author =</w:t>
      </w:r>
      <w:r>
        <w:t xml:space="preserve"> </w:t>
      </w:r>
      <w:r>
        <w:t xml:space="preserve">Davies Mike and Wild Andreas and Orchard Garrick and Sandamirskaya Yulia and Guerra Gabriel A. Fonseca and Joshi Prasad and Plank Philipp and Risbud Sumedh R.</w:t>
      </w:r>
      <w:r>
        <w:t xml:space="preserve">,</w:t>
      </w:r>
      <w:r>
        <w:t xml:space="preserve"> </w:t>
      </w:r>
      <w:r>
        <w:t xml:space="preserve">title =</w:t>
      </w:r>
      <w:r>
        <w:t xml:space="preserve"> </w:t>
      </w:r>
      <w:r>
        <w:t xml:space="preserve">Advancing Neuromorphic Computing With Loihi: A Survey of Results and Outlook</w:t>
      </w:r>
      <w:r>
        <w:t xml:space="preserve">,</w:t>
      </w:r>
      <w:r>
        <w:t xml:space="preserve"> </w:t>
      </w:r>
      <w:r>
        <w:t xml:space="preserve">journal =</w:t>
      </w:r>
      <w:r>
        <w:t xml:space="preserve"> </w:t>
      </w:r>
      <w:r>
        <w:t xml:space="preserve">Proceedings of the IEEE</w:t>
      </w:r>
      <w:r>
        <w:t xml:space="preserve">,</w:t>
      </w:r>
      <w:r>
        <w:t xml:space="preserve"> </w:t>
      </w:r>
      <w:r>
        <w:t xml:space="preserve">year =</w:t>
      </w:r>
      <w:r>
        <w:t xml:space="preserve"> </w:t>
      </w:r>
      <w:r>
        <w:t xml:space="preserve">2021</w:t>
      </w:r>
      <w:r>
        <w:t xml:space="preserve">,</w:t>
      </w:r>
      <w:r>
        <w:t xml:space="preserve"> </w:t>
      </w:r>
      <w:r>
        <w:t xml:space="preserve">doi =</w:t>
      </w:r>
      <w:r>
        <w:t xml:space="preserve"> </w:t>
      </w:r>
      <w:r>
        <w:t xml:space="preserve">10.1109/jproc.2021.3067593</w:t>
      </w:r>
      <w:r>
        <w:t xml:space="preserve">,</w:t>
      </w:r>
      <w:r>
        <w:t xml:space="preserve"> </w:t>
      </w:r>
      <w:r>
        <w:t xml:space="preserve">url =</w:t>
      </w:r>
      <w:r>
        <w:t xml:space="preserve"> </w:t>
      </w:r>
      <w:r>
        <w:t xml:space="preserve">https://doi.org/10.1109/jproc.2021.3067593</w:t>
      </w:r>
      <w:r>
        <w:t xml:space="preserve">,</w:t>
      </w:r>
      <w:r>
        <w:t xml:space="preserve"> </w:t>
      </w:r>
    </w:p>
    <w:p>
      <w:pPr>
        <w:pStyle w:val="BodyText"/>
      </w:pPr>
      <w:r>
        <w:t xml:space="preserve">@article</w:t>
      </w:r>
      <w:r>
        <w:t xml:space="preserve">jiaweikuan2022feature,</w:t>
      </w:r>
      <w:r>
        <w:t xml:space="preserve"> </w:t>
      </w:r>
      <w:r>
        <w:t xml:space="preserve">author =</w:t>
      </w:r>
      <w:r>
        <w:t xml:space="preserve"> </w:t>
      </w:r>
      <w:r>
        <w:t xml:space="preserve">Jia Weikuan and Sun Meili and Lian Jian and Hou Sujuan</w:t>
      </w:r>
      <w:r>
        <w:t xml:space="preserve">,</w:t>
      </w:r>
      <w:r>
        <w:t xml:space="preserve"> </w:t>
      </w:r>
      <w:r>
        <w:t xml:space="preserve">title =</w:t>
      </w:r>
      <w:r>
        <w:t xml:space="preserve"> </w:t>
      </w:r>
      <w:r>
        <w:t xml:space="preserve">Feature dimensionality reduction: a review</w:t>
      </w:r>
      <w:r>
        <w:t xml:space="preserve">,</w:t>
      </w:r>
      <w:r>
        <w:t xml:space="preserve"> </w:t>
      </w:r>
      <w:r>
        <w:t xml:space="preserve">journal =</w:t>
      </w:r>
      <w:r>
        <w:t xml:space="preserve"> </w:t>
      </w:r>
      <w:r>
        <w:t xml:space="preserve">Complex &amp;amp; Intelligent Systems</w:t>
      </w:r>
      <w:r>
        <w:t xml:space="preserve">,</w:t>
      </w:r>
      <w:r>
        <w:t xml:space="preserve"> </w:t>
      </w:r>
      <w:r>
        <w:t xml:space="preserve">year =</w:t>
      </w:r>
      <w:r>
        <w:t xml:space="preserve"> </w:t>
      </w:r>
      <w:r>
        <w:t xml:space="preserve">2022</w:t>
      </w:r>
      <w:r>
        <w:t xml:space="preserve">,</w:t>
      </w:r>
      <w:r>
        <w:t xml:space="preserve"> </w:t>
      </w:r>
      <w:r>
        <w:t xml:space="preserve">doi =</w:t>
      </w:r>
      <w:r>
        <w:t xml:space="preserve"> </w:t>
      </w:r>
      <w:r>
        <w:t xml:space="preserve">10.1007/s40747-021-00637-x</w:t>
      </w:r>
      <w:r>
        <w:t xml:space="preserve">,</w:t>
      </w:r>
      <w:r>
        <w:t xml:space="preserve"> </w:t>
      </w:r>
      <w:r>
        <w:t xml:space="preserve">url =</w:t>
      </w:r>
      <w:r>
        <w:t xml:space="preserve"> </w:t>
      </w:r>
      <w:r>
        <w:t xml:space="preserve">https://doi.org/10.1007/s40747-021-00637-x</w:t>
      </w:r>
      <w:r>
        <w:t xml:space="preserve">,</w:t>
      </w:r>
      <w:r>
        <w:t xml:space="preserve"> </w:t>
      </w:r>
    </w:p>
    <w:p>
      <w:pPr>
        <w:pStyle w:val="BodyText"/>
      </w:pPr>
      <w:r>
        <w:t xml:space="preserve">@article</w:t>
      </w:r>
      <w:r>
        <w:t xml:space="preserve">jiangyuchen2022quo,</w:t>
      </w:r>
      <w:r>
        <w:t xml:space="preserve"> </w:t>
      </w:r>
      <w:r>
        <w:t xml:space="preserve">author =</w:t>
      </w:r>
      <w:r>
        <w:t xml:space="preserve"> </w:t>
      </w:r>
      <w:r>
        <w:t xml:space="preserve">Jiang Yuchen and Li Xiang and Luo Hao and Yin Shen and Kaynak Okyay</w:t>
      </w:r>
      <w:r>
        <w:t xml:space="preserve">,</w:t>
      </w:r>
      <w:r>
        <w:t xml:space="preserve"> </w:t>
      </w:r>
      <w:r>
        <w:t xml:space="preserve">title =</w:t>
      </w:r>
      <w:r>
        <w:t xml:space="preserve"> </w:t>
      </w:r>
      <w:r>
        <w:t xml:space="preserve">Quo vadis artificial intelligence?</w:t>
      </w:r>
      <w:r>
        <w:t xml:space="preserve">,</w:t>
      </w:r>
      <w:r>
        <w:t xml:space="preserve"> </w:t>
      </w:r>
      <w:r>
        <w:t xml:space="preserve">journal =</w:t>
      </w:r>
      <w:r>
        <w:t xml:space="preserve"> </w:t>
      </w:r>
      <w:r>
        <w:t xml:space="preserve">Discover Artificial Intelligence</w:t>
      </w:r>
      <w:r>
        <w:t xml:space="preserve">,</w:t>
      </w:r>
      <w:r>
        <w:t xml:space="preserve"> </w:t>
      </w:r>
      <w:r>
        <w:t xml:space="preserve">year =</w:t>
      </w:r>
      <w:r>
        <w:t xml:space="preserve"> </w:t>
      </w:r>
      <w:r>
        <w:t xml:space="preserve">2022</w:t>
      </w:r>
      <w:r>
        <w:t xml:space="preserve">,</w:t>
      </w:r>
      <w:r>
        <w:t xml:space="preserve"> </w:t>
      </w:r>
      <w:r>
        <w:t xml:space="preserve">doi =</w:t>
      </w:r>
      <w:r>
        <w:t xml:space="preserve"> </w:t>
      </w:r>
      <w:r>
        <w:t xml:space="preserve">10.1007/s44163-022-00022-8</w:t>
      </w:r>
      <w:r>
        <w:t xml:space="preserve">,</w:t>
      </w:r>
      <w:r>
        <w:t xml:space="preserve"> </w:t>
      </w:r>
      <w:r>
        <w:t xml:space="preserve">url =</w:t>
      </w:r>
      <w:r>
        <w:t xml:space="preserve"> </w:t>
      </w:r>
      <w:r>
        <w:t xml:space="preserve">https://doi.org/10.1007/s44163-022-00022-8</w:t>
      </w:r>
      <w:r>
        <w:t xml:space="preserve">,</w:t>
      </w:r>
      <w:r>
        <w:t xml:space="preserve"> </w:t>
      </w:r>
    </w:p>
    <w:p>
      <w:pPr>
        <w:pStyle w:val="BodyText"/>
      </w:pPr>
      <w:r>
        <w:t xml:space="preserve">@article</w:t>
      </w:r>
      <w:r>
        <w:t xml:space="preserve">eshraghianjasonk2023training,</w:t>
      </w:r>
      <w:r>
        <w:t xml:space="preserve"> </w:t>
      </w:r>
      <w:r>
        <w:t xml:space="preserve">author =</w:t>
      </w:r>
      <w:r>
        <w:t xml:space="preserve"> </w:t>
      </w:r>
      <w:r>
        <w:t xml:space="preserve">Eshraghian Jason K. and Ward Max and Neftci Emre O. and Wang Xinxin and Lenz Gregor and Dwivedi Girish and Bennamoun Mohammed and Jeong Doo Seok and Lu Wei D.</w:t>
      </w:r>
      <w:r>
        <w:t xml:space="preserve">,</w:t>
      </w:r>
      <w:r>
        <w:t xml:space="preserve"> </w:t>
      </w:r>
      <w:r>
        <w:t xml:space="preserve">title =</w:t>
      </w:r>
      <w:r>
        <w:t xml:space="preserve"> </w:t>
      </w:r>
      <w:r>
        <w:t xml:space="preserve">Training Spiking Neural Networks Using Lessons From Deep Learning</w:t>
      </w:r>
      <w:r>
        <w:t xml:space="preserve">,</w:t>
      </w:r>
      <w:r>
        <w:t xml:space="preserve"> </w:t>
      </w:r>
      <w:r>
        <w:t xml:space="preserve">journal =</w:t>
      </w:r>
      <w:r>
        <w:t xml:space="preserve"> </w:t>
      </w:r>
      <w:r>
        <w:t xml:space="preserve">Proceedings of the IEEE</w:t>
      </w:r>
      <w:r>
        <w:t xml:space="preserve">,</w:t>
      </w:r>
      <w:r>
        <w:t xml:space="preserve"> </w:t>
      </w:r>
      <w:r>
        <w:t xml:space="preserve">year =</w:t>
      </w:r>
      <w:r>
        <w:t xml:space="preserve"> </w:t>
      </w:r>
      <w:r>
        <w:t xml:space="preserve">2023</w:t>
      </w:r>
      <w:r>
        <w:t xml:space="preserve">,</w:t>
      </w:r>
      <w:r>
        <w:t xml:space="preserve"> </w:t>
      </w:r>
      <w:r>
        <w:t xml:space="preserve">doi =</w:t>
      </w:r>
      <w:r>
        <w:t xml:space="preserve"> </w:t>
      </w:r>
      <w:r>
        <w:t xml:space="preserve">10.1109/jproc.2023.3308088</w:t>
      </w:r>
      <w:r>
        <w:t xml:space="preserve">,</w:t>
      </w:r>
      <w:r>
        <w:t xml:space="preserve"> </w:t>
      </w:r>
      <w:r>
        <w:t xml:space="preserve">url =</w:t>
      </w:r>
      <w:r>
        <w:t xml:space="preserve"> </w:t>
      </w:r>
      <w:r>
        <w:t xml:space="preserve">https://doi.org/10.1109/jproc.2023.3308088</w:t>
      </w:r>
      <w:r>
        <w:t xml:space="preserve">,</w:t>
      </w:r>
      <w:r>
        <w:t xml:space="preserve"> </w:t>
      </w:r>
    </w:p>
    <w:p>
      <w:pPr>
        <w:pStyle w:val="BodyText"/>
      </w:pPr>
      <w:r>
        <w:t xml:space="preserve">@article</w:t>
      </w:r>
      <w:r>
        <w:t xml:space="preserve">yueliu2024vmamba,</w:t>
      </w:r>
      <w:r>
        <w:t xml:space="preserve"> </w:t>
      </w:r>
      <w:r>
        <w:t xml:space="preserve">author =</w:t>
      </w:r>
      <w:r>
        <w:t xml:space="preserve"> </w:t>
      </w:r>
      <w:r>
        <w:t xml:space="preserve">Yue Liu and Yunjie Tian and Yuzhong Zhao</w:t>
      </w:r>
      <w:r>
        <w:t xml:space="preserve">,</w:t>
      </w:r>
      <w:r>
        <w:t xml:space="preserve"> </w:t>
      </w:r>
      <w:r>
        <w:t xml:space="preserve">title =</w:t>
      </w:r>
      <w:r>
        <w:t xml:space="preserve"> </w:t>
      </w:r>
      <w:r>
        <w:t xml:space="preserve">VMamba: Visual State Space Model</w:t>
      </w:r>
      <w:r>
        <w:t xml:space="preserve">,</w:t>
      </w:r>
      <w:r>
        <w:t xml:space="preserve"> </w:t>
      </w:r>
      <w:r>
        <w:t xml:space="preserve">journal =</w:t>
      </w:r>
      <w:r>
        <w:t xml:space="preserve"> </w:t>
      </w:r>
      <w:r>
        <w:t xml:space="preserve">arXiv (Cornell University)</w:t>
      </w:r>
      <w:r>
        <w:t xml:space="preserve">,</w:t>
      </w:r>
      <w:r>
        <w:t xml:space="preserve"> </w:t>
      </w:r>
      <w:r>
        <w:t xml:space="preserve">year =</w:t>
      </w:r>
      <w:r>
        <w:t xml:space="preserve"> </w:t>
      </w:r>
      <w:r>
        <w:t xml:space="preserve">2024</w:t>
      </w:r>
      <w:r>
        <w:t xml:space="preserve">,</w:t>
      </w:r>
      <w:r>
        <w:t xml:space="preserve"> </w:t>
      </w:r>
      <w:r>
        <w:t xml:space="preserve">doi =</w:t>
      </w:r>
      <w:r>
        <w:t xml:space="preserve"> </w:t>
      </w:r>
      <w:r>
        <w:t xml:space="preserve">10.48550/arxiv.2401.10166</w:t>
      </w:r>
      <w:r>
        <w:t xml:space="preserve">,</w:t>
      </w:r>
      <w:r>
        <w:t xml:space="preserve"> </w:t>
      </w:r>
      <w:r>
        <w:t xml:space="preserve">url =</w:t>
      </w:r>
      <w:r>
        <w:t xml:space="preserve"> </w:t>
      </w:r>
      <w:r>
        <w:t xml:space="preserve">https://doi.org/10.48550/arxiv.2401.10166</w:t>
      </w:r>
      <w:r>
        <w:t xml:space="preserve">,</w:t>
      </w:r>
      <w:r>
        <w:t xml:space="preserve"> </w:t>
      </w:r>
    </w:p>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Top-K Sparse Attention Routing for Near-Linear Transformers on GLUE Benchmarks</dc:title>
  <dc:creator>Sasi Preetham R Freedom Labs</dc:creator>
  <cp:keywords/>
  <dcterms:created xsi:type="dcterms:W3CDTF">2026-04-24T20:13:19Z</dcterms:created>
  <dcterms:modified xsi:type="dcterms:W3CDTF">2026-04-24T20:13:19Z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computational limitations inherent in standard self-attention mechanisms within the Transformer architecture, which are characterized by a quadratic dependency on sequence length, necessitate the development of computationally efficient alternatives for modern Natural Language Processing. To address this persistent bottleneck, the present investigation introduces a novel top-k sparse attention routing algorithm, which is integrated within a hybrid local-global approach designed to reduce the complexity to a near-linear dependency. Quantitative evaluation was subsequently conducted across several established benchmarks, thereby providing empirical evidence regarding the computational efficiency and semantic fidelity of the novel attention mechanisms. Initial assessments focused on the overall computational overhead reduction, revealing that when the proposed algorithm was applied to architectures such as BERT-base and GPT-2, a substantial reduction in computational requirements, including a 42.3</vt:lpwstr>
  </property>
  <property fmtid="{D5CDD505-2E9C-101B-9397-08002B2CF9AE}" pid="3" name="date">
    <vt:lpwstr>2026-04-25</vt:lpwstr>
  </property>
</Properties>
</file>