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28"/>
        </w:rPr>
        <w:t>Synthetic Longitudinal Brain MRI Generation via a</w:t>
        <w:br/>
        <w:t>Two-Generator Progressive GAN for Temporal Tumour Progression Modelling</w:t>
      </w:r>
    </w:p>
    <w:p>
      <w:pPr>
        <w:jc w:val="center"/>
      </w:pPr>
      <w:r>
        <w:rPr>
          <w:i/>
        </w:rPr>
        <w:t>One-Page Project Write-Up</w:t>
      </w:r>
    </w:p>
    <w:p>
      <w:pPr>
        <w:spacing w:before="40" w:after="40"/>
        <w:pBdr>
          <w:bottom w:val="single" w:sz="6" w:space="1" w:color="AAAAAA"/>
        </w:pBdr>
      </w:pPr>
    </w:p>
    <w:p>
      <w:pPr>
        <w:spacing w:before="200" w:after="80"/>
      </w:pPr>
      <w:r>
        <w:rPr>
          <w:b/>
          <w:color w:val="0D47A1"/>
          <w:sz w:val="24"/>
        </w:rPr>
        <w:t>1. Problem Statement</w:t>
      </w:r>
    </w:p>
    <w:p>
      <w:pPr>
        <w:spacing w:after="120" w:before="0"/>
      </w:pPr>
      <w:r>
        <w:rPr>
          <w:sz w:val="22"/>
        </w:rPr>
        <w:t>Longitudinal brain MRI datasets — where the same patient is scanned at a baseline and a later follow-up time point — are essential for tracking tumour progression and assessing treatment response under the RANO (Response Assessment in Neuro-Oncology) criteria. However, such paired datasets are severely scarce due to high acquisition costs, patient attrition, and privacy constraints. This data scarcity directly limits the ability to train robust 3D tumour segmentation models and reliable RANO classifiers. The core problem addressed here is: how to synthetically generate anatomically consistent, temporally coherent baseline–follow-up MRI pairs that can meaningfully augment real clinical datasets for downstream segmentation and classification tasks.</w:t>
      </w:r>
    </w:p>
    <w:p>
      <w:pPr>
        <w:spacing w:before="40" w:after="40"/>
        <w:pBdr>
          <w:bottom w:val="single" w:sz="6" w:space="1" w:color="AAAAAA"/>
        </w:pBdr>
      </w:pPr>
    </w:p>
    <w:p>
      <w:pPr>
        <w:spacing w:before="200" w:after="80"/>
      </w:pPr>
      <w:r>
        <w:rPr>
          <w:b/>
          <w:color w:val="0D47A1"/>
          <w:sz w:val="24"/>
        </w:rPr>
        <w:t>2. Literature Review</w:t>
      </w:r>
    </w:p>
    <w:p>
      <w:pPr>
        <w:spacing w:after="120" w:before="40"/>
      </w:pPr>
      <w:r>
        <w:rPr>
          <w:b/>
          <w:sz w:val="22"/>
        </w:rPr>
        <w:t>[1] Chartsias et al. — Combining Noise-to-Image and Image-to-Image GANs for Brain MR Image Augmentation (MICCAI/TMI lineage)</w:t>
        <w:br/>
      </w:r>
      <w:r>
        <w:rPr>
          <w:sz w:val="22"/>
        </w:rPr>
        <w:t>This work demonstrated that combining a noise-to-image GAN (to synthesise new anatomical variations) with an image-to-image GAN (to translate modalities or time-points) yields more diverse and realistic augmented brain MRI datasets than either approach alone. It established the template for the two-generator paradigm this project builds upon and validated that GAN-augmented training data improves downstream segmentation F1 scores significantly.</w:t>
      </w:r>
    </w:p>
    <w:p>
      <w:pPr>
        <w:spacing w:after="120" w:before="40"/>
      </w:pPr>
      <w:r>
        <w:rPr>
          <w:b/>
          <w:sz w:val="22"/>
        </w:rPr>
        <w:t>[2] Karras et al. — "Progressive Growing of GANs for Improved Quality, Stability, and Variation" (ICLR 2018)</w:t>
        <w:br/>
      </w:r>
      <w:r>
        <w:rPr>
          <w:sz w:val="22"/>
        </w:rPr>
        <w:t>PGGAN introduced the concept of incrementally growing both the generator and discriminator from low to high resolution, resolving training instability at high resolutions. The methodology yields high-fidelity, structurally coherent 3D volumes that are critical for medical imaging where fine anatomical detail matters.</w:t>
      </w:r>
    </w:p>
    <w:p>
      <w:pPr>
        <w:spacing w:after="120" w:before="40"/>
      </w:pPr>
      <w:r>
        <w:rPr>
          <w:b/>
          <w:sz w:val="22"/>
        </w:rPr>
        <w:t>[3] Gulrajani et al. — "Improved Training of Wasserstein GANs" (NeurIPS 2017)</w:t>
        <w:br/>
      </w:r>
      <w:r>
        <w:rPr>
          <w:sz w:val="22"/>
        </w:rPr>
        <w:t>This paper introduced the gradient-penalty (GP) formulation of the Wasserstein GAN objective, which this project adopts with λ_GP = 10. WGAN-GP yields Lipschitz-stable training without weight-clipping artefacts, making it the standard choice for medical image synthesis where training collapse is especially costly.</w:t>
      </w:r>
    </w:p>
    <w:p>
      <w:pPr>
        <w:spacing w:after="120" w:before="40"/>
      </w:pPr>
      <w:r>
        <w:rPr>
          <w:b/>
          <w:sz w:val="22"/>
        </w:rPr>
        <w:t>[4] Çiçek et al. / Ronneberger et al. — 3D U-Net / nnU-Net lineage (MICCAI 2016 onward)</w:t>
        <w:br/>
      </w:r>
      <w:r>
        <w:rPr>
          <w:sz w:val="22"/>
        </w:rPr>
        <w:t>The 3D segmentation backbone employed in the downstream pipeline inherits the encoder–decoder architecture with skip connections pioneered here. These works established that volumetric convolutions over full 3D MRI volumes outperform slice-by-slice approaches for brain tumour delineation, motivating the 128³ volumetric processing in this project.</w:t>
      </w:r>
    </w:p>
    <w:p>
      <w:pPr>
        <w:spacing w:before="40" w:after="40"/>
        <w:pBdr>
          <w:bottom w:val="single" w:sz="6" w:space="1" w:color="AAAAAA"/>
        </w:pBdr>
      </w:pPr>
    </w:p>
    <w:p>
      <w:pPr>
        <w:spacing w:before="200" w:after="80"/>
      </w:pPr>
      <w:r>
        <w:rPr>
          <w:b/>
          <w:color w:val="0D47A1"/>
          <w:sz w:val="24"/>
        </w:rPr>
        <w:t>3. Novelty</w:t>
      </w:r>
    </w:p>
    <w:p>
      <w:pPr>
        <w:spacing w:after="120" w:before="0"/>
      </w:pPr>
      <w:r>
        <w:rPr>
          <w:sz w:val="22"/>
        </w:rPr>
        <w:t>Existing GAN-based MRI augmentation approaches typically synthesise single time-point images or use a single generator for cross-modal translation. This project introduces a dual-generator, dual-discriminator PGGAN architecture where:</w:t>
      </w:r>
    </w:p>
    <w:p>
      <w:pPr>
        <w:pStyle w:val="ListBullet"/>
        <w:spacing w:after="80"/>
      </w:pPr>
      <w:r>
        <w:rPr>
          <w:b/>
          <w:sz w:val="22"/>
        </w:rPr>
        <w:t xml:space="preserve">Baseline Generator (Gᴅ): </w:t>
      </w:r>
      <w:r>
        <w:rPr>
          <w:sz w:val="22"/>
        </w:rPr>
        <w:t>Generates a baseline T1ce volume from a latent vector z.</w:t>
      </w:r>
    </w:p>
    <w:p>
      <w:pPr>
        <w:pStyle w:val="ListBullet"/>
        <w:spacing w:after="80"/>
      </w:pPr>
      <w:r>
        <w:rPr>
          <w:b/>
          <w:sz w:val="22"/>
        </w:rPr>
        <w:t xml:space="preserve">Follow-up Generator (Gᶠ): </w:t>
      </w:r>
      <w:r>
        <w:rPr>
          <w:sz w:val="22"/>
        </w:rPr>
        <w:t>Generates the corresponding follow-up volume by conditioning on z concatenated with multi-scale features from Gᴅ, enforcing structural inheritance across time points.</w:t>
      </w:r>
    </w:p>
    <w:p>
      <w:pPr>
        <w:pStyle w:val="ListBullet"/>
        <w:spacing w:after="80"/>
      </w:pPr>
      <w:r>
        <w:rPr>
          <w:b/>
          <w:sz w:val="22"/>
        </w:rPr>
        <w:t xml:space="preserve">Combined loss: </w:t>
      </w:r>
      <w:r>
        <w:rPr>
          <w:sz w:val="22"/>
        </w:rPr>
        <w:t>ℒ_GF = ℒ_adv + λ₁·L1 + λ₂·SSIM ensures the generated follow-up is both adversarially realistic and geometrically consistent with its paired baseline.</w:t>
      </w:r>
    </w:p>
    <w:p>
      <w:pPr>
        <w:spacing w:after="120" w:before="0"/>
      </w:pPr>
      <w:r>
        <w:rPr>
          <w:sz w:val="22"/>
        </w:rPr>
        <w:t>This joint, hierarchically-conditioned generation of temporally linked image pairs — inside the progressive growing framework operating on 128³ 3D volumes — has not been previously demonstrated for longitudinal brain MRI augmentation. The synthetic pairs are then used to label-propagate pseudo-segmentation masks and enrich RANO classifier training with SMOTE-balanced radiomics features, forming a fully end-to-end pipeline.</w:t>
      </w:r>
    </w:p>
    <w:p>
      <w:pPr>
        <w:spacing w:before="40" w:after="40"/>
        <w:pBdr>
          <w:bottom w:val="single" w:sz="6" w:space="1" w:color="AAAAAA"/>
        </w:pBdr>
      </w:pPr>
    </w:p>
    <w:p>
      <w:pPr>
        <w:spacing w:before="200" w:after="80"/>
      </w:pPr>
      <w:r>
        <w:rPr>
          <w:b/>
          <w:color w:val="0D47A1"/>
          <w:sz w:val="24"/>
        </w:rPr>
        <w:t>4. Work Done So Far</w:t>
      </w:r>
    </w:p>
    <w:p>
      <w:pPr>
        <w:pStyle w:val="ListBullet"/>
        <w:spacing w:after="80"/>
      </w:pPr>
      <w:r>
        <w:rPr>
          <w:b/>
          <w:sz w:val="22"/>
        </w:rPr>
        <w:t xml:space="preserve">Architecture implemented: </w:t>
      </w:r>
      <w:r>
        <w:rPr>
          <w:sz w:val="22"/>
        </w:rPr>
        <w:t>Dual generators (Baseline and Follow-up) and dual discriminators with progressive growing blocks have been built and tested for 3D volumes up to 256³.</w:t>
      </w:r>
    </w:p>
    <w:p>
      <w:pPr>
        <w:pStyle w:val="ListBullet"/>
        <w:spacing w:after="80"/>
      </w:pPr>
      <w:r>
        <w:rPr>
          <w:b/>
          <w:sz w:val="22"/>
        </w:rPr>
        <w:t xml:space="preserve">Training loop complete: </w:t>
      </w:r>
      <w:r>
        <w:rPr>
          <w:sz w:val="22"/>
        </w:rPr>
        <w:t>The training pipeline implements WGAN-GP, the dual generator–discriminator update schedule, SSIM + L1 consistency losses, mixed-precision training, and checkpoint saving with 3-plane sample grids at regular intervals.</w:t>
      </w:r>
    </w:p>
    <w:p>
      <w:pPr>
        <w:pStyle w:val="ListBullet"/>
        <w:spacing w:after="80"/>
      </w:pPr>
      <w:r>
        <w:rPr>
          <w:b/>
          <w:sz w:val="22"/>
        </w:rPr>
        <w:t xml:space="preserve">Dataset pipeline complete: </w:t>
      </w:r>
      <w:r>
        <w:rPr>
          <w:sz w:val="22"/>
        </w:rPr>
        <w:t>A custom dataset loader reads paired 10-channel MRI volumes (baseline T1ce and follow-up T1ce), normalises them to [−1, 1], and resizes dynamically to the current progressive-growing resolution.</w:t>
      </w:r>
    </w:p>
    <w:p>
      <w:pPr>
        <w:pStyle w:val="ListBullet"/>
        <w:spacing w:after="80"/>
      </w:pPr>
      <w:r>
        <w:rPr>
          <w:b/>
          <w:sz w:val="22"/>
        </w:rPr>
        <w:t xml:space="preserve">Configuration system: </w:t>
      </w:r>
      <w:r>
        <w:rPr>
          <w:sz w:val="22"/>
        </w:rPr>
        <w:t>A resolution schedule (4→256), per-stage batch sizes, and all key hyperparameters (λ_GP = 10, Adam β = (0, 0.99), LR = 0.0015, 1500 k-img total) are fully set up.</w:t>
      </w:r>
    </w:p>
    <w:p>
      <w:pPr>
        <w:pStyle w:val="ListBullet"/>
        <w:spacing w:after="80"/>
      </w:pPr>
      <w:r>
        <w:rPr>
          <w:b/>
          <w:sz w:val="22"/>
        </w:rPr>
        <w:t xml:space="preserve">Downstream pipeline designed: </w:t>
      </w:r>
      <w:r>
        <w:rPr>
          <w:sz w:val="22"/>
        </w:rPr>
        <w:t>Modules for synthetic pair generation, 3D tumour segmentation training, and XGBoost-based RANO classification with SMOTE-balanced radiomics features have been planned and are in progress.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