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AMSecBench</w:t>
      </w:r>
    </w:p>
    <w:p>
      <w:pPr>
        <w:jc w:val="center"/>
      </w:pPr>
      <w:r>
        <w:rPr>
          <w:i/>
          <w:sz w:val="28"/>
        </w:rPr>
        <w:t>AI-Native Security for Additive Manufacturing: Can Large Language and Vision-Language Models Detect Toolpath Sabotage — and Can They Defeat Design Obfuscation?</w:t>
      </w:r>
    </w:p>
    <w:p>
      <w:pPr>
        <w:jc w:val="center"/>
      </w:pPr>
      <w:r>
        <w:rPr>
          <w:b w:val="0"/>
          <w:i w:val="0"/>
        </w:rPr>
        <w:t>Research Proposal</w:t>
      </w:r>
    </w:p>
    <w:p>
      <w:pPr>
        <w:jc w:val="center"/>
      </w:pPr>
      <w:r>
        <w:rPr>
          <w:b w:val="0"/>
          <w:i w:val="0"/>
        </w:rPr>
        <w:t>Harsh Vardhan Gupta (proposer)  ·  Prof. Nikhil Gupta, FASM  ·  Prof. Ramesh Karri</w:t>
        <w:br/>
        <w:t>NYU Tandon School of Engineering / NYU Center for Cybersecurity</w:t>
      </w:r>
    </w:p>
    <w:p>
      <w:pPr>
        <w:jc w:val="center"/>
      </w:pPr>
      <w:r>
        <w:rPr>
          <w:b w:val="0"/>
          <w:i/>
        </w:rPr>
        <w:t>August 2026  ·  Code: github.com/Harshelite2503/amsecbench</w:t>
      </w:r>
    </w:p>
    <w:p>
      <w:pPr>
        <w:pStyle w:val="Heading1"/>
      </w:pPr>
      <w:r>
        <w:t>Abstract</w:t>
      </w:r>
    </w:p>
    <w:p>
      <w:r>
        <w:rPr>
          <w:b w:val="0"/>
          <w:i w:val="0"/>
        </w:rPr>
        <w:t>Additive manufacturing (AM) is a cyber-physical process: a design file becomes a toolpath (G-code) becomes a part, and every hop is a place where an attacker can degrade the part without changing how it looks. The AM-security literature — including the Proc. IEEE survey by Gupta, Karri and colleagues — established the attack taxonomy (internal voids, infill reduction, parameter manipulation, dimensional sabotage) and two defensive families: verification of the toolpath against the design, and design obfuscation so a stolen file prints the wrong part. Large language and vision-language models (LLMs/VLMs) have not been evaluated on either side of this problem. We propose AMSecBench, a fully synthetic, labelled benchmark with two tracks. Track A (defense) asks whether LLMs/VLMs can detect G-code sabotage, with and without a trusted reference, better than rule-based and classical-ML detectors. Track B (red team) asks whether LLMs/VLMs can defeat the design-based obfuscation schemes developed in the collaborating group by recovering the intended design from an obfuscated file. A working benchmark exists: 141 G-code files (45 clean incl. benign parameter variants, 96 attacked across 7 attack classes on 5 parts). Baselines already show the central difficulty: a reference-comparison detector catches 75–100% of attacks but falsely flags 33% of legitimate parameter variants, and reference-free ML reaches AUC 0.86 with a 38% false-positive rate. Outcomes are a benchmark paper at a security venue, a defense/attack findings paper, and a proposal-ready basis for NSF SaTC / DoD funding.</w:t>
      </w:r>
    </w:p>
    <w:p>
      <w:pPr>
        <w:pStyle w:val="Heading1"/>
      </w:pPr>
      <w:r>
        <w:t>1. Problem Statement</w:t>
      </w:r>
    </w:p>
    <w:p>
      <w:pPr>
        <w:pStyle w:val="Heading2"/>
      </w:pPr>
      <w:r>
        <w:t>1.1 The AM pipeline is attackable at every hop and the damage is invisible</w:t>
      </w:r>
    </w:p>
    <w:p>
      <w:r>
        <w:rPr>
          <w:b w:val="0"/>
          <w:i w:val="0"/>
        </w:rPr>
        <w:t>A 3D-printed part is produced from a CAD/STL file through slicer software into G-code executed by the printer. Prior work (dr0wned, 2017; Gupta et al., 2020; Rossel et al., USENIX Security 2025) has shown that small edits to the G-code — removing a few millimetres of extrusion to create a void, reducing infill in a band of layers, lowering nozzle temperature for a few layers — yield parts that pass visual inspection and fail in service. Distributed and outsourced printing widens the attack surface: the file leaves the designer’s control.</w:t>
      </w:r>
    </w:p>
    <w:p>
      <w:pPr>
        <w:pStyle w:val="Heading2"/>
      </w:pPr>
      <w:r>
        <w:t>1.2 Existing detectors are brittle</w:t>
      </w:r>
    </w:p>
    <w:p>
      <w:r>
        <w:rPr>
          <w:b w:val="0"/>
          <w:i w:val="0"/>
        </w:rPr>
        <w:t>Verification approaches compare the toolpath to the design or to a trusted reference. They work when the reference and the suspect were produced with identical settings, but legitimate operators change infill, layer height, temperature and speed routinely; a naive comparison flags those changes as attacks. Reference-free anomaly detectors must instead generalise across geometries they have never seen. Neither approach reasons about intent — whether a change is a plausible operator choice or a degradation.</w:t>
      </w:r>
    </w:p>
    <w:p>
      <w:pPr>
        <w:pStyle w:val="Heading2"/>
      </w:pPr>
      <w:r>
        <w:t>1.3 Obfuscation defenses have never faced an AI adversary</w:t>
      </w:r>
    </w:p>
    <w:p>
      <w:r>
        <w:rPr>
          <w:b w:val="0"/>
          <w:i w:val="0"/>
        </w:rPr>
        <w:t>Design-based security (Chen &amp; Gupta; NYU) embeds decoy features and parameter-gated ‘key’ features so a stolen STL prints a wrong or failed part unless the process recipe is known. These schemes were evaluated against human reverse engineers and conventional tooling. Multimodal LLMs can now read STL geometry, renders and G-code, and reason about mechanical function; whether they can identify and strip decoys is unknown — and directly determines whether these defenses remain valid.</w:t>
      </w:r>
    </w:p>
    <w:p>
      <w:pPr>
        <w:pStyle w:val="Heading2"/>
      </w:pPr>
      <w:r>
        <w:t>1.4 LLMs are entering manufacturing workflows without a security evaluation</w:t>
      </w:r>
    </w:p>
    <w:p>
      <w:r>
        <w:rPr>
          <w:b w:val="0"/>
          <w:i w:val="0"/>
        </w:rPr>
        <w:t>LLM assistants are being integrated into slicers, print-farm management and CAD tools. There is no benchmark that measures their value as a detector or their threat as an attacker in AM. Both the defensive community and the roadmap literature (Advanced Intelligent Systems 2026) identify this as an open problem.</w:t>
      </w:r>
    </w:p>
    <w:p>
      <w:pPr>
        <w:pStyle w:val="Heading1"/>
      </w:pPr>
      <w:r>
        <w:t>2. Objectives</w:t>
      </w:r>
    </w:p>
    <w:p>
      <w:pPr>
        <w:pStyle w:val="ListNumber"/>
      </w:pPr>
      <w:r>
        <w:t>O1 — Benchmark: an open, synthetic, reproducible dataset of clean, benign-variant and sabotaged G-code with ground-truth labels and attack metadata, plus rendered toolpath images.</w:t>
      </w:r>
    </w:p>
    <w:p>
      <w:pPr>
        <w:pStyle w:val="ListNumber"/>
      </w:pPr>
      <w:r>
        <w:t>O2 — Defense evaluation: measure LLM (text) and VLM (image) detection accuracy, false-positive rate on benign variants, attack-class attribution and calibration, with and without a trusted reference, against rule and ML baselines.</w:t>
      </w:r>
    </w:p>
    <w:p>
      <w:pPr>
        <w:pStyle w:val="ListNumber"/>
      </w:pPr>
      <w:r>
        <w:t>O3 — Red-team evaluation: implement the group’s obfuscation schemes on benchmark parts and measure whether LLMs/VLMs recover the intended design (IoU) and identify parameter-gated features.</w:t>
      </w:r>
    </w:p>
    <w:p>
      <w:pPr>
        <w:pStyle w:val="ListNumber"/>
      </w:pPr>
      <w:r>
        <w:t>O4 — Hardening: use red-team results to propose obfuscation variants that resist multimodal AI, and LLM-in-the-loop detection that reasons about operator intent.</w:t>
      </w:r>
    </w:p>
    <w:p>
      <w:pPr>
        <w:pStyle w:val="ListNumber"/>
      </w:pPr>
      <w:r>
        <w:t>O5 — Real-slicer validation: reproduce the key results on PrusaSlicer/Cura output and, where available, on printed specimens from the collaborating lab.</w:t>
      </w:r>
    </w:p>
    <w:p>
      <w:pPr>
        <w:pStyle w:val="Heading1"/>
      </w:pPr>
      <w:r>
        <w:t>3. Background and Related Work</w:t>
      </w:r>
    </w:p>
    <w:p>
      <w:r>
        <w:rPr>
          <w:b w:val="0"/>
          <w:i w:val="0"/>
        </w:rPr>
        <w:t>AM security surveys: Gupta, Karri et al. (Proc. IEEE 2020) taxonomise threats and countermeasures including obfuscation and embedded security features. Attack studies: dr0wned (Belikovetsky et al. 2017) demonstrated void-sabotage of a drone propeller; Rossel et al. (USENIX Security 2025) analysed malicious G-code at scale across slicers. Detection: probabilistic anomaly models on printer telemetry (Yoginath et al. 2022), power side-channels (PowerGuard 2024), design-vs-toolpath verification (Mahmood et al. 2025), hardware firewalls (Firewall3D 2026). Design-based security: Chen (PhD, NYU 2019, advised by N. Gupta) — embedded tracking codes and parameter-gated features. AI in AM: roadmap papers call for LLM/VLM quality assurance but no security benchmark exists.</w:t>
      </w:r>
    </w:p>
    <w:p>
      <w:pPr>
        <w:pStyle w:val="Heading1"/>
      </w:pPr>
      <w:r>
        <w:t>4. Approach</w:t>
      </w:r>
    </w:p>
    <w:p>
      <w:pPr>
        <w:pStyle w:val="Heading2"/>
      </w:pPr>
      <w:r>
        <w:t>4.1 Track A — sabotage detection benchmark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Design</w:t>
            </w:r>
          </w:p>
        </w:tc>
        <w:tc>
          <w:tcPr>
            <w:tcW w:type="dxa" w:w="1872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Parts</w:t>
            </w:r>
          </w:p>
        </w:tc>
        <w:tc>
          <w:tcPr>
            <w:tcW w:type="dxa" w:w="5616"/>
          </w:tcPr>
          <w:p>
            <w:r>
              <w:t>5 parametric parts: block, bracket with holes, thin-wall tube, ASTM-style dog-bone, grid plate (generated, no downloads)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Slicer</w:t>
            </w:r>
          </w:p>
        </w:tc>
        <w:tc>
          <w:tcPr>
            <w:tcW w:type="dxa" w:w="5616"/>
          </w:tcPr>
          <w:p>
            <w:r>
              <w:t>Minimal inspectable FDM slicer (perimeters + rectilinear infill, absolute E) so every attack has a known effect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Attacks</w:t>
            </w:r>
          </w:p>
        </w:tc>
        <w:tc>
          <w:tcPr>
            <w:tcW w:type="dxa" w:w="5616"/>
          </w:tcPr>
          <w:p>
            <w:r>
              <w:t>infill reduction, void insertion (segment-split), layer-height change, mid-print temperature drop, 3% XY scaling, under-extrusion band, infill toolpath jitter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Benign variants</w:t>
            </w:r>
          </w:p>
        </w:tc>
        <w:tc>
          <w:tcPr>
            <w:tcW w:type="dxa" w:w="5616"/>
          </w:tcPr>
          <w:p>
            <w:r>
              <w:t>8 legitimate parameter changes per part (infill 0.2/0.4, layer 0.15/0.25, temp 200/220, speed 30/60) — detectors must not flag these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Features / renders</w:t>
            </w:r>
          </w:p>
        </w:tc>
        <w:tc>
          <w:tcPr>
            <w:tcW w:type="dxa" w:w="5616"/>
          </w:tcPr>
          <w:p>
            <w:r>
              <w:t>17 per-file features (layer statistics, extrusion-rate, infill ratio, temperature, bbox, jitter, travel-in-fill); PNG toolpath renders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Baselines</w:t>
            </w:r>
          </w:p>
        </w:tc>
        <w:tc>
          <w:tcPr>
            <w:tcW w:type="dxa" w:w="5616"/>
          </w:tcPr>
          <w:p>
            <w:r>
              <w:t>Rule detector (reference comparison); logistic / random-forest / gradient-boosting, leave-one-part-out</w:t>
            </w:r>
          </w:p>
        </w:tc>
        <w:tc>
          <w:tcPr>
            <w:tcW w:type="dxa" w:w="1872"/>
          </w:tcPr>
          <w:p>
            <w:r>
              <w:t>Done</w:t>
            </w:r>
          </w:p>
        </w:tc>
      </w:tr>
      <w:tr>
        <w:tc>
          <w:tcPr>
            <w:tcW w:type="dxa" w:w="1872"/>
          </w:tcPr>
          <w:p>
            <w:r>
              <w:t>LLM / VLM detectors</w:t>
            </w:r>
          </w:p>
        </w:tc>
        <w:tc>
          <w:tcPr>
            <w:tcW w:type="dxa" w:w="5616"/>
          </w:tcPr>
          <w:p>
            <w:r>
              <w:t>Claude on per-layer summaries with reference; on raw G-code without reference; on rendered images</w:t>
            </w:r>
          </w:p>
        </w:tc>
        <w:tc>
          <w:tcPr>
            <w:tcW w:type="dxa" w:w="1872"/>
          </w:tcPr>
          <w:p>
            <w:r>
              <w:t>Code ready; runs pending</w:t>
            </w:r>
          </w:p>
        </w:tc>
      </w:tr>
    </w:tbl>
    <w:p/>
    <w:p>
      <w:pPr>
        <w:pStyle w:val="Heading2"/>
      </w:pPr>
      <w:r>
        <w:t>4.2 Track B — obfuscation red team</w:t>
      </w:r>
    </w:p>
    <w:p>
      <w:pPr>
        <w:pStyle w:val="ListBullet"/>
      </w:pPr>
      <w:r>
        <w:t>Decoy features: extra bosses added to the intended design; the attacker must decide which features to remove.</w:t>
      </w:r>
    </w:p>
    <w:p>
      <w:pPr>
        <w:pStyle w:val="ListBullet"/>
      </w:pPr>
      <w:r>
        <w:t>Parameter-gated keys: 0.25 mm ribs that only print with a specific nozzle profile and carry a load path.</w:t>
      </w:r>
    </w:p>
    <w:p>
      <w:pPr>
        <w:pStyle w:val="ListBullet"/>
      </w:pPr>
      <w:r>
        <w:t>Adversary: LLM/VLM given STL statistics, multi-view renders and (optionally) the G-code, asked to output the intended design as a feature list / edit script; scored by volumetric IoU against ground truth and by whether keys are identified.</w:t>
      </w:r>
    </w:p>
    <w:p>
      <w:pPr>
        <w:pStyle w:val="ListBullet"/>
      </w:pPr>
      <w:r>
        <w:t>Threat model: attacker has the file but not the process recipe; no physical access; this mirrors the design-theft scenario the defenses target.</w:t>
      </w:r>
    </w:p>
    <w:p>
      <w:pPr>
        <w:pStyle w:val="Heading2"/>
      </w:pPr>
      <w:r>
        <w:t>4.3 Ethics and scope</w:t>
      </w:r>
    </w:p>
    <w:p>
      <w:r>
        <w:rPr>
          <w:b w:val="0"/>
          <w:i w:val="0"/>
        </w:rPr>
        <w:t>All artefacts are synthetic and generated locally. No firmware, network or physical printer is targeted, and no exploit tooling against real systems is produced. Track B evaluates academic defenses published by the collaborating group, with their authors, which is standard practice for security research.</w:t>
      </w:r>
    </w:p>
    <w:p>
      <w:pPr>
        <w:pStyle w:val="Heading1"/>
      </w:pPr>
      <w:r>
        <w:t>5. Preliminary Results</w:t>
      </w:r>
    </w:p>
    <w:p>
      <w:r>
        <w:rPr>
          <w:b w:val="0"/>
          <w:i w:val="0"/>
        </w:rPr>
        <w:t>The Track A benchmark is built and two baseline families have been evaluated on 141 G-code files (45 clean/benign, 96 attacked; attacks that had no geometric effect, e.g. a void placed in a part with no infill, are excluded rather than mislabelled).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tector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1. Detection rate per attack class for the baseline detectors; the last column is the false-positive rate on benign parameter variants.</w:t>
      </w:r>
    </w:p>
    <w:p>
      <w:pPr>
        <w:pStyle w:val="Heading2"/>
      </w:pPr>
      <w:r>
        <w:t>5.1 Reference comparison is sensitive but not specific</w:t>
      </w:r>
    </w:p>
    <w:p>
      <w:r>
        <w:rPr>
          <w:b w:val="0"/>
          <w:i w:val="0"/>
        </w:rPr>
        <w:t>The rule detector, which compares a suspect file with the trusted reference, detects infill reduction 100%, void insertion 75%, layer height change 100%, temperature shift 100%, scaling 100%, under extrusion 100%, toolpath jitter 100%. However it flags 33% of legitimate parameter variants as attacks — every layer-height and temperature change an operator might legitimately make is indistinguishable from sabotage without reasoning about intent. This is the specificity problem that motivates an LLM-in-the-loop detector.</w:t>
      </w:r>
    </w:p>
    <w:p>
      <w:pPr>
        <w:pStyle w:val="Heading2"/>
      </w:pPr>
      <w:r>
        <w:t>5.2 Reference-free ML generalises only partially to unseen parts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AUC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F1</w:t>
            </w:r>
          </w:p>
        </w:tc>
        <w:tc>
          <w:tcPr>
            <w:tcW w:type="dxa" w:w="2592"/>
          </w:tcPr>
          <w:p>
            <w:r/>
            <w:r>
              <w:rPr>
                <w:b/>
              </w:rPr>
              <w:t>False-positive rate</w:t>
            </w:r>
          </w:p>
        </w:tc>
      </w:tr>
      <w:tr>
        <w:tc>
          <w:tcPr>
            <w:tcW w:type="dxa" w:w="2880"/>
          </w:tcPr>
          <w:p>
            <w:r>
              <w:t>logreg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0.57</w:t>
            </w:r>
          </w:p>
        </w:tc>
        <w:tc>
          <w:tcPr>
            <w:tcW w:type="dxa" w:w="2592"/>
          </w:tcPr>
          <w:p>
            <w:r>
              <w:t>0.38</w:t>
            </w:r>
          </w:p>
        </w:tc>
      </w:tr>
      <w:tr>
        <w:tc>
          <w:tcPr>
            <w:tcW w:type="dxa" w:w="2880"/>
          </w:tcPr>
          <w:p>
            <w:r>
              <w:t>random_forest</w:t>
            </w:r>
          </w:p>
        </w:tc>
        <w:tc>
          <w:tcPr>
            <w:tcW w:type="dxa" w:w="1440"/>
          </w:tcPr>
          <w:p>
            <w:r>
              <w:t>0.857</w:t>
            </w:r>
          </w:p>
        </w:tc>
        <w:tc>
          <w:tcPr>
            <w:tcW w:type="dxa" w:w="1440"/>
          </w:tcPr>
          <w:p>
            <w:r>
              <w:t>0.881</w:t>
            </w:r>
          </w:p>
        </w:tc>
        <w:tc>
          <w:tcPr>
            <w:tcW w:type="dxa" w:w="2592"/>
          </w:tcPr>
          <w:p>
            <w:r>
              <w:t>0.38</w:t>
            </w:r>
          </w:p>
        </w:tc>
      </w:tr>
      <w:tr>
        <w:tc>
          <w:tcPr>
            <w:tcW w:type="dxa" w:w="2880"/>
          </w:tcPr>
          <w:p>
            <w:r>
              <w:t>gbc</w:t>
            </w:r>
          </w:p>
        </w:tc>
        <w:tc>
          <w:tcPr>
            <w:tcW w:type="dxa" w:w="1440"/>
          </w:tcPr>
          <w:p>
            <w:r>
              <w:t>0.825</w:t>
            </w:r>
          </w:p>
        </w:tc>
        <w:tc>
          <w:tcPr>
            <w:tcW w:type="dxa" w:w="1440"/>
          </w:tcPr>
          <w:p>
            <w:r>
              <w:t>0.913</w:t>
            </w:r>
          </w:p>
        </w:tc>
        <w:tc>
          <w:tcPr>
            <w:tcW w:type="dxa" w:w="2592"/>
          </w:tcPr>
          <w:p>
            <w:r>
              <w:t>0.22</w:t>
            </w:r>
          </w:p>
        </w:tc>
      </w:tr>
    </w:tbl>
    <w:p/>
    <w:p>
      <w:r>
        <w:rPr>
          <w:b w:val="0"/>
          <w:i w:val="0"/>
        </w:rPr>
        <w:t>Under leave-one-part-out evaluation (the model never sees the test geometry), the best model reaches AUC 0.86 but still mislabels 38% of benign files. Void insertion and infill reduction are the hardest classes because their signature is local (a few layers) while the features are global. These are exactly the cases where a model that can read the per-layer table and reason about where the change occurred should help.</w:t>
      </w:r>
    </w:p>
    <w:p>
      <w:pPr>
        <w:pStyle w:val="Heading2"/>
      </w:pPr>
      <w:r>
        <w:t>5.3 Engineering findings</w:t>
      </w:r>
    </w:p>
    <w:p>
      <w:pPr>
        <w:pStyle w:val="ListBullet"/>
      </w:pPr>
      <w:r>
        <w:t>A void attack must split toolpath segments at the void boundary; naïve endpoint deletion is a no-op on edge-to-edge infill lines — a subtlety that likely affects earlier synthetic studies.</w:t>
      </w:r>
    </w:p>
    <w:p>
      <w:pPr>
        <w:pStyle w:val="ListBullet"/>
      </w:pPr>
      <w:r>
        <w:t>Per-layer features are required to see small voids; whole-file ratios dilute them below the benign-variation noise floor (benign variants move the travel-in-fill feature by ≤0.024, real voids by 0.05–0.32).</w:t>
      </w:r>
    </w:p>
    <w:p>
      <w:pPr>
        <w:pStyle w:val="ListBullet"/>
      </w:pPr>
      <w:r>
        <w:t>Thin-wall parts carry no infill, so void/infill attacks are inapplicable — the benchmark records this rather than mislabelling.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cket_void_insertion_s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Figure 2. Rendered toolpath of the bracket with an inserted void (right: the affected layer).</w:t>
      </w:r>
    </w:p>
    <w:p>
      <w:pPr>
        <w:pStyle w:val="Heading1"/>
      </w:pPr>
      <w:r>
        <w:t>6. Work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008"/>
          </w:tcPr>
          <w:p>
            <w:r/>
            <w:r>
              <w:rPr>
                <w:b/>
              </w:rPr>
              <w:t>Weeks</w:t>
            </w:r>
          </w:p>
        </w:tc>
        <w:tc>
          <w:tcPr>
            <w:tcW w:type="dxa" w:w="4608"/>
          </w:tcPr>
          <w:p>
            <w:r/>
            <w:r>
              <w:rPr>
                <w:b/>
              </w:rPr>
              <w:t>Activities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Deliverable</w:t>
            </w:r>
          </w:p>
        </w:tc>
      </w:tr>
      <w:tr>
        <w:tc>
          <w:tcPr>
            <w:tcW w:type="dxa" w:w="2016"/>
          </w:tcPr>
          <w:p>
            <w:r>
              <w:t>1. LLM/VLM detection</w:t>
            </w:r>
          </w:p>
        </w:tc>
        <w:tc>
          <w:tcPr>
            <w:tcW w:type="dxa" w:w="1008"/>
          </w:tcPr>
          <w:p>
            <w:r>
              <w:t>1–3</w:t>
            </w:r>
          </w:p>
        </w:tc>
        <w:tc>
          <w:tcPr>
            <w:tcW w:type="dxa" w:w="4608"/>
          </w:tcPr>
          <w:p>
            <w:r>
              <w:t>Run Claude detectors (summary+reference, raw no-reference, image); calibration; attribution accuracy; cost</w:t>
            </w:r>
          </w:p>
        </w:tc>
        <w:tc>
          <w:tcPr>
            <w:tcW w:type="dxa" w:w="1728"/>
          </w:tcPr>
          <w:p>
            <w:r>
              <w:t>Track A results</w:t>
            </w:r>
          </w:p>
        </w:tc>
      </w:tr>
      <w:tr>
        <w:tc>
          <w:tcPr>
            <w:tcW w:type="dxa" w:w="2016"/>
          </w:tcPr>
          <w:p>
            <w:r>
              <w:t>2. Real-slicer port</w:t>
            </w:r>
          </w:p>
        </w:tc>
        <w:tc>
          <w:tcPr>
            <w:tcW w:type="dxa" w:w="1008"/>
          </w:tcPr>
          <w:p>
            <w:r>
              <w:t>3–5</w:t>
            </w:r>
          </w:p>
        </w:tc>
        <w:tc>
          <w:tcPr>
            <w:tcW w:type="dxa" w:w="4608"/>
          </w:tcPr>
          <w:p>
            <w:r>
              <w:t>Regenerate attacks on PrusaSlicer/Cura G-code; confirm findings transfer</w:t>
            </w:r>
          </w:p>
        </w:tc>
        <w:tc>
          <w:tcPr>
            <w:tcW w:type="dxa" w:w="1728"/>
          </w:tcPr>
          <w:p>
            <w:r>
              <w:t>Benchmark v1.0</w:t>
            </w:r>
          </w:p>
        </w:tc>
      </w:tr>
      <w:tr>
        <w:tc>
          <w:tcPr>
            <w:tcW w:type="dxa" w:w="2016"/>
          </w:tcPr>
          <w:p>
            <w:r>
              <w:t>3. Obfuscation red team</w:t>
            </w:r>
          </w:p>
        </w:tc>
        <w:tc>
          <w:tcPr>
            <w:tcW w:type="dxa" w:w="1008"/>
          </w:tcPr>
          <w:p>
            <w:r>
              <w:t>4–8</w:t>
            </w:r>
          </w:p>
        </w:tc>
        <w:tc>
          <w:tcPr>
            <w:tcW w:type="dxa" w:w="4608"/>
          </w:tcPr>
          <w:p>
            <w:r>
              <w:t>Implement Chen–Gupta schemes on benchmark parts; LLM/VLM de-obfuscation; IoU scoring; hardening variants</w:t>
            </w:r>
          </w:p>
        </w:tc>
        <w:tc>
          <w:tcPr>
            <w:tcW w:type="dxa" w:w="1728"/>
          </w:tcPr>
          <w:p>
            <w:r>
              <w:t>Track B results</w:t>
            </w:r>
          </w:p>
        </w:tc>
      </w:tr>
      <w:tr>
        <w:tc>
          <w:tcPr>
            <w:tcW w:type="dxa" w:w="2016"/>
          </w:tcPr>
          <w:p>
            <w:r>
              <w:t>4. Physical validation</w:t>
            </w:r>
          </w:p>
        </w:tc>
        <w:tc>
          <w:tcPr>
            <w:tcW w:type="dxa" w:w="1008"/>
          </w:tcPr>
          <w:p>
            <w:r>
              <w:t>6–10</w:t>
            </w:r>
          </w:p>
        </w:tc>
        <w:tc>
          <w:tcPr>
            <w:tcW w:type="dxa" w:w="4608"/>
          </w:tcPr>
          <w:p>
            <w:r>
              <w:t>Print a subset (clean vs sabotaged) in the Gupta lab; µCT/mechanical test to confirm attack effect</w:t>
            </w:r>
          </w:p>
        </w:tc>
        <w:tc>
          <w:tcPr>
            <w:tcW w:type="dxa" w:w="1728"/>
          </w:tcPr>
          <w:p>
            <w:r>
              <w:t>Validation data</w:t>
            </w:r>
          </w:p>
        </w:tc>
      </w:tr>
      <w:tr>
        <w:tc>
          <w:tcPr>
            <w:tcW w:type="dxa" w:w="2016"/>
          </w:tcPr>
          <w:p>
            <w:r>
              <w:t>5. Writing / proposal</w:t>
            </w:r>
          </w:p>
        </w:tc>
        <w:tc>
          <w:tcPr>
            <w:tcW w:type="dxa" w:w="1008"/>
          </w:tcPr>
          <w:p>
            <w:r>
              <w:t>8–12</w:t>
            </w:r>
          </w:p>
        </w:tc>
        <w:tc>
          <w:tcPr>
            <w:tcW w:type="dxa" w:w="4608"/>
          </w:tcPr>
          <w:p>
            <w:r>
              <w:t>Benchmark + findings papers; NSF SaTC / DoD white paper</w:t>
            </w:r>
          </w:p>
        </w:tc>
        <w:tc>
          <w:tcPr>
            <w:tcW w:type="dxa" w:w="1728"/>
          </w:tcPr>
          <w:p>
            <w:r>
              <w:t>Submissions</w:t>
            </w:r>
          </w:p>
        </w:tc>
      </w:tr>
    </w:tbl>
    <w:p/>
    <w:p>
      <w:pPr>
        <w:pStyle w:val="Heading1"/>
      </w:pPr>
      <w:r>
        <w:t>7. Expected Outputs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</w:tcPr>
          <w:p>
            <w:r/>
            <w:r>
              <w:rPr>
                <w:b/>
              </w:rPr>
              <w:t>Output</w:t>
            </w:r>
          </w:p>
        </w:tc>
        <w:tc>
          <w:tcPr>
            <w:tcW w:type="dxa" w:w="3312"/>
          </w:tcPr>
          <w:p>
            <w:r/>
            <w:r>
              <w:rPr>
                <w:b/>
              </w:rPr>
              <w:t>Venue options</w:t>
            </w:r>
          </w:p>
        </w:tc>
        <w:tc>
          <w:tcPr>
            <w:tcW w:type="dxa" w:w="3600"/>
          </w:tcPr>
          <w:p>
            <w:r/>
            <w:r>
              <w:rPr>
                <w:b/>
              </w:rPr>
              <w:t>Contribution</w:t>
            </w:r>
          </w:p>
        </w:tc>
      </w:tr>
      <w:tr>
        <w:tc>
          <w:tcPr>
            <w:tcW w:type="dxa" w:w="2448"/>
          </w:tcPr>
          <w:p>
            <w:r>
              <w:t>Benchmark + detection paper</w:t>
            </w:r>
          </w:p>
        </w:tc>
        <w:tc>
          <w:tcPr>
            <w:tcW w:type="dxa" w:w="3312"/>
          </w:tcPr>
          <w:p>
            <w:r>
              <w:t>USENIX Security / IEEE S&amp;P (dataset &amp; benchmark track); ACSAC; Additive Manufacturing</w:t>
            </w:r>
          </w:p>
        </w:tc>
        <w:tc>
          <w:tcPr>
            <w:tcW w:type="dxa" w:w="3600"/>
          </w:tcPr>
          <w:p>
            <w:r>
              <w:t>First LLM/VLM evaluation for AM sabotage detection with benign-variant false-positive analysis</w:t>
            </w:r>
          </w:p>
        </w:tc>
      </w:tr>
      <w:tr>
        <w:tc>
          <w:tcPr>
            <w:tcW w:type="dxa" w:w="2448"/>
          </w:tcPr>
          <w:p>
            <w:r>
              <w:t>Red-team paper</w:t>
            </w:r>
          </w:p>
        </w:tc>
        <w:tc>
          <w:tcPr>
            <w:tcW w:type="dxa" w:w="3312"/>
          </w:tcPr>
          <w:p>
            <w:r>
              <w:t>IEEE S&amp;P / CCS workshops (CPS-SPC); Journal of Manufacturing Systems</w:t>
            </w:r>
          </w:p>
        </w:tc>
        <w:tc>
          <w:tcPr>
            <w:tcW w:type="dxa" w:w="3600"/>
          </w:tcPr>
          <w:p>
            <w:r>
              <w:t>Whether design obfuscation survives multimodal AI; hardened variants</w:t>
            </w:r>
          </w:p>
        </w:tc>
      </w:tr>
      <w:tr>
        <w:tc>
          <w:tcPr>
            <w:tcW w:type="dxa" w:w="2448"/>
          </w:tcPr>
          <w:p>
            <w:r>
              <w:t>Open benchmark + code</w:t>
            </w:r>
          </w:p>
        </w:tc>
        <w:tc>
          <w:tcPr>
            <w:tcW w:type="dxa" w:w="3312"/>
          </w:tcPr>
          <w:p>
            <w:r>
              <w:t>GitHub + Zenodo</w:t>
            </w:r>
          </w:p>
        </w:tc>
        <w:tc>
          <w:tcPr>
            <w:tcW w:type="dxa" w:w="3600"/>
          </w:tcPr>
          <w:p>
            <w:r>
              <w:t>Reusable, extendable to other AM processes</w:t>
            </w:r>
          </w:p>
        </w:tc>
      </w:tr>
      <w:tr>
        <w:tc>
          <w:tcPr>
            <w:tcW w:type="dxa" w:w="2448"/>
          </w:tcPr>
          <w:p>
            <w:r>
              <w:t>Funding proposal</w:t>
            </w:r>
          </w:p>
        </w:tc>
        <w:tc>
          <w:tcPr>
            <w:tcW w:type="dxa" w:w="3312"/>
          </w:tcPr>
          <w:p>
            <w:r>
              <w:t>NSF SaTC, DoD/ARL manufacturing security, NYU CCS seed</w:t>
            </w:r>
          </w:p>
        </w:tc>
        <w:tc>
          <w:tcPr>
            <w:tcW w:type="dxa" w:w="3600"/>
          </w:tcPr>
          <w:p>
            <w:r>
              <w:t>Both PIs have track record; benchmark provides preliminary data</w:t>
            </w:r>
          </w:p>
        </w:tc>
      </w:tr>
    </w:tbl>
    <w:p/>
    <w:p>
      <w:pPr>
        <w:pStyle w:val="Heading1"/>
      </w:pPr>
      <w:r>
        <w:t>8. Resources and Budget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Estimate</w:t>
            </w:r>
          </w:p>
        </w:tc>
      </w:tr>
      <w:tr>
        <w:tc>
          <w:tcPr>
            <w:tcW w:type="dxa" w:w="6480"/>
          </w:tcPr>
          <w:p>
            <w:r>
              <w:t>LLM/VLM detection runs (Track A, ~150 files × 3 modes)</w:t>
            </w:r>
          </w:p>
        </w:tc>
        <w:tc>
          <w:tcPr>
            <w:tcW w:type="dxa" w:w="2880"/>
          </w:tcPr>
          <w:p>
            <w:r>
              <w:t>≈ US$50–100</w:t>
            </w:r>
          </w:p>
        </w:tc>
      </w:tr>
      <w:tr>
        <w:tc>
          <w:tcPr>
            <w:tcW w:type="dxa" w:w="6480"/>
          </w:tcPr>
          <w:p>
            <w:r>
              <w:t>Red-team runs (Track B, 10 parts × 2 schemes × repeats)</w:t>
            </w:r>
          </w:p>
        </w:tc>
        <w:tc>
          <w:tcPr>
            <w:tcW w:type="dxa" w:w="2880"/>
          </w:tcPr>
          <w:p>
            <w:r>
              <w:t>≈ US$30–60</w:t>
            </w:r>
          </w:p>
        </w:tc>
      </w:tr>
      <w:tr>
        <w:tc>
          <w:tcPr>
            <w:tcW w:type="dxa" w:w="6480"/>
          </w:tcPr>
          <w:p>
            <w:r>
              <w:t>Printing + testing of validation specimens</w:t>
            </w:r>
          </w:p>
        </w:tc>
        <w:tc>
          <w:tcPr>
            <w:tcW w:type="dxa" w:w="2880"/>
          </w:tcPr>
          <w:p>
            <w:r>
              <w:t>Gupta lab consumables; µCT time</w:t>
            </w:r>
          </w:p>
        </w:tc>
      </w:tr>
      <w:tr>
        <w:tc>
          <w:tcPr>
            <w:tcW w:type="dxa" w:w="64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Laptop-scale</w:t>
            </w:r>
          </w:p>
        </w:tc>
      </w:tr>
    </w:tbl>
    <w:p/>
    <w:p>
      <w:pPr>
        <w:pStyle w:val="Heading1"/>
      </w:pPr>
      <w:r>
        <w:t>9. Roles</w:t>
      </w:r>
    </w:p>
    <w:p>
      <w:pPr>
        <w:pStyle w:val="ListBullet"/>
      </w:pPr>
      <w:r>
        <w:t>Harsh Vardhan Gupta: benchmark engineering, attack/detector implementation, LLM/VLM experiments, analysis, drafting.</w:t>
      </w:r>
    </w:p>
    <w:p>
      <w:pPr>
        <w:pStyle w:val="ListBullet"/>
      </w:pPr>
      <w:r>
        <w:t>Prof. Nikhil Gupta: AM process and materials expertise, obfuscation schemes, physical validation, co-authorship.</w:t>
      </w:r>
    </w:p>
    <w:p>
      <w:pPr>
        <w:pStyle w:val="ListBullet"/>
      </w:pPr>
      <w:r>
        <w:t>Prof. Ramesh Karri: threat modelling, security-venue framing, red-team methodology, co-authorship and funding strategy.</w:t>
      </w:r>
    </w:p>
    <w:p>
      <w:pPr>
        <w:pStyle w:val="Heading1"/>
      </w:pPr>
      <w:r>
        <w:t>10. Risks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Mitigation</w:t>
            </w:r>
          </w:p>
        </w:tc>
      </w:tr>
      <w:tr>
        <w:tc>
          <w:tcPr>
            <w:tcW w:type="dxa" w:w="3744"/>
          </w:tcPr>
          <w:p>
            <w:r>
              <w:t>Synthetic slicer differs from real slicers</w:t>
            </w:r>
          </w:p>
        </w:tc>
        <w:tc>
          <w:tcPr>
            <w:tcW w:type="dxa" w:w="5616"/>
          </w:tcPr>
          <w:p>
            <w:r>
              <w:t>Phase 2 port to PrusaSlicer/Cura; attacks operate on G-code so they transfer</w:t>
            </w:r>
          </w:p>
        </w:tc>
      </w:tr>
      <w:tr>
        <w:tc>
          <w:tcPr>
            <w:tcW w:type="dxa" w:w="3744"/>
          </w:tcPr>
          <w:p>
            <w:r>
              <w:t>LLM cost / context limits on raw G-code</w:t>
            </w:r>
          </w:p>
        </w:tc>
        <w:tc>
          <w:tcPr>
            <w:tcW w:type="dxa" w:w="5616"/>
          </w:tcPr>
          <w:p>
            <w:r>
              <w:t>Per-layer summary mode; chunked windows; Message Batches</w:t>
            </w:r>
          </w:p>
        </w:tc>
      </w:tr>
      <w:tr>
        <w:tc>
          <w:tcPr>
            <w:tcW w:type="dxa" w:w="3744"/>
          </w:tcPr>
          <w:p>
            <w:r>
              <w:t>Dual-use concern in Track B</w:t>
            </w:r>
          </w:p>
        </w:tc>
        <w:tc>
          <w:tcPr>
            <w:tcW w:type="dxa" w:w="5616"/>
          </w:tcPr>
          <w:p>
            <w:r>
              <w:t>Synthetic parts only; academic defenses evaluated with their authors; no real-system exploitation; responsible disclosure norms</w:t>
            </w:r>
          </w:p>
        </w:tc>
      </w:tr>
      <w:tr>
        <w:tc>
          <w:tcPr>
            <w:tcW w:type="dxa" w:w="3744"/>
          </w:tcPr>
          <w:p>
            <w:r>
              <w:t>Small part library</w:t>
            </w:r>
          </w:p>
        </w:tc>
        <w:tc>
          <w:tcPr>
            <w:tcW w:type="dxa" w:w="5616"/>
          </w:tcPr>
          <w:p>
            <w:r>
              <w:t>Parametric generator scales to hundreds of parts; add open-source functional parts</w:t>
            </w:r>
          </w:p>
        </w:tc>
      </w:tr>
    </w:tbl>
    <w:p/>
    <w:p>
      <w:pPr>
        <w:pStyle w:val="Heading1"/>
      </w:pPr>
      <w:r>
        <w:t>References</w:t>
      </w:r>
    </w:p>
    <w:p>
      <w:pPr>
        <w:pStyle w:val="ListBullet"/>
      </w:pPr>
      <w:r>
        <w:t>Gupta N., Karri R. et al. A survey of cybersecurity of digital manufacturing. Proceedings of the IEEE, 2020.</w:t>
      </w:r>
    </w:p>
    <w:p>
      <w:pPr>
        <w:pStyle w:val="ListBullet"/>
      </w:pPr>
      <w:r>
        <w:t>Chen F. Design-based security strategies for the additive manufacturing cyber-physical systems. PhD thesis, NYU, 2019.</w:t>
      </w:r>
    </w:p>
    <w:p>
      <w:pPr>
        <w:pStyle w:val="ListBullet"/>
      </w:pPr>
      <w:r>
        <w:t>Belikovetsky S. et al. dr0wned — cyber-physical attack with additive manufacturing. USENIX WOOT, 2017.</w:t>
      </w:r>
    </w:p>
    <w:p>
      <w:pPr>
        <w:pStyle w:val="ListBullet"/>
      </w:pPr>
      <w:r>
        <w:t>Rossel J. et al. Security implications of malicious G-codes in 3D printing. USENIX Security, 2025.</w:t>
      </w:r>
    </w:p>
    <w:p>
      <w:pPr>
        <w:pStyle w:val="ListBullet"/>
      </w:pPr>
      <w:r>
        <w:t>Yoginath S. et al. Stealthy cyber anomaly detection on large noisy multi-material 3D printer datasets. ACM AMSec, 2022.</w:t>
      </w:r>
    </w:p>
    <w:p>
      <w:pPr>
        <w:pStyle w:val="ListBullet"/>
      </w:pPr>
      <w:r>
        <w:t>Mahmood M.A. et al. A novel framework for identification of cyber-physical attacks in additive manufacturing. Progress in Additive Manufacturing, 2025.</w:t>
      </w:r>
    </w:p>
    <w:p>
      <w:pPr>
        <w:pStyle w:val="ListBullet"/>
      </w:pPr>
      <w:r>
        <w:t>Asgar S.A.G., Reddy N. Firewall3D: a hardware firewall for defending 3D printers against firmware attacks. arXiv, 2026.</w:t>
      </w:r>
    </w:p>
    <w:p>
      <w:pPr>
        <w:pStyle w:val="ListBullet"/>
      </w:pPr>
      <w:r>
        <w:t>Zolfagharian A. et al. Roadmap on artificial intelligence-augmented additive manufacturing. Advanced Intelligent Systems, 2026.</w:t>
      </w:r>
    </w:p>
    <w:p>
      <w:pPr>
        <w:pStyle w:val="ListBullet"/>
      </w:pPr>
      <w:r>
        <w:t>Gupta N., Beckwith C. Architected Metamaterials: Design Principles and Properties. Springer, 2025.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