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Generated Radiology Interpretation Report: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**Observations:**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Review of multiple chest radiographs (DICOM files as listed) demonstrates consistent findings across all studies. Predominant abnormalities include: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**Atelectasis**: Collapse or incomplete inflation of lung segments, noted bilaterally.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**Consolidation**: Airspace opacification suggestive of infectious, inflammatory, or fluid-filled alveolar processes.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**Edema**: Interstitial or alveolar fluid accumulation, potentially indicative of cardiogenic or non-cardiogenic pulmonary edema.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**Effusion**: Pleural fluid collections, likely bilateral, with blunting of costophrenic angles.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**Lung Opacity**: Diffuse or multifocal hazy opacities, overlapping with the above pathologies.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normal lung fields are described. The findings are extensive and involve all lung zones.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**Impression:**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imaging findings are highly concerning for a severe, diffuse pulmonary process. The combination of **consolidation, edema, and pleural effusion** suggests multifactorial pathology, such as: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**Severe pneumonia** with parapneumonic effusion.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**Acute respiratory distress syndrome (ARDS)** in the context of systemic illness.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**Cardiogenic pulmonary edema** secondary to heart failure, though bilateral effusions may also indicate fluid overload or renal dysfunction.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**Atelectasis** may reflect underlying mucus plugging, compression, or hypoventilation.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**Recommendations:**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Clinical correlation with inflammatory markers, BNP, and cultures is critical.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Consider chest CT for detailed evaluation of parenchymal and pleural disease.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Assess for signs of hemodynamic compromise or sepsis, given the extensive involvement.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Exclude aspiration, acute lung injury, or multifocal infections (e.g., viral, bacterial, or fungal).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uniformity of findings across all images underscores the need for urgent multidisciplinary evaluation.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