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31E7"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CASE STUDY</w:t>
      </w:r>
    </w:p>
    <w:p w14:paraId="444147C1" w14:textId="77777777" w:rsidR="004A2D11" w:rsidRPr="004A2D11" w:rsidRDefault="004A2D11" w:rsidP="004A2D11">
      <w:pPr>
        <w:jc w:val="center"/>
        <w:rPr>
          <w:rFonts w:ascii="Times New Roman" w:hAnsi="Times New Roman" w:cs="Times New Roman"/>
          <w:b/>
          <w:bCs/>
          <w:sz w:val="36"/>
          <w:szCs w:val="36"/>
          <w:lang w:val="en-US"/>
        </w:rPr>
      </w:pPr>
    </w:p>
    <w:p w14:paraId="176A92FA"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21LEM101T- CONSTITUTION OF INDIA</w:t>
      </w:r>
    </w:p>
    <w:p w14:paraId="1E6DDBAF" w14:textId="77777777" w:rsidR="004A2D11" w:rsidRPr="004A2D11" w:rsidRDefault="004A2D11" w:rsidP="004A2D11">
      <w:pPr>
        <w:jc w:val="center"/>
        <w:rPr>
          <w:rFonts w:ascii="Times New Roman" w:hAnsi="Times New Roman" w:cs="Times New Roman"/>
          <w:b/>
          <w:bCs/>
          <w:sz w:val="36"/>
          <w:szCs w:val="36"/>
          <w:lang w:val="en-US"/>
        </w:rPr>
      </w:pPr>
    </w:p>
    <w:p w14:paraId="4EA925D7" w14:textId="669C8A2D"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TOPIC</w:t>
      </w:r>
      <w:r w:rsidRPr="004A2D11">
        <w:rPr>
          <w:rFonts w:ascii="Times New Roman" w:hAnsi="Times New Roman" w:cs="Times New Roman"/>
          <w:b/>
          <w:bCs/>
          <w:sz w:val="36"/>
          <w:szCs w:val="36"/>
          <w:lang w:val="en-US"/>
        </w:rPr>
        <w:t xml:space="preserve"> – LAXMI ACID ATTACK</w:t>
      </w:r>
    </w:p>
    <w:p w14:paraId="233411B1" w14:textId="77777777" w:rsidR="004A2D11" w:rsidRPr="004A2D11" w:rsidRDefault="004A2D11" w:rsidP="004A2D11">
      <w:pPr>
        <w:jc w:val="center"/>
        <w:rPr>
          <w:rFonts w:ascii="Times New Roman" w:hAnsi="Times New Roman" w:cs="Times New Roman"/>
          <w:b/>
          <w:bCs/>
          <w:sz w:val="36"/>
          <w:szCs w:val="36"/>
          <w:lang w:val="en-US"/>
        </w:rPr>
      </w:pPr>
    </w:p>
    <w:p w14:paraId="333C1E23" w14:textId="77917B4C"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Submitted by</w:t>
      </w:r>
    </w:p>
    <w:p w14:paraId="1B9EE1CA"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TEAM NAME: CONSTITUTIONAL KNIGHTS</w:t>
      </w:r>
    </w:p>
    <w:p w14:paraId="0EAAADD4" w14:textId="77777777" w:rsidR="004A2D11" w:rsidRPr="004A2D11" w:rsidRDefault="004A2D11" w:rsidP="004A2D11">
      <w:pPr>
        <w:jc w:val="center"/>
        <w:rPr>
          <w:rFonts w:ascii="Times New Roman" w:hAnsi="Times New Roman" w:cs="Times New Roman"/>
          <w:b/>
          <w:bCs/>
          <w:sz w:val="36"/>
          <w:szCs w:val="36"/>
          <w:lang w:val="en-US"/>
        </w:rPr>
      </w:pPr>
    </w:p>
    <w:p w14:paraId="62401E72" w14:textId="1F97692D"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Submitted to</w:t>
      </w:r>
    </w:p>
    <w:p w14:paraId="50DCDADF"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Dr. B. Monika Nair</w:t>
      </w:r>
    </w:p>
    <w:p w14:paraId="43C58696"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Assistant Professor</w:t>
      </w:r>
    </w:p>
    <w:p w14:paraId="0BC8FFB6"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Department of Language, Culture and Society</w:t>
      </w:r>
    </w:p>
    <w:p w14:paraId="3906AD14"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SRM Institute of Science and Technology</w:t>
      </w:r>
    </w:p>
    <w:p w14:paraId="0F8CB82B" w14:textId="77777777" w:rsidR="004A2D11" w:rsidRP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Date of submission</w:t>
      </w:r>
    </w:p>
    <w:p w14:paraId="78B8CDC5" w14:textId="06CE9CB6" w:rsidR="004A2D11" w:rsidRDefault="004A2D11" w:rsidP="004A2D11">
      <w:pPr>
        <w:jc w:val="center"/>
        <w:rPr>
          <w:rFonts w:ascii="Times New Roman" w:hAnsi="Times New Roman" w:cs="Times New Roman"/>
          <w:b/>
          <w:bCs/>
          <w:sz w:val="36"/>
          <w:szCs w:val="36"/>
          <w:lang w:val="en-US"/>
        </w:rPr>
      </w:pPr>
      <w:r w:rsidRPr="004A2D11">
        <w:rPr>
          <w:rFonts w:ascii="Times New Roman" w:hAnsi="Times New Roman" w:cs="Times New Roman"/>
          <w:b/>
          <w:bCs/>
          <w:sz w:val="36"/>
          <w:szCs w:val="36"/>
          <w:lang w:val="en-US"/>
        </w:rPr>
        <w:t>10 April 2</w:t>
      </w:r>
      <w:r>
        <w:rPr>
          <w:rFonts w:ascii="Times New Roman" w:hAnsi="Times New Roman" w:cs="Times New Roman"/>
          <w:b/>
          <w:bCs/>
          <w:sz w:val="36"/>
          <w:szCs w:val="36"/>
          <w:lang w:val="en-US"/>
        </w:rPr>
        <w:t>026</w:t>
      </w:r>
    </w:p>
    <w:p w14:paraId="754DF76A" w14:textId="77777777" w:rsidR="004A2D11" w:rsidRDefault="004A2D11">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72AD60E9" w14:textId="77777777" w:rsidR="004A2D11" w:rsidRDefault="004A2D11" w:rsidP="004A2D11">
      <w:pPr>
        <w:pStyle w:val="BodyText"/>
        <w:spacing w:before="286"/>
        <w:jc w:val="center"/>
        <w:rPr>
          <w:sz w:val="56"/>
        </w:rPr>
      </w:pPr>
      <w:r>
        <w:rPr>
          <w:sz w:val="56"/>
        </w:rPr>
        <w:lastRenderedPageBreak/>
        <w:t>Team Members</w:t>
      </w:r>
    </w:p>
    <w:p w14:paraId="31A736B9" w14:textId="77777777" w:rsidR="004A2D11" w:rsidRDefault="004A2D11" w:rsidP="004A2D11">
      <w:pPr>
        <w:jc w:val="center"/>
        <w:rPr>
          <w:rFonts w:ascii="Times New Roman" w:hAnsi="Times New Roman" w:cs="Times New Roman"/>
          <w:b/>
          <w:bCs/>
          <w:sz w:val="36"/>
          <w:szCs w:val="36"/>
          <w:lang w:val="en-US"/>
        </w:rPr>
      </w:pPr>
    </w:p>
    <w:tbl>
      <w:tblPr>
        <w:tblStyle w:val="TableGrid"/>
        <w:tblpPr w:leftFromText="180" w:rightFromText="180" w:vertAnchor="text" w:horzAnchor="margin" w:tblpXSpec="center" w:tblpY="660"/>
        <w:tblW w:w="9026" w:type="dxa"/>
        <w:tblLook w:val="04A0" w:firstRow="1" w:lastRow="0" w:firstColumn="1" w:lastColumn="0" w:noHBand="0" w:noVBand="1"/>
      </w:tblPr>
      <w:tblGrid>
        <w:gridCol w:w="1470"/>
        <w:gridCol w:w="4236"/>
        <w:gridCol w:w="3320"/>
      </w:tblGrid>
      <w:tr w:rsidR="004A2D11" w:rsidRPr="00B66C08" w14:paraId="5ED29B3F" w14:textId="77777777" w:rsidTr="004A2D11">
        <w:trPr>
          <w:trHeight w:val="706"/>
        </w:trPr>
        <w:tc>
          <w:tcPr>
            <w:tcW w:w="1470" w:type="dxa"/>
          </w:tcPr>
          <w:p w14:paraId="6785C58D" w14:textId="77777777" w:rsidR="004A2D11" w:rsidRPr="00B66C08" w:rsidRDefault="004A2D11" w:rsidP="004A2D11">
            <w:pPr>
              <w:pStyle w:val="BodyText"/>
              <w:spacing w:before="286"/>
              <w:jc w:val="center"/>
              <w:rPr>
                <w:b/>
                <w:bCs/>
                <w:sz w:val="32"/>
                <w:szCs w:val="32"/>
              </w:rPr>
            </w:pPr>
            <w:r w:rsidRPr="00B66C08">
              <w:rPr>
                <w:b/>
                <w:bCs/>
                <w:sz w:val="32"/>
                <w:szCs w:val="32"/>
              </w:rPr>
              <w:t>S.NO</w:t>
            </w:r>
          </w:p>
        </w:tc>
        <w:tc>
          <w:tcPr>
            <w:tcW w:w="4236" w:type="dxa"/>
          </w:tcPr>
          <w:p w14:paraId="11F88D90" w14:textId="77777777" w:rsidR="004A2D11" w:rsidRPr="00B66C08" w:rsidRDefault="004A2D11" w:rsidP="004A2D11">
            <w:pPr>
              <w:pStyle w:val="BodyText"/>
              <w:spacing w:before="286"/>
              <w:jc w:val="center"/>
              <w:rPr>
                <w:b/>
                <w:bCs/>
                <w:sz w:val="32"/>
                <w:szCs w:val="32"/>
              </w:rPr>
            </w:pPr>
            <w:r w:rsidRPr="00B66C08">
              <w:rPr>
                <w:b/>
                <w:bCs/>
                <w:sz w:val="32"/>
                <w:szCs w:val="32"/>
              </w:rPr>
              <w:t>NAME</w:t>
            </w:r>
          </w:p>
        </w:tc>
        <w:tc>
          <w:tcPr>
            <w:tcW w:w="3320" w:type="dxa"/>
          </w:tcPr>
          <w:p w14:paraId="075B90E7" w14:textId="77777777" w:rsidR="004A2D11" w:rsidRPr="00B66C08" w:rsidRDefault="004A2D11" w:rsidP="004A2D11">
            <w:pPr>
              <w:pStyle w:val="BodyText"/>
              <w:spacing w:before="286"/>
              <w:jc w:val="center"/>
              <w:rPr>
                <w:b/>
                <w:bCs/>
                <w:sz w:val="32"/>
                <w:szCs w:val="32"/>
              </w:rPr>
            </w:pPr>
            <w:r w:rsidRPr="00B66C08">
              <w:rPr>
                <w:b/>
                <w:bCs/>
                <w:sz w:val="32"/>
                <w:szCs w:val="32"/>
              </w:rPr>
              <w:t>REG NO</w:t>
            </w:r>
          </w:p>
        </w:tc>
      </w:tr>
      <w:tr w:rsidR="004A2D11" w:rsidRPr="00B66C08" w14:paraId="00D4B8E7" w14:textId="77777777" w:rsidTr="004A2D11">
        <w:trPr>
          <w:trHeight w:val="40"/>
        </w:trPr>
        <w:tc>
          <w:tcPr>
            <w:tcW w:w="1470" w:type="dxa"/>
          </w:tcPr>
          <w:p w14:paraId="509ABBF8" w14:textId="77777777" w:rsidR="004A2D11" w:rsidRPr="00B66C08" w:rsidRDefault="004A2D11" w:rsidP="004A2D11">
            <w:pPr>
              <w:pStyle w:val="BodyText"/>
              <w:spacing w:before="286"/>
              <w:jc w:val="center"/>
              <w:rPr>
                <w:sz w:val="28"/>
                <w:szCs w:val="28"/>
              </w:rPr>
            </w:pPr>
            <w:r>
              <w:rPr>
                <w:sz w:val="28"/>
                <w:szCs w:val="28"/>
              </w:rPr>
              <w:t>1.</w:t>
            </w:r>
          </w:p>
        </w:tc>
        <w:tc>
          <w:tcPr>
            <w:tcW w:w="4236" w:type="dxa"/>
          </w:tcPr>
          <w:p w14:paraId="5B29EB24" w14:textId="77777777" w:rsidR="004A2D11" w:rsidRPr="00B66C08" w:rsidRDefault="004A2D11" w:rsidP="004A2D11">
            <w:pPr>
              <w:pStyle w:val="BodyText"/>
              <w:spacing w:before="286"/>
              <w:jc w:val="center"/>
              <w:rPr>
                <w:sz w:val="28"/>
                <w:szCs w:val="28"/>
              </w:rPr>
            </w:pPr>
            <w:r>
              <w:rPr>
                <w:sz w:val="28"/>
                <w:szCs w:val="28"/>
              </w:rPr>
              <w:t>HARSHITHA G</w:t>
            </w:r>
          </w:p>
        </w:tc>
        <w:tc>
          <w:tcPr>
            <w:tcW w:w="3320" w:type="dxa"/>
          </w:tcPr>
          <w:p w14:paraId="722E99F1" w14:textId="77777777" w:rsidR="004A2D11" w:rsidRPr="00B66C08" w:rsidRDefault="004A2D11" w:rsidP="004A2D11">
            <w:pPr>
              <w:pStyle w:val="BodyText"/>
              <w:spacing w:before="286"/>
              <w:jc w:val="center"/>
              <w:rPr>
                <w:sz w:val="28"/>
                <w:szCs w:val="28"/>
              </w:rPr>
            </w:pPr>
            <w:r>
              <w:rPr>
                <w:sz w:val="28"/>
                <w:szCs w:val="28"/>
              </w:rPr>
              <w:t>RA2511026011017</w:t>
            </w:r>
          </w:p>
        </w:tc>
      </w:tr>
      <w:tr w:rsidR="004A2D11" w:rsidRPr="00B66C08" w14:paraId="5711DDE2" w14:textId="77777777" w:rsidTr="004A2D11">
        <w:trPr>
          <w:trHeight w:val="40"/>
        </w:trPr>
        <w:tc>
          <w:tcPr>
            <w:tcW w:w="1470" w:type="dxa"/>
          </w:tcPr>
          <w:p w14:paraId="7BC61D41" w14:textId="77777777" w:rsidR="004A2D11" w:rsidRPr="00B66C08" w:rsidRDefault="004A2D11" w:rsidP="004A2D11">
            <w:pPr>
              <w:pStyle w:val="BodyText"/>
              <w:spacing w:before="286"/>
              <w:jc w:val="center"/>
              <w:rPr>
                <w:sz w:val="28"/>
                <w:szCs w:val="28"/>
              </w:rPr>
            </w:pPr>
            <w:r>
              <w:rPr>
                <w:sz w:val="28"/>
                <w:szCs w:val="28"/>
              </w:rPr>
              <w:t>2.</w:t>
            </w:r>
          </w:p>
        </w:tc>
        <w:tc>
          <w:tcPr>
            <w:tcW w:w="4236" w:type="dxa"/>
          </w:tcPr>
          <w:p w14:paraId="7A5D2E50" w14:textId="77777777" w:rsidR="004A2D11" w:rsidRPr="00B66C08" w:rsidRDefault="004A2D11" w:rsidP="004A2D11">
            <w:pPr>
              <w:pStyle w:val="BodyText"/>
              <w:spacing w:before="286"/>
              <w:jc w:val="center"/>
              <w:rPr>
                <w:sz w:val="28"/>
                <w:szCs w:val="28"/>
              </w:rPr>
            </w:pPr>
            <w:r>
              <w:rPr>
                <w:sz w:val="28"/>
                <w:szCs w:val="28"/>
              </w:rPr>
              <w:t>SIRAJ EK</w:t>
            </w:r>
          </w:p>
        </w:tc>
        <w:tc>
          <w:tcPr>
            <w:tcW w:w="3320" w:type="dxa"/>
          </w:tcPr>
          <w:p w14:paraId="63C6A76D" w14:textId="77777777" w:rsidR="004A2D11" w:rsidRPr="00B66C08" w:rsidRDefault="004A2D11" w:rsidP="004A2D11">
            <w:pPr>
              <w:pStyle w:val="BodyText"/>
              <w:spacing w:before="286"/>
              <w:jc w:val="center"/>
              <w:rPr>
                <w:sz w:val="28"/>
                <w:szCs w:val="28"/>
              </w:rPr>
            </w:pPr>
            <w:r>
              <w:rPr>
                <w:sz w:val="28"/>
                <w:szCs w:val="28"/>
              </w:rPr>
              <w:t>RA2511026011043</w:t>
            </w:r>
          </w:p>
        </w:tc>
      </w:tr>
      <w:tr w:rsidR="004A2D11" w:rsidRPr="00B66C08" w14:paraId="1BB1671D" w14:textId="77777777" w:rsidTr="004A2D11">
        <w:trPr>
          <w:trHeight w:val="40"/>
        </w:trPr>
        <w:tc>
          <w:tcPr>
            <w:tcW w:w="1470" w:type="dxa"/>
          </w:tcPr>
          <w:p w14:paraId="637A0669" w14:textId="77777777" w:rsidR="004A2D11" w:rsidRPr="00B66C08" w:rsidRDefault="004A2D11" w:rsidP="004A2D11">
            <w:pPr>
              <w:pStyle w:val="BodyText"/>
              <w:spacing w:before="286"/>
              <w:jc w:val="center"/>
              <w:rPr>
                <w:sz w:val="28"/>
                <w:szCs w:val="28"/>
              </w:rPr>
            </w:pPr>
            <w:r>
              <w:rPr>
                <w:sz w:val="28"/>
                <w:szCs w:val="28"/>
              </w:rPr>
              <w:t>3.</w:t>
            </w:r>
          </w:p>
        </w:tc>
        <w:tc>
          <w:tcPr>
            <w:tcW w:w="4236" w:type="dxa"/>
          </w:tcPr>
          <w:p w14:paraId="5B54C5C8" w14:textId="77777777" w:rsidR="004A2D11" w:rsidRPr="00B66C08" w:rsidRDefault="004A2D11" w:rsidP="004A2D11">
            <w:pPr>
              <w:pStyle w:val="BodyText"/>
              <w:spacing w:before="286"/>
              <w:jc w:val="center"/>
              <w:rPr>
                <w:sz w:val="28"/>
                <w:szCs w:val="28"/>
              </w:rPr>
            </w:pPr>
            <w:r>
              <w:rPr>
                <w:sz w:val="28"/>
                <w:szCs w:val="28"/>
              </w:rPr>
              <w:t>ESHAN K THARIK</w:t>
            </w:r>
          </w:p>
        </w:tc>
        <w:tc>
          <w:tcPr>
            <w:tcW w:w="3320" w:type="dxa"/>
          </w:tcPr>
          <w:p w14:paraId="5E34691D" w14:textId="77777777" w:rsidR="004A2D11" w:rsidRPr="00B66C08" w:rsidRDefault="004A2D11" w:rsidP="004A2D11">
            <w:pPr>
              <w:pStyle w:val="BodyText"/>
              <w:spacing w:before="286"/>
              <w:jc w:val="center"/>
              <w:rPr>
                <w:sz w:val="28"/>
                <w:szCs w:val="28"/>
              </w:rPr>
            </w:pPr>
            <w:r>
              <w:rPr>
                <w:sz w:val="28"/>
                <w:szCs w:val="28"/>
              </w:rPr>
              <w:t>RA2511026011044</w:t>
            </w:r>
          </w:p>
        </w:tc>
      </w:tr>
      <w:tr w:rsidR="004A2D11" w:rsidRPr="00B66C08" w14:paraId="2237CF6F" w14:textId="77777777" w:rsidTr="004A2D11">
        <w:trPr>
          <w:trHeight w:val="40"/>
        </w:trPr>
        <w:tc>
          <w:tcPr>
            <w:tcW w:w="1470" w:type="dxa"/>
          </w:tcPr>
          <w:p w14:paraId="7FCD7463" w14:textId="77777777" w:rsidR="004A2D11" w:rsidRPr="00B66C08" w:rsidRDefault="004A2D11" w:rsidP="004A2D11">
            <w:pPr>
              <w:pStyle w:val="BodyText"/>
              <w:spacing w:before="286"/>
              <w:jc w:val="center"/>
              <w:rPr>
                <w:sz w:val="28"/>
                <w:szCs w:val="28"/>
              </w:rPr>
            </w:pPr>
            <w:r>
              <w:rPr>
                <w:sz w:val="28"/>
                <w:szCs w:val="28"/>
              </w:rPr>
              <w:t>4.</w:t>
            </w:r>
          </w:p>
        </w:tc>
        <w:tc>
          <w:tcPr>
            <w:tcW w:w="4236" w:type="dxa"/>
          </w:tcPr>
          <w:p w14:paraId="07F6E44B" w14:textId="77777777" w:rsidR="004A2D11" w:rsidRPr="00B66C08" w:rsidRDefault="004A2D11" w:rsidP="004A2D11">
            <w:pPr>
              <w:pStyle w:val="BodyText"/>
              <w:spacing w:before="286"/>
              <w:jc w:val="center"/>
              <w:rPr>
                <w:sz w:val="28"/>
                <w:szCs w:val="28"/>
              </w:rPr>
            </w:pPr>
            <w:r>
              <w:rPr>
                <w:sz w:val="28"/>
                <w:szCs w:val="28"/>
              </w:rPr>
              <w:t>NETRA V</w:t>
            </w:r>
          </w:p>
        </w:tc>
        <w:tc>
          <w:tcPr>
            <w:tcW w:w="3320" w:type="dxa"/>
          </w:tcPr>
          <w:p w14:paraId="25A0BB22" w14:textId="77777777" w:rsidR="004A2D11" w:rsidRPr="00B66C08" w:rsidRDefault="004A2D11" w:rsidP="004A2D11">
            <w:pPr>
              <w:pStyle w:val="BodyText"/>
              <w:spacing w:before="286"/>
              <w:jc w:val="center"/>
              <w:rPr>
                <w:sz w:val="28"/>
                <w:szCs w:val="28"/>
              </w:rPr>
            </w:pPr>
            <w:r>
              <w:rPr>
                <w:sz w:val="28"/>
                <w:szCs w:val="28"/>
              </w:rPr>
              <w:t>RA2511026011046</w:t>
            </w:r>
          </w:p>
        </w:tc>
      </w:tr>
      <w:tr w:rsidR="004A2D11" w:rsidRPr="00B66C08" w14:paraId="3F467C40" w14:textId="77777777" w:rsidTr="004A2D11">
        <w:trPr>
          <w:trHeight w:val="40"/>
        </w:trPr>
        <w:tc>
          <w:tcPr>
            <w:tcW w:w="1470" w:type="dxa"/>
          </w:tcPr>
          <w:p w14:paraId="521DA51F" w14:textId="77777777" w:rsidR="004A2D11" w:rsidRPr="00B66C08" w:rsidRDefault="004A2D11" w:rsidP="004A2D11">
            <w:pPr>
              <w:pStyle w:val="BodyText"/>
              <w:spacing w:before="286"/>
              <w:jc w:val="center"/>
              <w:rPr>
                <w:sz w:val="28"/>
                <w:szCs w:val="28"/>
              </w:rPr>
            </w:pPr>
            <w:r>
              <w:rPr>
                <w:sz w:val="28"/>
                <w:szCs w:val="28"/>
              </w:rPr>
              <w:t>5.</w:t>
            </w:r>
          </w:p>
        </w:tc>
        <w:tc>
          <w:tcPr>
            <w:tcW w:w="4236" w:type="dxa"/>
          </w:tcPr>
          <w:p w14:paraId="56548142" w14:textId="77777777" w:rsidR="004A2D11" w:rsidRPr="00B66C08" w:rsidRDefault="004A2D11" w:rsidP="004A2D11">
            <w:pPr>
              <w:pStyle w:val="BodyText"/>
              <w:spacing w:before="286"/>
              <w:jc w:val="center"/>
              <w:rPr>
                <w:sz w:val="28"/>
                <w:szCs w:val="28"/>
              </w:rPr>
            </w:pPr>
            <w:r>
              <w:rPr>
                <w:sz w:val="28"/>
                <w:szCs w:val="28"/>
              </w:rPr>
              <w:t>MANOBALA R</w:t>
            </w:r>
          </w:p>
        </w:tc>
        <w:tc>
          <w:tcPr>
            <w:tcW w:w="3320" w:type="dxa"/>
          </w:tcPr>
          <w:p w14:paraId="02EFA981" w14:textId="77777777" w:rsidR="004A2D11" w:rsidRPr="00B66C08" w:rsidRDefault="004A2D11" w:rsidP="004A2D11">
            <w:pPr>
              <w:pStyle w:val="BodyText"/>
              <w:spacing w:before="286"/>
              <w:jc w:val="center"/>
              <w:rPr>
                <w:sz w:val="28"/>
                <w:szCs w:val="28"/>
              </w:rPr>
            </w:pPr>
            <w:r>
              <w:rPr>
                <w:sz w:val="28"/>
                <w:szCs w:val="28"/>
              </w:rPr>
              <w:t>RA2511026011047</w:t>
            </w:r>
          </w:p>
        </w:tc>
      </w:tr>
      <w:tr w:rsidR="004A2D11" w:rsidRPr="00B66C08" w14:paraId="02A9FA98" w14:textId="77777777" w:rsidTr="004A2D11">
        <w:trPr>
          <w:trHeight w:val="40"/>
        </w:trPr>
        <w:tc>
          <w:tcPr>
            <w:tcW w:w="1470" w:type="dxa"/>
          </w:tcPr>
          <w:p w14:paraId="0E197A8C" w14:textId="77777777" w:rsidR="004A2D11" w:rsidRPr="00B66C08" w:rsidRDefault="004A2D11" w:rsidP="004A2D11">
            <w:pPr>
              <w:pStyle w:val="BodyText"/>
              <w:spacing w:before="286"/>
              <w:jc w:val="center"/>
              <w:rPr>
                <w:sz w:val="28"/>
                <w:szCs w:val="28"/>
              </w:rPr>
            </w:pPr>
            <w:r>
              <w:rPr>
                <w:sz w:val="28"/>
                <w:szCs w:val="28"/>
              </w:rPr>
              <w:t>6.</w:t>
            </w:r>
          </w:p>
        </w:tc>
        <w:tc>
          <w:tcPr>
            <w:tcW w:w="4236" w:type="dxa"/>
          </w:tcPr>
          <w:p w14:paraId="027F086E" w14:textId="77777777" w:rsidR="004A2D11" w:rsidRPr="00B66C08" w:rsidRDefault="004A2D11" w:rsidP="004A2D11">
            <w:pPr>
              <w:pStyle w:val="BodyText"/>
              <w:spacing w:before="286"/>
              <w:jc w:val="center"/>
              <w:rPr>
                <w:sz w:val="28"/>
                <w:szCs w:val="28"/>
              </w:rPr>
            </w:pPr>
            <w:r>
              <w:rPr>
                <w:sz w:val="28"/>
                <w:szCs w:val="28"/>
              </w:rPr>
              <w:t>SOUMIYADIP MANNA</w:t>
            </w:r>
          </w:p>
        </w:tc>
        <w:tc>
          <w:tcPr>
            <w:tcW w:w="3320" w:type="dxa"/>
          </w:tcPr>
          <w:p w14:paraId="5E7326F2" w14:textId="77777777" w:rsidR="004A2D11" w:rsidRPr="00B66C08" w:rsidRDefault="004A2D11" w:rsidP="004A2D11">
            <w:pPr>
              <w:pStyle w:val="BodyText"/>
              <w:spacing w:before="286"/>
              <w:jc w:val="center"/>
              <w:rPr>
                <w:sz w:val="28"/>
                <w:szCs w:val="28"/>
              </w:rPr>
            </w:pPr>
            <w:r>
              <w:rPr>
                <w:sz w:val="28"/>
                <w:szCs w:val="28"/>
              </w:rPr>
              <w:t>RA2511026011049</w:t>
            </w:r>
          </w:p>
        </w:tc>
      </w:tr>
      <w:tr w:rsidR="004A2D11" w:rsidRPr="00B66C08" w14:paraId="33E5A7DF" w14:textId="77777777" w:rsidTr="004A2D11">
        <w:trPr>
          <w:trHeight w:val="1027"/>
        </w:trPr>
        <w:tc>
          <w:tcPr>
            <w:tcW w:w="1470" w:type="dxa"/>
          </w:tcPr>
          <w:p w14:paraId="4DFF5A2E" w14:textId="77777777" w:rsidR="004A2D11" w:rsidRPr="00B66C08" w:rsidRDefault="004A2D11" w:rsidP="004A2D11">
            <w:pPr>
              <w:pStyle w:val="BodyText"/>
              <w:spacing w:before="286"/>
              <w:jc w:val="center"/>
              <w:rPr>
                <w:sz w:val="28"/>
                <w:szCs w:val="28"/>
              </w:rPr>
            </w:pPr>
            <w:r>
              <w:rPr>
                <w:sz w:val="28"/>
                <w:szCs w:val="28"/>
              </w:rPr>
              <w:t>7.</w:t>
            </w:r>
          </w:p>
        </w:tc>
        <w:tc>
          <w:tcPr>
            <w:tcW w:w="4236" w:type="dxa"/>
          </w:tcPr>
          <w:p w14:paraId="5833830F" w14:textId="77777777" w:rsidR="004A2D11" w:rsidRPr="00B66C08" w:rsidRDefault="004A2D11" w:rsidP="004A2D11">
            <w:pPr>
              <w:pStyle w:val="BodyText"/>
              <w:spacing w:before="286"/>
              <w:jc w:val="center"/>
              <w:rPr>
                <w:sz w:val="28"/>
                <w:szCs w:val="28"/>
              </w:rPr>
            </w:pPr>
            <w:r>
              <w:rPr>
                <w:sz w:val="28"/>
                <w:szCs w:val="28"/>
              </w:rPr>
              <w:t>HARSH SHARMA</w:t>
            </w:r>
          </w:p>
        </w:tc>
        <w:tc>
          <w:tcPr>
            <w:tcW w:w="3320" w:type="dxa"/>
          </w:tcPr>
          <w:p w14:paraId="4B37B9F4" w14:textId="77777777" w:rsidR="004A2D11" w:rsidRPr="00B66C08" w:rsidRDefault="004A2D11" w:rsidP="004A2D11">
            <w:pPr>
              <w:pStyle w:val="BodyText"/>
              <w:spacing w:before="286"/>
              <w:jc w:val="center"/>
              <w:rPr>
                <w:sz w:val="28"/>
                <w:szCs w:val="28"/>
              </w:rPr>
            </w:pPr>
            <w:r>
              <w:rPr>
                <w:sz w:val="28"/>
                <w:szCs w:val="28"/>
              </w:rPr>
              <w:t>RA2511026011085</w:t>
            </w:r>
          </w:p>
        </w:tc>
      </w:tr>
    </w:tbl>
    <w:p w14:paraId="6442570E" w14:textId="77777777" w:rsidR="004A2D11" w:rsidRPr="004A2D11" w:rsidRDefault="004A2D11">
      <w:pPr>
        <w:rPr>
          <w:rFonts w:ascii="Times New Roman" w:hAnsi="Times New Roman" w:cs="Times New Roman"/>
          <w:sz w:val="36"/>
          <w:szCs w:val="36"/>
          <w:lang w:val="en-US"/>
        </w:rPr>
      </w:pPr>
      <w:r>
        <w:rPr>
          <w:rFonts w:ascii="Times New Roman" w:hAnsi="Times New Roman" w:cs="Times New Roman"/>
          <w:b/>
          <w:bCs/>
          <w:sz w:val="36"/>
          <w:szCs w:val="36"/>
          <w:lang w:val="en-US"/>
        </w:rPr>
        <w:br w:type="page"/>
      </w:r>
    </w:p>
    <w:p w14:paraId="2BF835EB" w14:textId="77777777" w:rsidR="004A2D11" w:rsidRDefault="004A2D11" w:rsidP="004A2D11">
      <w:pPr>
        <w:pStyle w:val="BodyText"/>
        <w:spacing w:before="286"/>
        <w:jc w:val="center"/>
        <w:rPr>
          <w:sz w:val="56"/>
        </w:rPr>
      </w:pPr>
      <w:r>
        <w:rPr>
          <w:sz w:val="56"/>
        </w:rPr>
        <w:lastRenderedPageBreak/>
        <w:t>INDEX</w:t>
      </w:r>
    </w:p>
    <w:p w14:paraId="36FF13F5" w14:textId="04AFB869" w:rsidR="004A2D11" w:rsidRPr="004A2D11" w:rsidRDefault="004A2D11">
      <w:pPr>
        <w:rPr>
          <w:rFonts w:ascii="Times New Roman" w:hAnsi="Times New Roman" w:cs="Times New Roman"/>
          <w:sz w:val="36"/>
          <w:szCs w:val="36"/>
          <w:lang w:val="en-US"/>
        </w:rPr>
      </w:pPr>
    </w:p>
    <w:tbl>
      <w:tblPr>
        <w:tblStyle w:val="TableGrid"/>
        <w:tblpPr w:leftFromText="180" w:rightFromText="180" w:vertAnchor="text" w:horzAnchor="margin" w:tblpXSpec="center" w:tblpY="212"/>
        <w:tblW w:w="10122" w:type="dxa"/>
        <w:tblLook w:val="04A0" w:firstRow="1" w:lastRow="0" w:firstColumn="1" w:lastColumn="0" w:noHBand="0" w:noVBand="1"/>
      </w:tblPr>
      <w:tblGrid>
        <w:gridCol w:w="1624"/>
        <w:gridCol w:w="6444"/>
        <w:gridCol w:w="2054"/>
      </w:tblGrid>
      <w:tr w:rsidR="004A2D11" w:rsidRPr="00B66C08" w14:paraId="4444A9FB" w14:textId="77777777" w:rsidTr="004A2D11">
        <w:trPr>
          <w:trHeight w:val="1261"/>
        </w:trPr>
        <w:tc>
          <w:tcPr>
            <w:tcW w:w="1624" w:type="dxa"/>
          </w:tcPr>
          <w:p w14:paraId="79DAA897" w14:textId="77777777" w:rsidR="004A2D11" w:rsidRPr="00B66C08" w:rsidRDefault="004A2D11" w:rsidP="004A2D11">
            <w:pPr>
              <w:pStyle w:val="BodyText"/>
              <w:spacing w:before="286"/>
              <w:jc w:val="center"/>
              <w:rPr>
                <w:b/>
                <w:bCs/>
                <w:sz w:val="32"/>
                <w:szCs w:val="32"/>
              </w:rPr>
            </w:pPr>
            <w:r w:rsidRPr="00B66C08">
              <w:rPr>
                <w:b/>
                <w:bCs/>
                <w:sz w:val="32"/>
                <w:szCs w:val="32"/>
              </w:rPr>
              <w:t>S.NO</w:t>
            </w:r>
          </w:p>
        </w:tc>
        <w:tc>
          <w:tcPr>
            <w:tcW w:w="6444" w:type="dxa"/>
          </w:tcPr>
          <w:p w14:paraId="54829221" w14:textId="77777777" w:rsidR="004A2D11" w:rsidRPr="00B66C08" w:rsidRDefault="004A2D11" w:rsidP="004A2D11">
            <w:pPr>
              <w:pStyle w:val="BodyText"/>
              <w:spacing w:before="286"/>
              <w:jc w:val="center"/>
              <w:rPr>
                <w:b/>
                <w:bCs/>
                <w:sz w:val="32"/>
                <w:szCs w:val="32"/>
              </w:rPr>
            </w:pPr>
            <w:r>
              <w:rPr>
                <w:b/>
                <w:bCs/>
                <w:sz w:val="32"/>
                <w:szCs w:val="32"/>
              </w:rPr>
              <w:t>CHAPTER TITLE</w:t>
            </w:r>
          </w:p>
        </w:tc>
        <w:tc>
          <w:tcPr>
            <w:tcW w:w="2054" w:type="dxa"/>
          </w:tcPr>
          <w:p w14:paraId="302CDDC5" w14:textId="77777777" w:rsidR="004A2D11" w:rsidRPr="00B66C08" w:rsidRDefault="004A2D11" w:rsidP="004A2D11">
            <w:pPr>
              <w:pStyle w:val="BodyText"/>
              <w:spacing w:before="286"/>
              <w:jc w:val="center"/>
              <w:rPr>
                <w:b/>
                <w:bCs/>
                <w:sz w:val="32"/>
                <w:szCs w:val="32"/>
              </w:rPr>
            </w:pPr>
            <w:r>
              <w:rPr>
                <w:b/>
                <w:bCs/>
                <w:sz w:val="32"/>
                <w:szCs w:val="32"/>
              </w:rPr>
              <w:t>PAGE</w:t>
            </w:r>
            <w:r w:rsidRPr="00B66C08">
              <w:rPr>
                <w:b/>
                <w:bCs/>
                <w:sz w:val="32"/>
                <w:szCs w:val="32"/>
              </w:rPr>
              <w:t xml:space="preserve"> NO</w:t>
            </w:r>
          </w:p>
        </w:tc>
      </w:tr>
      <w:tr w:rsidR="004A2D11" w:rsidRPr="00B66C08" w14:paraId="08554E5B" w14:textId="77777777" w:rsidTr="004A2D11">
        <w:trPr>
          <w:trHeight w:val="72"/>
        </w:trPr>
        <w:tc>
          <w:tcPr>
            <w:tcW w:w="1624" w:type="dxa"/>
          </w:tcPr>
          <w:p w14:paraId="1939CCBD" w14:textId="77777777" w:rsidR="004A2D11" w:rsidRPr="00B66C08" w:rsidRDefault="004A2D11" w:rsidP="004A2D11">
            <w:pPr>
              <w:pStyle w:val="BodyText"/>
              <w:spacing w:before="286"/>
              <w:jc w:val="center"/>
              <w:rPr>
                <w:sz w:val="28"/>
                <w:szCs w:val="28"/>
              </w:rPr>
            </w:pPr>
            <w:r>
              <w:rPr>
                <w:sz w:val="28"/>
                <w:szCs w:val="28"/>
              </w:rPr>
              <w:t>1.</w:t>
            </w:r>
          </w:p>
        </w:tc>
        <w:tc>
          <w:tcPr>
            <w:tcW w:w="6444" w:type="dxa"/>
          </w:tcPr>
          <w:p w14:paraId="59703E3C" w14:textId="77777777" w:rsidR="004A2D11" w:rsidRPr="00B66C08" w:rsidRDefault="004A2D11" w:rsidP="004A2D11">
            <w:pPr>
              <w:pStyle w:val="BodyText"/>
              <w:spacing w:before="286"/>
              <w:jc w:val="center"/>
              <w:rPr>
                <w:sz w:val="28"/>
                <w:szCs w:val="28"/>
              </w:rPr>
            </w:pPr>
            <w:r>
              <w:rPr>
                <w:sz w:val="28"/>
                <w:szCs w:val="28"/>
              </w:rPr>
              <w:t>INTRODUCTION</w:t>
            </w:r>
          </w:p>
        </w:tc>
        <w:tc>
          <w:tcPr>
            <w:tcW w:w="2054" w:type="dxa"/>
          </w:tcPr>
          <w:p w14:paraId="421059E4" w14:textId="77777777" w:rsidR="004A2D11" w:rsidRPr="00B66C08" w:rsidRDefault="004A2D11" w:rsidP="004A2D11">
            <w:pPr>
              <w:pStyle w:val="BodyText"/>
              <w:spacing w:before="286"/>
              <w:jc w:val="center"/>
              <w:rPr>
                <w:sz w:val="28"/>
                <w:szCs w:val="28"/>
              </w:rPr>
            </w:pPr>
          </w:p>
        </w:tc>
      </w:tr>
      <w:tr w:rsidR="004A2D11" w:rsidRPr="00B66C08" w14:paraId="6F174795" w14:textId="77777777" w:rsidTr="004A2D11">
        <w:trPr>
          <w:trHeight w:val="72"/>
        </w:trPr>
        <w:tc>
          <w:tcPr>
            <w:tcW w:w="1624" w:type="dxa"/>
          </w:tcPr>
          <w:p w14:paraId="4BABBA52" w14:textId="77777777" w:rsidR="004A2D11" w:rsidRPr="00B66C08" w:rsidRDefault="004A2D11" w:rsidP="004A2D11">
            <w:pPr>
              <w:pStyle w:val="BodyText"/>
              <w:spacing w:before="286"/>
              <w:jc w:val="center"/>
              <w:rPr>
                <w:sz w:val="28"/>
                <w:szCs w:val="28"/>
              </w:rPr>
            </w:pPr>
            <w:r>
              <w:rPr>
                <w:sz w:val="28"/>
                <w:szCs w:val="28"/>
              </w:rPr>
              <w:t>2.</w:t>
            </w:r>
          </w:p>
        </w:tc>
        <w:tc>
          <w:tcPr>
            <w:tcW w:w="6444" w:type="dxa"/>
          </w:tcPr>
          <w:p w14:paraId="1617BDA6" w14:textId="77777777" w:rsidR="004A2D11" w:rsidRPr="00B66C08" w:rsidRDefault="004A2D11" w:rsidP="004A2D11">
            <w:pPr>
              <w:pStyle w:val="BodyText"/>
              <w:spacing w:before="286"/>
              <w:jc w:val="center"/>
              <w:rPr>
                <w:sz w:val="28"/>
                <w:szCs w:val="28"/>
              </w:rPr>
            </w:pPr>
            <w:r>
              <w:rPr>
                <w:sz w:val="28"/>
                <w:szCs w:val="28"/>
              </w:rPr>
              <w:t>BACKGROUND OF THE CASE</w:t>
            </w:r>
          </w:p>
        </w:tc>
        <w:tc>
          <w:tcPr>
            <w:tcW w:w="2054" w:type="dxa"/>
          </w:tcPr>
          <w:p w14:paraId="27D34553" w14:textId="77777777" w:rsidR="004A2D11" w:rsidRPr="00B66C08" w:rsidRDefault="004A2D11" w:rsidP="004A2D11">
            <w:pPr>
              <w:pStyle w:val="BodyText"/>
              <w:spacing w:before="286"/>
              <w:jc w:val="center"/>
              <w:rPr>
                <w:sz w:val="28"/>
                <w:szCs w:val="28"/>
              </w:rPr>
            </w:pPr>
          </w:p>
        </w:tc>
      </w:tr>
      <w:tr w:rsidR="004A2D11" w:rsidRPr="00B66C08" w14:paraId="20512F42" w14:textId="77777777" w:rsidTr="004A2D11">
        <w:trPr>
          <w:trHeight w:val="72"/>
        </w:trPr>
        <w:tc>
          <w:tcPr>
            <w:tcW w:w="1624" w:type="dxa"/>
          </w:tcPr>
          <w:p w14:paraId="6B221570" w14:textId="77777777" w:rsidR="004A2D11" w:rsidRPr="00B66C08" w:rsidRDefault="004A2D11" w:rsidP="004A2D11">
            <w:pPr>
              <w:pStyle w:val="BodyText"/>
              <w:spacing w:before="286"/>
              <w:jc w:val="center"/>
              <w:rPr>
                <w:sz w:val="28"/>
                <w:szCs w:val="28"/>
              </w:rPr>
            </w:pPr>
            <w:r>
              <w:rPr>
                <w:sz w:val="28"/>
                <w:szCs w:val="28"/>
              </w:rPr>
              <w:t>3.</w:t>
            </w:r>
          </w:p>
        </w:tc>
        <w:tc>
          <w:tcPr>
            <w:tcW w:w="6444" w:type="dxa"/>
          </w:tcPr>
          <w:p w14:paraId="159D62B3" w14:textId="77777777" w:rsidR="004A2D11" w:rsidRPr="00B66C08" w:rsidRDefault="004A2D11" w:rsidP="004A2D11">
            <w:pPr>
              <w:pStyle w:val="BodyText"/>
              <w:spacing w:before="286"/>
              <w:jc w:val="center"/>
              <w:rPr>
                <w:sz w:val="28"/>
                <w:szCs w:val="28"/>
              </w:rPr>
            </w:pPr>
            <w:r>
              <w:rPr>
                <w:sz w:val="28"/>
                <w:szCs w:val="28"/>
              </w:rPr>
              <w:t>MEDICAL AND PSYCHOLOGICAL IMPACT</w:t>
            </w:r>
          </w:p>
        </w:tc>
        <w:tc>
          <w:tcPr>
            <w:tcW w:w="2054" w:type="dxa"/>
          </w:tcPr>
          <w:p w14:paraId="51E02DFD" w14:textId="77777777" w:rsidR="004A2D11" w:rsidRPr="00B66C08" w:rsidRDefault="004A2D11" w:rsidP="004A2D11">
            <w:pPr>
              <w:pStyle w:val="BodyText"/>
              <w:spacing w:before="286"/>
              <w:jc w:val="center"/>
              <w:rPr>
                <w:sz w:val="28"/>
                <w:szCs w:val="28"/>
              </w:rPr>
            </w:pPr>
          </w:p>
        </w:tc>
      </w:tr>
      <w:tr w:rsidR="004A2D11" w:rsidRPr="00B66C08" w14:paraId="024DD398" w14:textId="77777777" w:rsidTr="004A2D11">
        <w:trPr>
          <w:trHeight w:val="72"/>
        </w:trPr>
        <w:tc>
          <w:tcPr>
            <w:tcW w:w="1624" w:type="dxa"/>
          </w:tcPr>
          <w:p w14:paraId="658EC37A" w14:textId="77777777" w:rsidR="004A2D11" w:rsidRPr="00B66C08" w:rsidRDefault="004A2D11" w:rsidP="004A2D11">
            <w:pPr>
              <w:pStyle w:val="BodyText"/>
              <w:spacing w:before="286"/>
              <w:jc w:val="center"/>
              <w:rPr>
                <w:sz w:val="28"/>
                <w:szCs w:val="28"/>
              </w:rPr>
            </w:pPr>
            <w:r>
              <w:rPr>
                <w:sz w:val="28"/>
                <w:szCs w:val="28"/>
              </w:rPr>
              <w:t>4.</w:t>
            </w:r>
          </w:p>
        </w:tc>
        <w:tc>
          <w:tcPr>
            <w:tcW w:w="6444" w:type="dxa"/>
          </w:tcPr>
          <w:p w14:paraId="30EE0A9E" w14:textId="77777777" w:rsidR="004A2D11" w:rsidRPr="00B66C08" w:rsidRDefault="004A2D11" w:rsidP="004A2D11">
            <w:pPr>
              <w:pStyle w:val="BodyText"/>
              <w:spacing w:before="286"/>
              <w:jc w:val="center"/>
              <w:rPr>
                <w:sz w:val="28"/>
                <w:szCs w:val="28"/>
              </w:rPr>
            </w:pPr>
            <w:r>
              <w:rPr>
                <w:sz w:val="28"/>
                <w:szCs w:val="28"/>
              </w:rPr>
              <w:t>PUBLIC INTEREST LITIGATION</w:t>
            </w:r>
          </w:p>
        </w:tc>
        <w:tc>
          <w:tcPr>
            <w:tcW w:w="2054" w:type="dxa"/>
          </w:tcPr>
          <w:p w14:paraId="371A2D6F" w14:textId="77777777" w:rsidR="004A2D11" w:rsidRPr="00B66C08" w:rsidRDefault="004A2D11" w:rsidP="004A2D11">
            <w:pPr>
              <w:pStyle w:val="BodyText"/>
              <w:spacing w:before="286"/>
              <w:jc w:val="center"/>
              <w:rPr>
                <w:sz w:val="28"/>
                <w:szCs w:val="28"/>
              </w:rPr>
            </w:pPr>
          </w:p>
        </w:tc>
      </w:tr>
      <w:tr w:rsidR="004A2D11" w:rsidRPr="00B66C08" w14:paraId="7526E97A" w14:textId="77777777" w:rsidTr="004A2D11">
        <w:trPr>
          <w:trHeight w:val="72"/>
        </w:trPr>
        <w:tc>
          <w:tcPr>
            <w:tcW w:w="1624" w:type="dxa"/>
          </w:tcPr>
          <w:p w14:paraId="7EBB20A4" w14:textId="77777777" w:rsidR="004A2D11" w:rsidRPr="00B66C08" w:rsidRDefault="004A2D11" w:rsidP="004A2D11">
            <w:pPr>
              <w:pStyle w:val="BodyText"/>
              <w:spacing w:before="286"/>
              <w:jc w:val="center"/>
              <w:rPr>
                <w:sz w:val="28"/>
                <w:szCs w:val="28"/>
              </w:rPr>
            </w:pPr>
            <w:r>
              <w:rPr>
                <w:sz w:val="28"/>
                <w:szCs w:val="28"/>
              </w:rPr>
              <w:t>5.</w:t>
            </w:r>
          </w:p>
        </w:tc>
        <w:tc>
          <w:tcPr>
            <w:tcW w:w="6444" w:type="dxa"/>
          </w:tcPr>
          <w:p w14:paraId="6BE03D25" w14:textId="77777777" w:rsidR="004A2D11" w:rsidRPr="00B66C08" w:rsidRDefault="004A2D11" w:rsidP="004A2D11">
            <w:pPr>
              <w:pStyle w:val="BodyText"/>
              <w:spacing w:before="286"/>
              <w:jc w:val="center"/>
              <w:rPr>
                <w:sz w:val="28"/>
                <w:szCs w:val="28"/>
              </w:rPr>
            </w:pPr>
            <w:r>
              <w:rPr>
                <w:sz w:val="28"/>
                <w:szCs w:val="28"/>
              </w:rPr>
              <w:t>LEGAL ISSUES INVOLVED</w:t>
            </w:r>
          </w:p>
        </w:tc>
        <w:tc>
          <w:tcPr>
            <w:tcW w:w="2054" w:type="dxa"/>
          </w:tcPr>
          <w:p w14:paraId="1496B83E" w14:textId="77777777" w:rsidR="004A2D11" w:rsidRPr="00B66C08" w:rsidRDefault="004A2D11" w:rsidP="004A2D11">
            <w:pPr>
              <w:pStyle w:val="BodyText"/>
              <w:spacing w:before="286"/>
              <w:jc w:val="center"/>
              <w:rPr>
                <w:sz w:val="28"/>
                <w:szCs w:val="28"/>
              </w:rPr>
            </w:pPr>
          </w:p>
        </w:tc>
      </w:tr>
      <w:tr w:rsidR="004A2D11" w:rsidRPr="00B66C08" w14:paraId="3D0D744A" w14:textId="77777777" w:rsidTr="004A2D11">
        <w:trPr>
          <w:trHeight w:val="72"/>
        </w:trPr>
        <w:tc>
          <w:tcPr>
            <w:tcW w:w="1624" w:type="dxa"/>
          </w:tcPr>
          <w:p w14:paraId="70D7EE0B" w14:textId="77777777" w:rsidR="004A2D11" w:rsidRPr="00B66C08" w:rsidRDefault="004A2D11" w:rsidP="004A2D11">
            <w:pPr>
              <w:pStyle w:val="BodyText"/>
              <w:spacing w:before="286"/>
              <w:jc w:val="center"/>
              <w:rPr>
                <w:sz w:val="28"/>
                <w:szCs w:val="28"/>
              </w:rPr>
            </w:pPr>
            <w:r>
              <w:rPr>
                <w:sz w:val="28"/>
                <w:szCs w:val="28"/>
              </w:rPr>
              <w:t>6.</w:t>
            </w:r>
          </w:p>
        </w:tc>
        <w:tc>
          <w:tcPr>
            <w:tcW w:w="6444" w:type="dxa"/>
          </w:tcPr>
          <w:p w14:paraId="26D41E99" w14:textId="77777777" w:rsidR="004A2D11" w:rsidRPr="00B66C08" w:rsidRDefault="004A2D11" w:rsidP="004A2D11">
            <w:pPr>
              <w:pStyle w:val="BodyText"/>
              <w:spacing w:before="286"/>
              <w:jc w:val="center"/>
              <w:rPr>
                <w:sz w:val="28"/>
                <w:szCs w:val="28"/>
              </w:rPr>
            </w:pPr>
            <w:r>
              <w:rPr>
                <w:sz w:val="28"/>
                <w:szCs w:val="28"/>
              </w:rPr>
              <w:t>CONSTITUITIONAL PROVISIONS</w:t>
            </w:r>
          </w:p>
        </w:tc>
        <w:tc>
          <w:tcPr>
            <w:tcW w:w="2054" w:type="dxa"/>
          </w:tcPr>
          <w:p w14:paraId="32A69E23" w14:textId="77777777" w:rsidR="004A2D11" w:rsidRPr="00B66C08" w:rsidRDefault="004A2D11" w:rsidP="004A2D11">
            <w:pPr>
              <w:pStyle w:val="BodyText"/>
              <w:spacing w:before="286"/>
              <w:jc w:val="center"/>
              <w:rPr>
                <w:sz w:val="28"/>
                <w:szCs w:val="28"/>
              </w:rPr>
            </w:pPr>
          </w:p>
        </w:tc>
      </w:tr>
      <w:tr w:rsidR="004A2D11" w:rsidRPr="00B66C08" w14:paraId="42F08113" w14:textId="77777777" w:rsidTr="004A2D11">
        <w:trPr>
          <w:trHeight w:val="72"/>
        </w:trPr>
        <w:tc>
          <w:tcPr>
            <w:tcW w:w="1624" w:type="dxa"/>
          </w:tcPr>
          <w:p w14:paraId="483310FA" w14:textId="77777777" w:rsidR="004A2D11" w:rsidRPr="00B66C08" w:rsidRDefault="004A2D11" w:rsidP="004A2D11">
            <w:pPr>
              <w:pStyle w:val="BodyText"/>
              <w:spacing w:before="286"/>
              <w:jc w:val="center"/>
              <w:rPr>
                <w:sz w:val="28"/>
                <w:szCs w:val="28"/>
              </w:rPr>
            </w:pPr>
            <w:r>
              <w:rPr>
                <w:sz w:val="28"/>
                <w:szCs w:val="28"/>
              </w:rPr>
              <w:t>7.</w:t>
            </w:r>
          </w:p>
        </w:tc>
        <w:tc>
          <w:tcPr>
            <w:tcW w:w="6444" w:type="dxa"/>
          </w:tcPr>
          <w:p w14:paraId="6A1F1558" w14:textId="77777777" w:rsidR="004A2D11" w:rsidRPr="00B66C08" w:rsidRDefault="004A2D11" w:rsidP="004A2D11">
            <w:pPr>
              <w:pStyle w:val="BodyText"/>
              <w:spacing w:before="286"/>
              <w:jc w:val="center"/>
              <w:rPr>
                <w:sz w:val="28"/>
                <w:szCs w:val="28"/>
              </w:rPr>
            </w:pPr>
            <w:r>
              <w:rPr>
                <w:sz w:val="28"/>
                <w:szCs w:val="28"/>
              </w:rPr>
              <w:t>SUPREME COURT JUDGEMENT</w:t>
            </w:r>
          </w:p>
        </w:tc>
        <w:tc>
          <w:tcPr>
            <w:tcW w:w="2054" w:type="dxa"/>
          </w:tcPr>
          <w:p w14:paraId="4582B898" w14:textId="77777777" w:rsidR="004A2D11" w:rsidRPr="00B66C08" w:rsidRDefault="004A2D11" w:rsidP="004A2D11">
            <w:pPr>
              <w:pStyle w:val="BodyText"/>
              <w:spacing w:before="286"/>
              <w:jc w:val="center"/>
              <w:rPr>
                <w:sz w:val="28"/>
                <w:szCs w:val="28"/>
              </w:rPr>
            </w:pPr>
          </w:p>
        </w:tc>
      </w:tr>
      <w:tr w:rsidR="004A2D11" w:rsidRPr="00B66C08" w14:paraId="5DF6316D" w14:textId="77777777" w:rsidTr="004A2D11">
        <w:trPr>
          <w:trHeight w:val="72"/>
        </w:trPr>
        <w:tc>
          <w:tcPr>
            <w:tcW w:w="1624" w:type="dxa"/>
          </w:tcPr>
          <w:p w14:paraId="1F949849" w14:textId="77777777" w:rsidR="004A2D11" w:rsidRPr="00B66C08" w:rsidRDefault="004A2D11" w:rsidP="004A2D11">
            <w:pPr>
              <w:pStyle w:val="BodyText"/>
              <w:spacing w:before="286"/>
              <w:jc w:val="center"/>
              <w:rPr>
                <w:sz w:val="28"/>
                <w:szCs w:val="28"/>
              </w:rPr>
            </w:pPr>
            <w:r>
              <w:rPr>
                <w:sz w:val="28"/>
                <w:szCs w:val="28"/>
              </w:rPr>
              <w:t>8.</w:t>
            </w:r>
          </w:p>
        </w:tc>
        <w:tc>
          <w:tcPr>
            <w:tcW w:w="6444" w:type="dxa"/>
          </w:tcPr>
          <w:p w14:paraId="22A2EEF4" w14:textId="77777777" w:rsidR="004A2D11" w:rsidRPr="00B66C08" w:rsidRDefault="004A2D11" w:rsidP="004A2D11">
            <w:pPr>
              <w:pStyle w:val="BodyText"/>
              <w:spacing w:before="286"/>
              <w:jc w:val="center"/>
              <w:rPr>
                <w:sz w:val="28"/>
                <w:szCs w:val="28"/>
              </w:rPr>
            </w:pPr>
            <w:r>
              <w:rPr>
                <w:sz w:val="28"/>
                <w:szCs w:val="28"/>
              </w:rPr>
              <w:t>CRIMINAL LAW ACT , 2013</w:t>
            </w:r>
          </w:p>
        </w:tc>
        <w:tc>
          <w:tcPr>
            <w:tcW w:w="2054" w:type="dxa"/>
          </w:tcPr>
          <w:p w14:paraId="5FB5D696" w14:textId="77777777" w:rsidR="004A2D11" w:rsidRPr="00B66C08" w:rsidRDefault="004A2D11" w:rsidP="004A2D11">
            <w:pPr>
              <w:pStyle w:val="BodyText"/>
              <w:spacing w:before="286"/>
              <w:jc w:val="center"/>
              <w:rPr>
                <w:sz w:val="28"/>
                <w:szCs w:val="28"/>
              </w:rPr>
            </w:pPr>
          </w:p>
        </w:tc>
      </w:tr>
      <w:tr w:rsidR="004A2D11" w:rsidRPr="00B66C08" w14:paraId="03769B3B" w14:textId="77777777" w:rsidTr="004A2D11">
        <w:trPr>
          <w:trHeight w:val="72"/>
        </w:trPr>
        <w:tc>
          <w:tcPr>
            <w:tcW w:w="1624" w:type="dxa"/>
          </w:tcPr>
          <w:p w14:paraId="48D302E1" w14:textId="77777777" w:rsidR="004A2D11" w:rsidRPr="00B66C08" w:rsidRDefault="004A2D11" w:rsidP="004A2D11">
            <w:pPr>
              <w:pStyle w:val="BodyText"/>
              <w:spacing w:before="286"/>
              <w:jc w:val="center"/>
              <w:rPr>
                <w:sz w:val="28"/>
                <w:szCs w:val="28"/>
              </w:rPr>
            </w:pPr>
            <w:r>
              <w:rPr>
                <w:sz w:val="28"/>
                <w:szCs w:val="28"/>
              </w:rPr>
              <w:t>9.</w:t>
            </w:r>
          </w:p>
        </w:tc>
        <w:tc>
          <w:tcPr>
            <w:tcW w:w="6444" w:type="dxa"/>
          </w:tcPr>
          <w:p w14:paraId="62225B3C" w14:textId="77777777" w:rsidR="004A2D11" w:rsidRPr="00B66C08" w:rsidRDefault="004A2D11" w:rsidP="004A2D11">
            <w:pPr>
              <w:pStyle w:val="BodyText"/>
              <w:spacing w:before="286"/>
              <w:jc w:val="center"/>
              <w:rPr>
                <w:sz w:val="28"/>
                <w:szCs w:val="28"/>
              </w:rPr>
            </w:pPr>
            <w:r>
              <w:rPr>
                <w:sz w:val="28"/>
                <w:szCs w:val="28"/>
              </w:rPr>
              <w:t>IMPACT AND IMPLEMENTATION</w:t>
            </w:r>
          </w:p>
        </w:tc>
        <w:tc>
          <w:tcPr>
            <w:tcW w:w="2054" w:type="dxa"/>
          </w:tcPr>
          <w:p w14:paraId="5B130368" w14:textId="77777777" w:rsidR="004A2D11" w:rsidRPr="00B66C08" w:rsidRDefault="004A2D11" w:rsidP="004A2D11">
            <w:pPr>
              <w:pStyle w:val="BodyText"/>
              <w:spacing w:before="286"/>
              <w:jc w:val="center"/>
              <w:rPr>
                <w:sz w:val="28"/>
                <w:szCs w:val="28"/>
              </w:rPr>
            </w:pPr>
          </w:p>
        </w:tc>
      </w:tr>
      <w:tr w:rsidR="004A2D11" w:rsidRPr="00B66C08" w14:paraId="4E6989FB" w14:textId="77777777" w:rsidTr="004A2D11">
        <w:trPr>
          <w:trHeight w:val="72"/>
        </w:trPr>
        <w:tc>
          <w:tcPr>
            <w:tcW w:w="1624" w:type="dxa"/>
          </w:tcPr>
          <w:p w14:paraId="782DCFDE" w14:textId="77777777" w:rsidR="004A2D11" w:rsidRPr="00B66C08" w:rsidRDefault="004A2D11" w:rsidP="004A2D11">
            <w:pPr>
              <w:pStyle w:val="BodyText"/>
              <w:spacing w:before="286"/>
              <w:jc w:val="center"/>
              <w:rPr>
                <w:sz w:val="28"/>
                <w:szCs w:val="28"/>
              </w:rPr>
            </w:pPr>
            <w:r>
              <w:rPr>
                <w:sz w:val="28"/>
                <w:szCs w:val="28"/>
              </w:rPr>
              <w:t>10.</w:t>
            </w:r>
          </w:p>
        </w:tc>
        <w:tc>
          <w:tcPr>
            <w:tcW w:w="6444" w:type="dxa"/>
          </w:tcPr>
          <w:p w14:paraId="108C62A6" w14:textId="77777777" w:rsidR="004A2D11" w:rsidRPr="00B66C08" w:rsidRDefault="004A2D11" w:rsidP="004A2D11">
            <w:pPr>
              <w:pStyle w:val="BodyText"/>
              <w:spacing w:before="286"/>
              <w:jc w:val="center"/>
              <w:rPr>
                <w:sz w:val="28"/>
                <w:szCs w:val="28"/>
              </w:rPr>
            </w:pPr>
            <w:r>
              <w:rPr>
                <w:sz w:val="28"/>
                <w:szCs w:val="28"/>
              </w:rPr>
              <w:t>CONCLUSION AND SUGGESTIONS</w:t>
            </w:r>
          </w:p>
        </w:tc>
        <w:tc>
          <w:tcPr>
            <w:tcW w:w="2054" w:type="dxa"/>
          </w:tcPr>
          <w:p w14:paraId="74B13C77" w14:textId="77777777" w:rsidR="004A2D11" w:rsidRPr="00B66C08" w:rsidRDefault="004A2D11" w:rsidP="004A2D11">
            <w:pPr>
              <w:pStyle w:val="BodyText"/>
              <w:spacing w:before="286"/>
              <w:jc w:val="center"/>
              <w:rPr>
                <w:sz w:val="28"/>
                <w:szCs w:val="28"/>
              </w:rPr>
            </w:pPr>
          </w:p>
        </w:tc>
      </w:tr>
    </w:tbl>
    <w:p w14:paraId="2481F72E" w14:textId="660587B6" w:rsidR="004A2D11" w:rsidRPr="004A2D11" w:rsidRDefault="004A2D11" w:rsidP="004A2D11">
      <w:pPr>
        <w:jc w:val="center"/>
        <w:rPr>
          <w:rFonts w:ascii="Times New Roman" w:hAnsi="Times New Roman" w:cs="Times New Roman"/>
          <w:b/>
          <w:bCs/>
          <w:sz w:val="36"/>
          <w:szCs w:val="36"/>
          <w:lang w:val="en-US"/>
        </w:rPr>
      </w:pPr>
    </w:p>
    <w:p w14:paraId="0573AE6C" w14:textId="77777777" w:rsidR="008B75F8" w:rsidRDefault="008B75F8" w:rsidP="008B75F8">
      <w:pPr>
        <w:rPr>
          <w:rFonts w:ascii="Times New Roman" w:hAnsi="Times New Roman" w:cs="Times New Roman"/>
          <w:b/>
          <w:bCs/>
          <w:sz w:val="48"/>
          <w:szCs w:val="48"/>
        </w:rPr>
      </w:pPr>
    </w:p>
    <w:p w14:paraId="3E707BD1" w14:textId="3C38411E" w:rsidR="008B75F8" w:rsidRDefault="008B75F8" w:rsidP="008B75F8">
      <w:pPr>
        <w:tabs>
          <w:tab w:val="left" w:pos="2076"/>
        </w:tabs>
        <w:jc w:val="center"/>
        <w:rPr>
          <w:rFonts w:ascii="Times New Roman" w:hAnsi="Times New Roman" w:cs="Times New Roman"/>
          <w:sz w:val="48"/>
          <w:szCs w:val="48"/>
        </w:rPr>
      </w:pPr>
    </w:p>
    <w:p w14:paraId="1024EBC5" w14:textId="1796C7BC" w:rsidR="008B75F8" w:rsidRPr="008B75F8" w:rsidRDefault="008B75F8" w:rsidP="008B75F8">
      <w:pPr>
        <w:rPr>
          <w:rFonts w:ascii="Times New Roman" w:hAnsi="Times New Roman" w:cs="Times New Roman"/>
          <w:sz w:val="40"/>
          <w:szCs w:val="40"/>
        </w:rPr>
      </w:pPr>
    </w:p>
    <w:p w14:paraId="03EBE04B" w14:textId="5DD77664" w:rsidR="008B75F8" w:rsidRDefault="008B75F8" w:rsidP="008B75F8">
      <w:pPr>
        <w:rPr>
          <w:rFonts w:ascii="Times New Roman" w:hAnsi="Times New Roman" w:cs="Times New Roman"/>
          <w:sz w:val="48"/>
          <w:szCs w:val="48"/>
        </w:rPr>
      </w:pPr>
    </w:p>
    <w:p w14:paraId="3EC3D0B5" w14:textId="25F7935E" w:rsidR="008B75F8" w:rsidRPr="00B91678" w:rsidRDefault="008B75F8" w:rsidP="00B91678">
      <w:pPr>
        <w:rPr>
          <w:rFonts w:ascii="Times New Roman" w:hAnsi="Times New Roman" w:cs="Times New Roman"/>
          <w:sz w:val="40"/>
          <w:szCs w:val="40"/>
        </w:rPr>
      </w:pPr>
      <w:r>
        <w:rPr>
          <w:rFonts w:ascii="Times New Roman" w:hAnsi="Times New Roman" w:cs="Times New Roman"/>
          <w:sz w:val="40"/>
          <w:szCs w:val="40"/>
        </w:rPr>
        <w:br w:type="page"/>
      </w:r>
      <w:r w:rsidR="008E7718" w:rsidRPr="008E7718">
        <w:rPr>
          <w:rFonts w:ascii="Times New Roman" w:hAnsi="Times New Roman" w:cs="Times New Roman"/>
          <w:b/>
          <w:bCs/>
          <w:sz w:val="28"/>
          <w:szCs w:val="28"/>
        </w:rPr>
        <w:lastRenderedPageBreak/>
        <w:t>INTRODUCTION</w:t>
      </w:r>
    </w:p>
    <w:p w14:paraId="769782F1" w14:textId="7D3A647D" w:rsidR="00711794" w:rsidRDefault="00711794" w:rsidP="00711794">
      <w:pPr>
        <w:spacing w:line="360" w:lineRule="auto"/>
        <w:rPr>
          <w:rFonts w:ascii="Times New Roman" w:hAnsi="Times New Roman" w:cs="Times New Roman"/>
        </w:rPr>
      </w:pPr>
      <w:r w:rsidRPr="00711794">
        <w:rPr>
          <w:rFonts w:ascii="Times New Roman" w:hAnsi="Times New Roman" w:cs="Times New Roman"/>
        </w:rPr>
        <w:t>Acid violence represents a profound breach of human rights, characterized by an unparalleled level of physical and psychological cruelty. While most violent crimes result in either recovery or death, an acid attack is unique in its intent: it seeks to preserve the victim's life while systematically destroying their identity and social standing. This report serves as a critical examination of the socio-legal mechanisms that govern such assaults. It addresses the systemic failures in current legislative frameworks and advocates for a multi-dimensional approach that prioritizes the dignity and restoration of the survivor over the mere prosecution of the offender.</w:t>
      </w:r>
    </w:p>
    <w:p w14:paraId="047C4D71" w14:textId="1735FDF5" w:rsidR="008E7718" w:rsidRDefault="00711794" w:rsidP="008E7718">
      <w:pPr>
        <w:pStyle w:val="ListParagraph"/>
        <w:numPr>
          <w:ilvl w:val="1"/>
          <w:numId w:val="1"/>
        </w:numPr>
        <w:rPr>
          <w:rFonts w:ascii="Times New Roman" w:hAnsi="Times New Roman" w:cs="Times New Roman"/>
        </w:rPr>
      </w:pPr>
      <w:r>
        <w:rPr>
          <w:rFonts w:ascii="Times New Roman" w:hAnsi="Times New Roman" w:cs="Times New Roman"/>
        </w:rPr>
        <w:t>Defining Acid Attacks: Beyond Physical Injury</w:t>
      </w:r>
    </w:p>
    <w:p w14:paraId="2AFE1BB8" w14:textId="2BFE5CC3" w:rsidR="00711794" w:rsidRDefault="00711794" w:rsidP="00AF2B8F">
      <w:pPr>
        <w:spacing w:line="360" w:lineRule="auto"/>
        <w:rPr>
          <w:rFonts w:ascii="Times New Roman" w:hAnsi="Times New Roman" w:cs="Times New Roman"/>
        </w:rPr>
      </w:pPr>
      <w:r>
        <w:rPr>
          <w:rFonts w:ascii="Times New Roman" w:hAnsi="Times New Roman" w:cs="Times New Roman"/>
        </w:rPr>
        <w:t>Technically termed ”</w:t>
      </w:r>
      <w:proofErr w:type="spellStart"/>
      <w:r>
        <w:rPr>
          <w:rFonts w:ascii="Times New Roman" w:hAnsi="Times New Roman" w:cs="Times New Roman"/>
        </w:rPr>
        <w:t>vitriolage</w:t>
      </w:r>
      <w:proofErr w:type="spellEnd"/>
      <w:r>
        <w:rPr>
          <w:rFonts w:ascii="Times New Roman" w:hAnsi="Times New Roman" w:cs="Times New Roman"/>
        </w:rPr>
        <w:t>”, an acid attack is the premeditated use of corrosive substances t</w:t>
      </w:r>
      <w:r w:rsidR="00AF2B8F">
        <w:rPr>
          <w:rFonts w:ascii="Times New Roman" w:hAnsi="Times New Roman" w:cs="Times New Roman"/>
        </w:rPr>
        <w:t>o</w:t>
      </w:r>
      <w:r>
        <w:rPr>
          <w:rFonts w:ascii="Times New Roman" w:hAnsi="Times New Roman" w:cs="Times New Roman"/>
        </w:rPr>
        <w:t xml:space="preserve"> inflict severe injury or permanent </w:t>
      </w:r>
      <w:r w:rsidR="00AF2B8F">
        <w:rPr>
          <w:rFonts w:ascii="Times New Roman" w:hAnsi="Times New Roman" w:cs="Times New Roman"/>
        </w:rPr>
        <w:t>disfigurement. The chemical process is instantaneous and relentless; upon contact, the acid dissolves the skin’s protective layers, causing deep-tissues necrosis and, frequently, the liquefication of cartilage and bone.</w:t>
      </w:r>
      <w:r w:rsidR="00AF2B8F" w:rsidRPr="00AF2B8F">
        <w:t xml:space="preserve"> </w:t>
      </w:r>
      <w:r w:rsidR="00AF2B8F" w:rsidRPr="00AF2B8F">
        <w:rPr>
          <w:rFonts w:ascii="Times New Roman" w:hAnsi="Times New Roman" w:cs="Times New Roman"/>
        </w:rPr>
        <w:t>However, the definition of this crime must extend beyond the biological damage. It is an act of symbolic execution, where the perpetrator aims to erase the victim’s face—the primary interface of human interaction—thereby forcing them into a state of perpetual social invisibility and psychological trauma.</w:t>
      </w:r>
    </w:p>
    <w:p w14:paraId="5BA312E0" w14:textId="1CE188BA" w:rsidR="00AF2B8F" w:rsidRPr="00AF2B8F" w:rsidRDefault="00AF2B8F" w:rsidP="00AF2B8F">
      <w:pPr>
        <w:rPr>
          <w:rFonts w:ascii="Times New Roman" w:hAnsi="Times New Roman" w:cs="Times New Roman"/>
          <w:b/>
          <w:bCs/>
        </w:rPr>
      </w:pPr>
      <w:r>
        <w:rPr>
          <w:rFonts w:ascii="Times New Roman" w:hAnsi="Times New Roman" w:cs="Times New Roman"/>
        </w:rPr>
        <w:t xml:space="preserve">1.2 </w:t>
      </w:r>
      <w:r w:rsidRPr="00AF2B8F">
        <w:rPr>
          <w:rFonts w:ascii="Times New Roman" w:hAnsi="Times New Roman" w:cs="Times New Roman"/>
        </w:rPr>
        <w:t>The Sociological Context: A Tool of Gendered Subjugation</w:t>
      </w:r>
    </w:p>
    <w:p w14:paraId="1A17FD3C" w14:textId="25DD4E5F" w:rsidR="00AF2B8F" w:rsidRDefault="00AF2B8F" w:rsidP="00AF2B8F">
      <w:pPr>
        <w:spacing w:line="360" w:lineRule="auto"/>
        <w:rPr>
          <w:rFonts w:ascii="Times New Roman" w:hAnsi="Times New Roman" w:cs="Times New Roman"/>
        </w:rPr>
      </w:pPr>
      <w:r w:rsidRPr="00AF2B8F">
        <w:rPr>
          <w:rFonts w:ascii="Times New Roman" w:hAnsi="Times New Roman" w:cs="Times New Roman"/>
        </w:rPr>
        <w:t>An analysis of global data reveals that acid violence is not a random occurrence but a targeted form of gender-based violence. It is deeply rooted in patriarchal structures that view women as objects of possession rather than autonomous individuals. The "trigger" for such attacks is often a woman’s exercise of agency—rejecting a romantic overture, seeking a divorce, or pursuing an education. By targeting the face, the perpetrator utilizes the victim’s appearance as a battlefield, attempting to "devalue" her within a society that disproportionately links a woman’s worth to her aesthetic appeal.</w:t>
      </w:r>
    </w:p>
    <w:p w14:paraId="7BF7D1DF" w14:textId="77777777" w:rsidR="00AF2B8F" w:rsidRPr="00AF2B8F" w:rsidRDefault="00AF2B8F" w:rsidP="00AF2B8F">
      <w:pPr>
        <w:spacing w:line="360" w:lineRule="auto"/>
        <w:rPr>
          <w:rFonts w:ascii="Times New Roman" w:hAnsi="Times New Roman" w:cs="Times New Roman"/>
          <w:b/>
          <w:bCs/>
        </w:rPr>
      </w:pPr>
      <w:r>
        <w:rPr>
          <w:rFonts w:ascii="Times New Roman" w:hAnsi="Times New Roman" w:cs="Times New Roman"/>
        </w:rPr>
        <w:t xml:space="preserve">1.3 </w:t>
      </w:r>
      <w:r w:rsidRPr="00AF2B8F">
        <w:rPr>
          <w:rFonts w:ascii="Times New Roman" w:hAnsi="Times New Roman" w:cs="Times New Roman"/>
        </w:rPr>
        <w:t>The Sociological Context: A Tool of Gendered Subjugation</w:t>
      </w:r>
    </w:p>
    <w:p w14:paraId="6D3B49D3" w14:textId="1F0E84C9" w:rsidR="00AF2B8F" w:rsidRDefault="00AF2B8F" w:rsidP="00AF2B8F">
      <w:pPr>
        <w:spacing w:line="360" w:lineRule="auto"/>
        <w:rPr>
          <w:rFonts w:ascii="Times New Roman" w:hAnsi="Times New Roman" w:cs="Times New Roman"/>
        </w:rPr>
      </w:pPr>
      <w:r w:rsidRPr="00AF2B8F">
        <w:rPr>
          <w:rFonts w:ascii="Times New Roman" w:hAnsi="Times New Roman" w:cs="Times New Roman"/>
        </w:rPr>
        <w:t xml:space="preserve">An analysis of global data reveals that acid violence is not a random occurrence but a targeted form of gender-based violence. It is deeply rooted in patriarchal structures that view women as objects of possession rather than autonomous individuals. The "trigger" for such attacks is often a woman’s exercise of agency—rejecting a romantic overture, seeking a divorce, or </w:t>
      </w:r>
      <w:r w:rsidRPr="00AF2B8F">
        <w:rPr>
          <w:rFonts w:ascii="Times New Roman" w:hAnsi="Times New Roman" w:cs="Times New Roman"/>
        </w:rPr>
        <w:lastRenderedPageBreak/>
        <w:t>pursuing an education. By targeting the face, the perpetrator utilizes the victim’s appearance as a battlefield, attempting to "devalue" her within a society that disproportionately links a woman’s worth to her aesthetic appeal. Consequently, the crime serves as a chilling deterrent to other women who might dare to challenge traditional power dynamics</w:t>
      </w:r>
      <w:r>
        <w:rPr>
          <w:rFonts w:ascii="Times New Roman" w:hAnsi="Times New Roman" w:cs="Times New Roman"/>
        </w:rPr>
        <w:t>.</w:t>
      </w:r>
    </w:p>
    <w:p w14:paraId="3DB40735" w14:textId="77777777" w:rsidR="00AB0064" w:rsidRPr="00AB0064" w:rsidRDefault="00AB0064" w:rsidP="00AB0064">
      <w:pPr>
        <w:spacing w:line="360" w:lineRule="auto"/>
        <w:rPr>
          <w:rFonts w:ascii="Times New Roman" w:hAnsi="Times New Roman" w:cs="Times New Roman"/>
          <w:b/>
          <w:bCs/>
        </w:rPr>
      </w:pPr>
      <w:r>
        <w:rPr>
          <w:rFonts w:ascii="Times New Roman" w:hAnsi="Times New Roman" w:cs="Times New Roman"/>
        </w:rPr>
        <w:t xml:space="preserve">1.4 </w:t>
      </w:r>
      <w:r w:rsidRPr="00AB0064">
        <w:rPr>
          <w:rFonts w:ascii="Times New Roman" w:hAnsi="Times New Roman" w:cs="Times New Roman"/>
        </w:rPr>
        <w:t>The Imperative for Legislative Reform</w:t>
      </w:r>
    </w:p>
    <w:p w14:paraId="3E855A5D" w14:textId="77777777" w:rsidR="00AB0064" w:rsidRPr="00AB0064" w:rsidRDefault="00AB0064" w:rsidP="00AB0064">
      <w:pPr>
        <w:spacing w:line="360" w:lineRule="auto"/>
        <w:rPr>
          <w:rFonts w:ascii="Times New Roman" w:hAnsi="Times New Roman" w:cs="Times New Roman"/>
        </w:rPr>
      </w:pPr>
      <w:r w:rsidRPr="00AB0064">
        <w:rPr>
          <w:rFonts w:ascii="Times New Roman" w:hAnsi="Times New Roman" w:cs="Times New Roman"/>
        </w:rPr>
        <w:t>The persistence of acid attacks is largely a symptom of "legal vacuum" or legislative apathy. Many existing penal codes are ill-equipped to handle the specificities of chemical assaults, often grouping them under general battery or assault charges. Reform is urgently required in three distinct areas:</w:t>
      </w:r>
    </w:p>
    <w:p w14:paraId="1CE88105" w14:textId="77777777" w:rsidR="00AB0064" w:rsidRPr="00AB0064" w:rsidRDefault="00AB0064" w:rsidP="00AB0064">
      <w:pPr>
        <w:numPr>
          <w:ilvl w:val="0"/>
          <w:numId w:val="2"/>
        </w:numPr>
        <w:spacing w:line="360" w:lineRule="auto"/>
        <w:rPr>
          <w:rFonts w:ascii="Times New Roman" w:hAnsi="Times New Roman" w:cs="Times New Roman"/>
        </w:rPr>
      </w:pPr>
      <w:r w:rsidRPr="00AB0064">
        <w:rPr>
          <w:rFonts w:ascii="Times New Roman" w:hAnsi="Times New Roman" w:cs="Times New Roman"/>
        </w:rPr>
        <w:t>Strict Liability and Sentencing</w:t>
      </w:r>
      <w:r w:rsidRPr="00AB0064">
        <w:rPr>
          <w:rFonts w:ascii="Times New Roman" w:hAnsi="Times New Roman" w:cs="Times New Roman"/>
          <w:b/>
          <w:bCs/>
        </w:rPr>
        <w:t>:</w:t>
      </w:r>
      <w:r w:rsidRPr="00AB0064">
        <w:rPr>
          <w:rFonts w:ascii="Times New Roman" w:hAnsi="Times New Roman" w:cs="Times New Roman"/>
        </w:rPr>
        <w:t xml:space="preserve"> Establishing minimum mandatory sentences that reflect the lifelong nature of the victim's suffering.</w:t>
      </w:r>
    </w:p>
    <w:p w14:paraId="1EAA717D" w14:textId="77777777" w:rsidR="00AB0064" w:rsidRPr="00AB0064" w:rsidRDefault="00AB0064" w:rsidP="00AB0064">
      <w:pPr>
        <w:numPr>
          <w:ilvl w:val="0"/>
          <w:numId w:val="2"/>
        </w:numPr>
        <w:spacing w:line="360" w:lineRule="auto"/>
        <w:rPr>
          <w:rFonts w:ascii="Times New Roman" w:hAnsi="Times New Roman" w:cs="Times New Roman"/>
        </w:rPr>
      </w:pPr>
      <w:r w:rsidRPr="00AB0064">
        <w:rPr>
          <w:rFonts w:ascii="Times New Roman" w:hAnsi="Times New Roman" w:cs="Times New Roman"/>
        </w:rPr>
        <w:t>Supply-Chain Regulation</w:t>
      </w:r>
      <w:r w:rsidRPr="00AB0064">
        <w:rPr>
          <w:rFonts w:ascii="Times New Roman" w:hAnsi="Times New Roman" w:cs="Times New Roman"/>
          <w:b/>
          <w:bCs/>
        </w:rPr>
        <w:t>:</w:t>
      </w:r>
      <w:r w:rsidRPr="00AB0064">
        <w:rPr>
          <w:rFonts w:ascii="Times New Roman" w:hAnsi="Times New Roman" w:cs="Times New Roman"/>
        </w:rPr>
        <w:t xml:space="preserve"> Moving corrosive substances from open-market availability to a "controlled substance" status, requiring recorded identification for every purchase.</w:t>
      </w:r>
    </w:p>
    <w:p w14:paraId="0BD085A1" w14:textId="77777777" w:rsidR="00AB0064" w:rsidRPr="00AB0064" w:rsidRDefault="00AB0064" w:rsidP="00AB0064">
      <w:pPr>
        <w:numPr>
          <w:ilvl w:val="0"/>
          <w:numId w:val="2"/>
        </w:numPr>
        <w:spacing w:line="360" w:lineRule="auto"/>
        <w:rPr>
          <w:rFonts w:ascii="Times New Roman" w:hAnsi="Times New Roman" w:cs="Times New Roman"/>
        </w:rPr>
      </w:pPr>
      <w:r w:rsidRPr="00AB0064">
        <w:rPr>
          <w:rFonts w:ascii="Times New Roman" w:hAnsi="Times New Roman" w:cs="Times New Roman"/>
        </w:rPr>
        <w:t>Institutional Responsibility</w:t>
      </w:r>
      <w:r w:rsidRPr="00AB0064">
        <w:rPr>
          <w:rFonts w:ascii="Times New Roman" w:hAnsi="Times New Roman" w:cs="Times New Roman"/>
          <w:b/>
          <w:bCs/>
        </w:rPr>
        <w:t>:</w:t>
      </w:r>
      <w:r w:rsidRPr="00AB0064">
        <w:rPr>
          <w:rFonts w:ascii="Times New Roman" w:hAnsi="Times New Roman" w:cs="Times New Roman"/>
        </w:rPr>
        <w:t xml:space="preserve"> Transitioning the burden of medical costs from the victim to the state or the perpetrator, ensuring that "justice" includes the financial means for reconstructive surgery and long-term care.</w:t>
      </w:r>
    </w:p>
    <w:p w14:paraId="59A33453" w14:textId="0D025F56" w:rsidR="00AB0064" w:rsidRDefault="00AB0064" w:rsidP="00AB0064">
      <w:pPr>
        <w:spacing w:line="360" w:lineRule="auto"/>
        <w:rPr>
          <w:rFonts w:ascii="Times New Roman" w:hAnsi="Times New Roman" w:cs="Times New Roman"/>
        </w:rPr>
      </w:pPr>
      <w:r w:rsidRPr="00AB0064">
        <w:rPr>
          <w:rFonts w:ascii="Times New Roman" w:hAnsi="Times New Roman" w:cs="Times New Roman"/>
        </w:rPr>
        <w:t>1.5</w:t>
      </w:r>
      <w:r w:rsidRPr="00AB0064">
        <w:rPr>
          <w:rFonts w:ascii="Times New Roman" w:hAnsi="Times New Roman" w:cs="Times New Roman"/>
        </w:rPr>
        <w:t xml:space="preserve"> Objectives of the Report</w:t>
      </w:r>
    </w:p>
    <w:p w14:paraId="1363EF4E" w14:textId="77777777" w:rsidR="00AB0064" w:rsidRPr="00AB0064" w:rsidRDefault="00AB0064" w:rsidP="00AB0064">
      <w:pPr>
        <w:spacing w:line="360" w:lineRule="auto"/>
        <w:rPr>
          <w:rFonts w:ascii="Times New Roman" w:hAnsi="Times New Roman" w:cs="Times New Roman"/>
        </w:rPr>
      </w:pPr>
      <w:r w:rsidRPr="00AB0064">
        <w:rPr>
          <w:rFonts w:ascii="Times New Roman" w:hAnsi="Times New Roman" w:cs="Times New Roman"/>
        </w:rPr>
        <w:t>This report is structured to provide a roadmap for policymakers, legal scholars, and human rights advocates. Its primary objectives are:</w:t>
      </w:r>
    </w:p>
    <w:p w14:paraId="7BE031F1" w14:textId="77777777" w:rsidR="00AB0064" w:rsidRPr="00AB0064" w:rsidRDefault="00AB0064" w:rsidP="00AB0064">
      <w:pPr>
        <w:numPr>
          <w:ilvl w:val="0"/>
          <w:numId w:val="3"/>
        </w:numPr>
        <w:spacing w:line="360" w:lineRule="auto"/>
        <w:rPr>
          <w:rFonts w:ascii="Times New Roman" w:hAnsi="Times New Roman" w:cs="Times New Roman"/>
        </w:rPr>
      </w:pPr>
      <w:r w:rsidRPr="00AB0064">
        <w:rPr>
          <w:rFonts w:ascii="Times New Roman" w:hAnsi="Times New Roman" w:cs="Times New Roman"/>
        </w:rPr>
        <w:t>To dissect the limitations of current criminal statutes and suggest specific amendments to enhance deterrence.</w:t>
      </w:r>
    </w:p>
    <w:p w14:paraId="62E8DAA4" w14:textId="77777777" w:rsidR="00AB0064" w:rsidRPr="00AB0064" w:rsidRDefault="00AB0064" w:rsidP="00AB0064">
      <w:pPr>
        <w:numPr>
          <w:ilvl w:val="0"/>
          <w:numId w:val="3"/>
        </w:numPr>
        <w:spacing w:line="360" w:lineRule="auto"/>
        <w:rPr>
          <w:rFonts w:ascii="Times New Roman" w:hAnsi="Times New Roman" w:cs="Times New Roman"/>
        </w:rPr>
      </w:pPr>
      <w:r w:rsidRPr="00AB0064">
        <w:rPr>
          <w:rFonts w:ascii="Times New Roman" w:hAnsi="Times New Roman" w:cs="Times New Roman"/>
        </w:rPr>
        <w:t>To investigate the correlation between acid availability and crime rates, proposing a model for the stringent regulation of industrial chemicals.</w:t>
      </w:r>
    </w:p>
    <w:p w14:paraId="1A18BB98" w14:textId="13BA4EF8" w:rsidR="00AB0064" w:rsidRPr="00AB0064" w:rsidRDefault="00AB0064" w:rsidP="00AB0064">
      <w:pPr>
        <w:numPr>
          <w:ilvl w:val="0"/>
          <w:numId w:val="3"/>
        </w:numPr>
        <w:spacing w:line="360" w:lineRule="auto"/>
        <w:rPr>
          <w:rFonts w:ascii="Times New Roman" w:hAnsi="Times New Roman" w:cs="Times New Roman"/>
        </w:rPr>
      </w:pPr>
      <w:r w:rsidRPr="00AB0064">
        <w:rPr>
          <w:rFonts w:ascii="Times New Roman" w:hAnsi="Times New Roman" w:cs="Times New Roman"/>
        </w:rPr>
        <w:t xml:space="preserve">To outline a holistic rehabilitation framework that encompasses psychological </w:t>
      </w:r>
      <w:r w:rsidRPr="00AB0064">
        <w:rPr>
          <w:rFonts w:ascii="Times New Roman" w:hAnsi="Times New Roman" w:cs="Times New Roman"/>
        </w:rPr>
        <w:t>counselling</w:t>
      </w:r>
      <w:r w:rsidRPr="00AB0064">
        <w:rPr>
          <w:rFonts w:ascii="Times New Roman" w:hAnsi="Times New Roman" w:cs="Times New Roman"/>
        </w:rPr>
        <w:t>, economic reintegration, and specialized medical intervention.</w:t>
      </w:r>
    </w:p>
    <w:p w14:paraId="1978C723" w14:textId="77777777" w:rsidR="00B91678" w:rsidRDefault="00AB0064" w:rsidP="00B91678">
      <w:pPr>
        <w:numPr>
          <w:ilvl w:val="0"/>
          <w:numId w:val="3"/>
        </w:numPr>
        <w:spacing w:line="360" w:lineRule="auto"/>
        <w:rPr>
          <w:rFonts w:ascii="Times New Roman" w:hAnsi="Times New Roman" w:cs="Times New Roman"/>
        </w:rPr>
      </w:pPr>
      <w:r w:rsidRPr="00AB0064">
        <w:rPr>
          <w:rFonts w:ascii="Times New Roman" w:hAnsi="Times New Roman" w:cs="Times New Roman"/>
        </w:rPr>
        <w:t>To foster a judicial environment where survivors are treated with empathy rather than being subjected to the "secondary victimization" often found in protracted trial processes.</w:t>
      </w:r>
    </w:p>
    <w:p w14:paraId="1537F599" w14:textId="5CF0B5BC" w:rsidR="0090432C" w:rsidRPr="00B91678" w:rsidRDefault="0090432C" w:rsidP="00B91678">
      <w:pPr>
        <w:spacing w:line="360" w:lineRule="auto"/>
        <w:rPr>
          <w:rFonts w:ascii="Times New Roman" w:hAnsi="Times New Roman" w:cs="Times New Roman"/>
          <w:sz w:val="28"/>
          <w:szCs w:val="28"/>
        </w:rPr>
      </w:pPr>
      <w:r w:rsidRPr="00B91678">
        <w:rPr>
          <w:rFonts w:ascii="Times New Roman" w:hAnsi="Times New Roman" w:cs="Times New Roman"/>
          <w:b/>
          <w:bCs/>
          <w:sz w:val="28"/>
          <w:szCs w:val="28"/>
        </w:rPr>
        <w:lastRenderedPageBreak/>
        <w:t>BACKGROUND OF THE CASE</w:t>
      </w:r>
    </w:p>
    <w:p w14:paraId="070F5A38" w14:textId="6014B386" w:rsidR="0090432C" w:rsidRDefault="0090432C" w:rsidP="0090432C">
      <w:pPr>
        <w:spacing w:line="360" w:lineRule="auto"/>
        <w:rPr>
          <w:rFonts w:ascii="Times New Roman" w:hAnsi="Times New Roman" w:cs="Times New Roman"/>
        </w:rPr>
      </w:pPr>
      <w:r w:rsidRPr="0090432C">
        <w:rPr>
          <w:rFonts w:ascii="Times New Roman" w:hAnsi="Times New Roman" w:cs="Times New Roman"/>
        </w:rPr>
        <w:t xml:space="preserve">The 2005 attack on Laxmi Agarwal is regarded as the watershed moment for acid violence legislation in India. Prior to this case, acid attacks were not recognized as a distinct category of crime in the Indian Penal Code (IPC). They were typically prosecuted under general provisions for "grievous hurt," which failed to account for the unique medical requirements, the permanence of the disfigurement, and the specific psychological trauma associated with chemical branding. The subsequent legal battle, </w:t>
      </w:r>
      <w:r w:rsidRPr="0090432C">
        <w:rPr>
          <w:rFonts w:ascii="Times New Roman" w:hAnsi="Times New Roman" w:cs="Times New Roman"/>
          <w:i/>
          <w:iCs/>
        </w:rPr>
        <w:t>Laxmi v. Union of India</w:t>
      </w:r>
      <w:r w:rsidRPr="0090432C">
        <w:rPr>
          <w:rFonts w:ascii="Times New Roman" w:hAnsi="Times New Roman" w:cs="Times New Roman"/>
        </w:rPr>
        <w:t>, transformed the tragedy into a constitutional challenge against the unregulated sale of corrosive substances and the state's failure to protect the dignity of women.</w:t>
      </w:r>
    </w:p>
    <w:p w14:paraId="07FB657E" w14:textId="2E9F9C8D" w:rsidR="0090432C" w:rsidRDefault="0090432C" w:rsidP="0090432C">
      <w:pPr>
        <w:spacing w:line="360" w:lineRule="auto"/>
        <w:rPr>
          <w:rFonts w:ascii="Times New Roman" w:hAnsi="Times New Roman" w:cs="Times New Roman"/>
        </w:rPr>
      </w:pPr>
      <w:r>
        <w:rPr>
          <w:rFonts w:ascii="Times New Roman" w:hAnsi="Times New Roman" w:cs="Times New Roman"/>
        </w:rPr>
        <w:t>1.1 Facts of the 2005 Incident</w:t>
      </w:r>
    </w:p>
    <w:p w14:paraId="0FCD8A22" w14:textId="709100F9" w:rsidR="0090432C" w:rsidRDefault="0090432C" w:rsidP="0090432C">
      <w:pPr>
        <w:spacing w:line="360" w:lineRule="auto"/>
        <w:rPr>
          <w:rFonts w:ascii="Times New Roman" w:hAnsi="Times New Roman" w:cs="Times New Roman"/>
        </w:rPr>
      </w:pPr>
      <w:r w:rsidRPr="0090432C">
        <w:rPr>
          <w:rFonts w:ascii="Times New Roman" w:hAnsi="Times New Roman" w:cs="Times New Roman"/>
        </w:rPr>
        <w:t>The incident occurred in the morning of a typical day in 2005 in New Delhi’s Khan Market, one of the city's most prominent commercial hubs. Laxmi, then only 15 years old, was walking toward a bookstore where she worked part-time. She was approached by a 32-year-old acquaintance, Naeem Khan (also known as Guddu), who was accompanied by a female relative. In a coordinated assault, the woman pushed Laxmi to the ground, and Khan poured a bottle of concentrated acid directly onto her face. The chemical reaction was instantaneous; Laxmi later recounted that she felt as though her skin was melting off her bones. Despite the crowded nature of the market, there was a momentary paralysis of help from bystanders, a common occurrence in such high-shock incidents, until a passerby eventually assisted her with water and transport to a hospital.</w:t>
      </w:r>
    </w:p>
    <w:p w14:paraId="5BBBD345" w14:textId="77777777" w:rsidR="0090432C" w:rsidRPr="0090432C" w:rsidRDefault="0090432C" w:rsidP="0090432C">
      <w:pPr>
        <w:spacing w:line="360" w:lineRule="auto"/>
        <w:rPr>
          <w:rFonts w:ascii="Times New Roman" w:hAnsi="Times New Roman" w:cs="Times New Roman"/>
          <w:b/>
          <w:bCs/>
        </w:rPr>
      </w:pPr>
      <w:r>
        <w:rPr>
          <w:rFonts w:ascii="Times New Roman" w:hAnsi="Times New Roman" w:cs="Times New Roman"/>
        </w:rPr>
        <w:t xml:space="preserve">1.2 </w:t>
      </w:r>
      <w:r w:rsidRPr="0090432C">
        <w:rPr>
          <w:rFonts w:ascii="Times New Roman" w:hAnsi="Times New Roman" w:cs="Times New Roman"/>
        </w:rPr>
        <w:t>Profile of Laxmi Agarwal</w:t>
      </w:r>
    </w:p>
    <w:p w14:paraId="4FA4F607" w14:textId="77777777" w:rsidR="0090432C" w:rsidRDefault="0090432C" w:rsidP="0090432C">
      <w:pPr>
        <w:spacing w:line="360" w:lineRule="auto"/>
        <w:rPr>
          <w:rFonts w:ascii="Times New Roman" w:hAnsi="Times New Roman" w:cs="Times New Roman"/>
        </w:rPr>
      </w:pPr>
      <w:r w:rsidRPr="0090432C">
        <w:rPr>
          <w:rFonts w:ascii="Times New Roman" w:hAnsi="Times New Roman" w:cs="Times New Roman"/>
        </w:rPr>
        <w:t>At the time of the assault, Laxmi was a young student with a deep passion for music and dreams of becoming a professional singer. She came from a modest, middle-class background where her family placed a high value on her education and future. Following the attack, Laxmi refused to succumb to the "social death" typically expected of survivors. She became the primary petitioner in a landmark Public Interest Litigation (PIL) in 2006. Over the years, she evolved into a global icon for human rights, founding the "Stop Acid Attacks" campaign and receiving the International Women of Courage Award. Her profile shifted the narrative of the "victim" to that of the "survivor-activist."</w:t>
      </w:r>
    </w:p>
    <w:p w14:paraId="054175C8" w14:textId="77777777" w:rsidR="004A2D11" w:rsidRDefault="004A2D11" w:rsidP="0090432C">
      <w:pPr>
        <w:spacing w:line="360" w:lineRule="auto"/>
        <w:rPr>
          <w:rFonts w:ascii="Times New Roman" w:hAnsi="Times New Roman" w:cs="Times New Roman"/>
        </w:rPr>
      </w:pPr>
    </w:p>
    <w:p w14:paraId="0D228B90" w14:textId="77777777" w:rsidR="004A2D11" w:rsidRDefault="004A2D11" w:rsidP="0090432C">
      <w:pPr>
        <w:spacing w:line="360" w:lineRule="auto"/>
        <w:rPr>
          <w:rFonts w:ascii="Times New Roman" w:hAnsi="Times New Roman" w:cs="Times New Roman"/>
        </w:rPr>
      </w:pPr>
    </w:p>
    <w:p w14:paraId="4C6F3B8D" w14:textId="3B502830" w:rsidR="0090432C" w:rsidRPr="0090432C" w:rsidRDefault="0090432C" w:rsidP="0090432C">
      <w:pPr>
        <w:spacing w:line="360" w:lineRule="auto"/>
        <w:rPr>
          <w:rFonts w:ascii="Times New Roman" w:hAnsi="Times New Roman" w:cs="Times New Roman"/>
          <w:b/>
          <w:bCs/>
        </w:rPr>
      </w:pPr>
      <w:r>
        <w:rPr>
          <w:rFonts w:ascii="Times New Roman" w:hAnsi="Times New Roman" w:cs="Times New Roman"/>
        </w:rPr>
        <w:lastRenderedPageBreak/>
        <w:t xml:space="preserve">1.3 </w:t>
      </w:r>
      <w:r w:rsidRPr="0090432C">
        <w:rPr>
          <w:rFonts w:ascii="Times New Roman" w:hAnsi="Times New Roman" w:cs="Times New Roman"/>
        </w:rPr>
        <w:t>M</w:t>
      </w:r>
      <w:r w:rsidRPr="0090432C">
        <w:rPr>
          <w:rFonts w:ascii="Times New Roman" w:hAnsi="Times New Roman" w:cs="Times New Roman"/>
        </w:rPr>
        <w:t>otive Behind the Attack</w:t>
      </w:r>
    </w:p>
    <w:p w14:paraId="624C5EF8" w14:textId="614A51DB" w:rsidR="0090432C" w:rsidRDefault="0090432C" w:rsidP="0090432C">
      <w:pPr>
        <w:spacing w:line="360" w:lineRule="auto"/>
        <w:rPr>
          <w:rFonts w:ascii="Times New Roman" w:hAnsi="Times New Roman" w:cs="Times New Roman"/>
        </w:rPr>
      </w:pPr>
      <w:r w:rsidRPr="0090432C">
        <w:rPr>
          <w:rFonts w:ascii="Times New Roman" w:hAnsi="Times New Roman" w:cs="Times New Roman"/>
        </w:rPr>
        <w:t>The motive for the attack was a classic manifestation of toxic entitlement and patriarchal aggression. Naeem Khan had been stalking Laxmi for months and had repeatedly pressured her into a marriage proposal. Laxmi, asserting her autonomy and focusing on her education, had firmly rejected him. In the perpetrator's view, this rejection was an insult to his "</w:t>
      </w:r>
      <w:r w:rsidRPr="0090432C">
        <w:rPr>
          <w:rFonts w:ascii="Times New Roman" w:hAnsi="Times New Roman" w:cs="Times New Roman"/>
        </w:rPr>
        <w:t>honour</w:t>
      </w:r>
      <w:r w:rsidRPr="0090432C">
        <w:rPr>
          <w:rFonts w:ascii="Times New Roman" w:hAnsi="Times New Roman" w:cs="Times New Roman"/>
        </w:rPr>
        <w:t>." The attack was not intended to kill her, but to ensure she was "marked" so that no other man would ever want to marry her. It was a calculated attempt to destroy her identity as a punishment for her refusal to be his possession.</w:t>
      </w:r>
    </w:p>
    <w:p w14:paraId="4802BE8C" w14:textId="77777777" w:rsidR="0090432C" w:rsidRPr="0090432C" w:rsidRDefault="0090432C" w:rsidP="0090432C">
      <w:pPr>
        <w:spacing w:line="360" w:lineRule="auto"/>
        <w:rPr>
          <w:rFonts w:ascii="Times New Roman" w:hAnsi="Times New Roman" w:cs="Times New Roman"/>
        </w:rPr>
      </w:pPr>
      <w:r>
        <w:rPr>
          <w:rFonts w:ascii="Times New Roman" w:hAnsi="Times New Roman" w:cs="Times New Roman"/>
        </w:rPr>
        <w:t xml:space="preserve">1.4 </w:t>
      </w:r>
      <w:r w:rsidRPr="0090432C">
        <w:rPr>
          <w:rFonts w:ascii="Times New Roman" w:hAnsi="Times New Roman" w:cs="Times New Roman"/>
        </w:rPr>
        <w:t>Immediate Consequences</w:t>
      </w:r>
    </w:p>
    <w:p w14:paraId="2C54E15E" w14:textId="4A23C990" w:rsidR="0090432C" w:rsidRDefault="0090432C" w:rsidP="0090432C">
      <w:pPr>
        <w:spacing w:line="360" w:lineRule="auto"/>
        <w:rPr>
          <w:rFonts w:ascii="Times New Roman" w:hAnsi="Times New Roman" w:cs="Times New Roman"/>
        </w:rPr>
      </w:pPr>
      <w:r w:rsidRPr="0090432C">
        <w:rPr>
          <w:rFonts w:ascii="Times New Roman" w:hAnsi="Times New Roman" w:cs="Times New Roman"/>
        </w:rPr>
        <w:t xml:space="preserve">The immediate aftermath was a period of excruciating physical and financial agony. Laxmi remained hospitalized for months and eventually underwent a total of nine major reconstructive surgeries. The acid had caused deep-tissue necrosis, </w:t>
      </w:r>
      <w:r w:rsidRPr="0090432C">
        <w:rPr>
          <w:rFonts w:ascii="Times New Roman" w:hAnsi="Times New Roman" w:cs="Times New Roman"/>
        </w:rPr>
        <w:t>affected</w:t>
      </w:r>
      <w:r w:rsidRPr="0090432C">
        <w:rPr>
          <w:rFonts w:ascii="Times New Roman" w:hAnsi="Times New Roman" w:cs="Times New Roman"/>
        </w:rPr>
        <w:t xml:space="preserve"> her eyelids, nose, and neck, and requiring extensive skin grafts from other parts of her body. Beyond the physical, she faced immediate social isolation; her peers stopped visiting, and she was often advised to cover her face in public to avoid "offending" others. Financially, the burden was nearly insurmountable for her family, as there were no state policies at the time for the mandatory compensation of acid attack survivors.</w:t>
      </w:r>
    </w:p>
    <w:p w14:paraId="5C83A7B1" w14:textId="77777777" w:rsidR="0090432C" w:rsidRPr="0090432C" w:rsidRDefault="0090432C" w:rsidP="0090432C">
      <w:pPr>
        <w:spacing w:line="360" w:lineRule="auto"/>
        <w:rPr>
          <w:rFonts w:ascii="Times New Roman" w:hAnsi="Times New Roman" w:cs="Times New Roman"/>
          <w:b/>
          <w:bCs/>
        </w:rPr>
      </w:pPr>
      <w:r>
        <w:rPr>
          <w:rFonts w:ascii="Times New Roman" w:hAnsi="Times New Roman" w:cs="Times New Roman"/>
        </w:rPr>
        <w:t xml:space="preserve">1.5 </w:t>
      </w:r>
      <w:r w:rsidRPr="0090432C">
        <w:rPr>
          <w:rFonts w:ascii="Times New Roman" w:hAnsi="Times New Roman" w:cs="Times New Roman"/>
        </w:rPr>
        <w:t>Public and Media Reaction</w:t>
      </w:r>
    </w:p>
    <w:p w14:paraId="41C525AA" w14:textId="77777777" w:rsidR="0090432C" w:rsidRPr="0090432C" w:rsidRDefault="0090432C" w:rsidP="0090432C">
      <w:pPr>
        <w:spacing w:line="360" w:lineRule="auto"/>
        <w:rPr>
          <w:rFonts w:ascii="Times New Roman" w:hAnsi="Times New Roman" w:cs="Times New Roman"/>
        </w:rPr>
      </w:pPr>
      <w:r w:rsidRPr="0090432C">
        <w:rPr>
          <w:rFonts w:ascii="Times New Roman" w:hAnsi="Times New Roman" w:cs="Times New Roman"/>
        </w:rPr>
        <w:t>The reaction to Laxmi’s case was a slow-building storm that eventually led to a national outcry. Initially treated as a local crime story, the media soon recognized the broader systemic issues at play.</w:t>
      </w:r>
    </w:p>
    <w:p w14:paraId="4342C7F8" w14:textId="77777777" w:rsidR="0090432C" w:rsidRPr="0090432C" w:rsidRDefault="0090432C" w:rsidP="0090432C">
      <w:pPr>
        <w:numPr>
          <w:ilvl w:val="0"/>
          <w:numId w:val="4"/>
        </w:numPr>
        <w:spacing w:line="360" w:lineRule="auto"/>
        <w:rPr>
          <w:rFonts w:ascii="Times New Roman" w:hAnsi="Times New Roman" w:cs="Times New Roman"/>
        </w:rPr>
      </w:pPr>
      <w:r w:rsidRPr="0090432C">
        <w:rPr>
          <w:rFonts w:ascii="Times New Roman" w:hAnsi="Times New Roman" w:cs="Times New Roman"/>
        </w:rPr>
        <w:t>Media Advocacy</w:t>
      </w:r>
      <w:r w:rsidRPr="0090432C">
        <w:rPr>
          <w:rFonts w:ascii="Times New Roman" w:hAnsi="Times New Roman" w:cs="Times New Roman"/>
          <w:b/>
          <w:bCs/>
        </w:rPr>
        <w:t>:</w:t>
      </w:r>
      <w:r w:rsidRPr="0090432C">
        <w:rPr>
          <w:rFonts w:ascii="Times New Roman" w:hAnsi="Times New Roman" w:cs="Times New Roman"/>
        </w:rPr>
        <w:t xml:space="preserve"> Journalists began to highlight the "easy availability" of acid, which could be bought as easily as common household cleaners for less than 30 rupees.</w:t>
      </w:r>
    </w:p>
    <w:p w14:paraId="73FE4D6E" w14:textId="77777777" w:rsidR="0090432C" w:rsidRPr="0090432C" w:rsidRDefault="0090432C" w:rsidP="0090432C">
      <w:pPr>
        <w:numPr>
          <w:ilvl w:val="0"/>
          <w:numId w:val="4"/>
        </w:numPr>
        <w:spacing w:line="360" w:lineRule="auto"/>
        <w:rPr>
          <w:rFonts w:ascii="Times New Roman" w:hAnsi="Times New Roman" w:cs="Times New Roman"/>
        </w:rPr>
      </w:pPr>
      <w:r w:rsidRPr="0090432C">
        <w:rPr>
          <w:rFonts w:ascii="Times New Roman" w:hAnsi="Times New Roman" w:cs="Times New Roman"/>
        </w:rPr>
        <w:t>Public Outrage</w:t>
      </w:r>
      <w:r w:rsidRPr="0090432C">
        <w:rPr>
          <w:rFonts w:ascii="Times New Roman" w:hAnsi="Times New Roman" w:cs="Times New Roman"/>
          <w:b/>
          <w:bCs/>
        </w:rPr>
        <w:t>:</w:t>
      </w:r>
      <w:r w:rsidRPr="0090432C">
        <w:rPr>
          <w:rFonts w:ascii="Times New Roman" w:hAnsi="Times New Roman" w:cs="Times New Roman"/>
        </w:rPr>
        <w:t xml:space="preserve"> The brutality of a 32-year-old man targeting a 15-year-old girl over a rejected proposal struck a chord with the national conscience, leading to protests and demands for stricter laws.</w:t>
      </w:r>
    </w:p>
    <w:p w14:paraId="7DED7B14" w14:textId="77777777" w:rsidR="0090432C" w:rsidRPr="0090432C" w:rsidRDefault="0090432C" w:rsidP="0090432C">
      <w:pPr>
        <w:numPr>
          <w:ilvl w:val="0"/>
          <w:numId w:val="4"/>
        </w:numPr>
        <w:spacing w:line="360" w:lineRule="auto"/>
        <w:rPr>
          <w:rFonts w:ascii="Times New Roman" w:hAnsi="Times New Roman" w:cs="Times New Roman"/>
        </w:rPr>
      </w:pPr>
      <w:r w:rsidRPr="0090432C">
        <w:rPr>
          <w:rFonts w:ascii="Times New Roman" w:hAnsi="Times New Roman" w:cs="Times New Roman"/>
        </w:rPr>
        <w:t>Judicial Pressure</w:t>
      </w:r>
      <w:r w:rsidRPr="0090432C">
        <w:rPr>
          <w:rFonts w:ascii="Times New Roman" w:hAnsi="Times New Roman" w:cs="Times New Roman"/>
          <w:b/>
          <w:bCs/>
        </w:rPr>
        <w:t>:</w:t>
      </w:r>
      <w:r w:rsidRPr="0090432C">
        <w:rPr>
          <w:rFonts w:ascii="Times New Roman" w:hAnsi="Times New Roman" w:cs="Times New Roman"/>
        </w:rPr>
        <w:t xml:space="preserve"> The media's consistent coverage of Laxmi's legal journey kept the pressure on the Supreme Court, ensuring that the case did not fade away until the historic 2013 directives were passed, which finally criminalized acid attacks under Sections 326A and 326B of the IPC.</w:t>
      </w:r>
    </w:p>
    <w:p w14:paraId="74C5757F" w14:textId="4CC80BBD" w:rsidR="0090432C" w:rsidRDefault="00B91678" w:rsidP="00533EB7">
      <w:pPr>
        <w:rPr>
          <w:rFonts w:ascii="Times New Roman" w:hAnsi="Times New Roman" w:cs="Times New Roman"/>
          <w:b/>
          <w:bCs/>
          <w:sz w:val="28"/>
          <w:szCs w:val="28"/>
        </w:rPr>
      </w:pPr>
      <w:r w:rsidRPr="00B91678">
        <w:rPr>
          <w:rFonts w:ascii="Times New Roman" w:hAnsi="Times New Roman" w:cs="Times New Roman"/>
          <w:b/>
          <w:bCs/>
          <w:sz w:val="28"/>
          <w:szCs w:val="28"/>
        </w:rPr>
        <w:lastRenderedPageBreak/>
        <w:t xml:space="preserve">MEDICAL </w:t>
      </w:r>
      <w:r w:rsidRPr="00533EB7">
        <w:rPr>
          <w:rFonts w:ascii="Times New Roman" w:hAnsi="Times New Roman" w:cs="Times New Roman"/>
          <w:b/>
          <w:bCs/>
          <w:sz w:val="28"/>
          <w:szCs w:val="28"/>
        </w:rPr>
        <w:t>AND PSYCHOLOGICAL</w:t>
      </w:r>
      <w:r w:rsidRPr="00B91678">
        <w:rPr>
          <w:rFonts w:ascii="Times New Roman" w:hAnsi="Times New Roman" w:cs="Times New Roman"/>
          <w:b/>
          <w:bCs/>
          <w:sz w:val="28"/>
          <w:szCs w:val="28"/>
        </w:rPr>
        <w:t xml:space="preserve"> IMPACT</w:t>
      </w:r>
    </w:p>
    <w:p w14:paraId="553FE8D6" w14:textId="77777777" w:rsidR="00B91678" w:rsidRPr="00B91678" w:rsidRDefault="00B91678" w:rsidP="00B91678">
      <w:pPr>
        <w:spacing w:line="360" w:lineRule="auto"/>
        <w:rPr>
          <w:rFonts w:ascii="Times New Roman" w:hAnsi="Times New Roman" w:cs="Times New Roman"/>
          <w:b/>
          <w:bCs/>
        </w:rPr>
      </w:pPr>
      <w:r w:rsidRPr="00B91678">
        <w:rPr>
          <w:rFonts w:ascii="Times New Roman" w:hAnsi="Times New Roman" w:cs="Times New Roman"/>
        </w:rPr>
        <w:t>1.1</w:t>
      </w:r>
      <w:r w:rsidRPr="00B91678">
        <w:rPr>
          <w:rFonts w:ascii="Times New Roman" w:hAnsi="Times New Roman" w:cs="Times New Roman"/>
          <w:sz w:val="28"/>
          <w:szCs w:val="28"/>
        </w:rPr>
        <w:t xml:space="preserve"> </w:t>
      </w:r>
      <w:r w:rsidRPr="00B91678">
        <w:rPr>
          <w:rFonts w:ascii="Times New Roman" w:hAnsi="Times New Roman" w:cs="Times New Roman"/>
        </w:rPr>
        <w:t>Nature of Acid Injuries</w:t>
      </w:r>
    </w:p>
    <w:p w14:paraId="0FD42E90" w14:textId="77777777" w:rsidR="00B91678" w:rsidRDefault="00B91678" w:rsidP="00B91678">
      <w:pPr>
        <w:spacing w:line="360" w:lineRule="auto"/>
        <w:rPr>
          <w:rFonts w:ascii="Times New Roman" w:hAnsi="Times New Roman" w:cs="Times New Roman"/>
        </w:rPr>
      </w:pPr>
      <w:r w:rsidRPr="00B91678">
        <w:rPr>
          <w:rFonts w:ascii="Times New Roman" w:hAnsi="Times New Roman" w:cs="Times New Roman"/>
        </w:rPr>
        <w:t>The damage caused by corrosive substances is distinct from thermal burns (fire). Acids are "progressive" agents; they continue to react with human tissue until they are neutralized or washed away. Concentrated sulfuric or nitric acid causes coagulative necrosis, essentially liquefying the skin’s proteins and fats. The injury often penetrates beyond the dermis, reaching muscle, cartilage, and bone. In attacks targeting the face, the acid frequently enters the ocular cavities, melting the cornea and leading to permanent blindness. Additionally, the inhalation of toxic fumes during the attack can cause internal chemical burns to the respiratory tract, leading to chronic breathing complications.</w:t>
      </w:r>
    </w:p>
    <w:p w14:paraId="4C85B6E0" w14:textId="77777777" w:rsidR="00B91678" w:rsidRPr="00B91678" w:rsidRDefault="00B91678" w:rsidP="00B91678">
      <w:pPr>
        <w:spacing w:line="360" w:lineRule="auto"/>
        <w:rPr>
          <w:rFonts w:ascii="Times New Roman" w:hAnsi="Times New Roman" w:cs="Times New Roman"/>
          <w:b/>
          <w:bCs/>
        </w:rPr>
      </w:pPr>
      <w:r>
        <w:rPr>
          <w:rFonts w:ascii="Times New Roman" w:hAnsi="Times New Roman" w:cs="Times New Roman"/>
        </w:rPr>
        <w:t xml:space="preserve">1.2 </w:t>
      </w:r>
      <w:r w:rsidRPr="00B91678">
        <w:rPr>
          <w:rFonts w:ascii="Times New Roman" w:hAnsi="Times New Roman" w:cs="Times New Roman"/>
        </w:rPr>
        <w:t>Surgeries and Long-Term Treatment</w:t>
      </w:r>
    </w:p>
    <w:p w14:paraId="40C5955A" w14:textId="77777777" w:rsidR="00B91678" w:rsidRPr="00B91678" w:rsidRDefault="00B91678" w:rsidP="00B91678">
      <w:pPr>
        <w:spacing w:line="360" w:lineRule="auto"/>
        <w:rPr>
          <w:rFonts w:ascii="Times New Roman" w:hAnsi="Times New Roman" w:cs="Times New Roman"/>
        </w:rPr>
      </w:pPr>
      <w:r w:rsidRPr="00B91678">
        <w:rPr>
          <w:rFonts w:ascii="Times New Roman" w:hAnsi="Times New Roman" w:cs="Times New Roman"/>
        </w:rPr>
        <w:t>The medical journey for a survivor is not a single event but a years-long cycle of invasive procedures. The primary focus of initial surgeries is debridement (removing dead tissue) and skin grafting. Because acid destroys the elasticity of the skin, survivors often develop "contractures"—where the scarred skin tightens so severely that it pulls the mouth open, prevents eyes from closing, or fuses the chin to the chest.</w:t>
      </w:r>
    </w:p>
    <w:p w14:paraId="76FF7FB3" w14:textId="77777777" w:rsidR="00B91678" w:rsidRPr="00B91678" w:rsidRDefault="00B91678" w:rsidP="00B91678">
      <w:pPr>
        <w:numPr>
          <w:ilvl w:val="0"/>
          <w:numId w:val="5"/>
        </w:numPr>
        <w:spacing w:line="360" w:lineRule="auto"/>
        <w:rPr>
          <w:rFonts w:ascii="Times New Roman" w:hAnsi="Times New Roman" w:cs="Times New Roman"/>
        </w:rPr>
      </w:pPr>
      <w:r w:rsidRPr="00B91678">
        <w:rPr>
          <w:rFonts w:ascii="Times New Roman" w:hAnsi="Times New Roman" w:cs="Times New Roman"/>
        </w:rPr>
        <w:t>Reconstructive Cycles</w:t>
      </w:r>
      <w:r w:rsidRPr="00B91678">
        <w:rPr>
          <w:rFonts w:ascii="Times New Roman" w:hAnsi="Times New Roman" w:cs="Times New Roman"/>
          <w:b/>
          <w:bCs/>
        </w:rPr>
        <w:t>:</w:t>
      </w:r>
      <w:r w:rsidRPr="00B91678">
        <w:rPr>
          <w:rFonts w:ascii="Times New Roman" w:hAnsi="Times New Roman" w:cs="Times New Roman"/>
        </w:rPr>
        <w:t xml:space="preserve"> A survivor may require between 10 to 40 surgeries over a decade.</w:t>
      </w:r>
    </w:p>
    <w:p w14:paraId="42D2E658" w14:textId="77777777" w:rsidR="00B91678" w:rsidRPr="00B91678" w:rsidRDefault="00B91678" w:rsidP="00B91678">
      <w:pPr>
        <w:numPr>
          <w:ilvl w:val="0"/>
          <w:numId w:val="5"/>
        </w:numPr>
        <w:spacing w:line="360" w:lineRule="auto"/>
        <w:rPr>
          <w:rFonts w:ascii="Times New Roman" w:hAnsi="Times New Roman" w:cs="Times New Roman"/>
        </w:rPr>
      </w:pPr>
      <w:r w:rsidRPr="00B91678">
        <w:rPr>
          <w:rFonts w:ascii="Times New Roman" w:hAnsi="Times New Roman" w:cs="Times New Roman"/>
        </w:rPr>
        <w:t>Physiotherapy</w:t>
      </w:r>
      <w:r w:rsidRPr="00B91678">
        <w:rPr>
          <w:rFonts w:ascii="Times New Roman" w:hAnsi="Times New Roman" w:cs="Times New Roman"/>
          <w:b/>
          <w:bCs/>
        </w:rPr>
        <w:t>:</w:t>
      </w:r>
      <w:r w:rsidRPr="00B91678">
        <w:rPr>
          <w:rFonts w:ascii="Times New Roman" w:hAnsi="Times New Roman" w:cs="Times New Roman"/>
        </w:rPr>
        <w:t xml:space="preserve"> Constant physical therapy is required to maintain the range of motion in limbs affected by scar tissue.</w:t>
      </w:r>
    </w:p>
    <w:p w14:paraId="2FDBA299" w14:textId="77777777" w:rsidR="00B91678" w:rsidRDefault="00B91678" w:rsidP="00B91678">
      <w:pPr>
        <w:numPr>
          <w:ilvl w:val="0"/>
          <w:numId w:val="5"/>
        </w:numPr>
        <w:spacing w:line="360" w:lineRule="auto"/>
        <w:rPr>
          <w:rFonts w:ascii="Times New Roman" w:hAnsi="Times New Roman" w:cs="Times New Roman"/>
        </w:rPr>
      </w:pPr>
      <w:r w:rsidRPr="00B91678">
        <w:rPr>
          <w:rFonts w:ascii="Times New Roman" w:hAnsi="Times New Roman" w:cs="Times New Roman"/>
        </w:rPr>
        <w:t>Financial Exhaustion</w:t>
      </w:r>
      <w:r w:rsidRPr="00B91678">
        <w:rPr>
          <w:rFonts w:ascii="Times New Roman" w:hAnsi="Times New Roman" w:cs="Times New Roman"/>
          <w:b/>
          <w:bCs/>
        </w:rPr>
        <w:t>:</w:t>
      </w:r>
      <w:r w:rsidRPr="00B91678">
        <w:rPr>
          <w:rFonts w:ascii="Times New Roman" w:hAnsi="Times New Roman" w:cs="Times New Roman"/>
        </w:rPr>
        <w:t xml:space="preserve"> The long-term nature of this treatment often leads to "medical poverty," where the cost of specialized plastic surgery exceeds the lifetime earnings of the survivor’s family.</w:t>
      </w:r>
    </w:p>
    <w:p w14:paraId="1A77E911" w14:textId="77777777" w:rsidR="00B91678" w:rsidRPr="00B91678" w:rsidRDefault="00B91678" w:rsidP="00B91678">
      <w:pPr>
        <w:spacing w:line="360" w:lineRule="auto"/>
        <w:rPr>
          <w:rFonts w:ascii="Times New Roman" w:hAnsi="Times New Roman" w:cs="Times New Roman"/>
          <w:b/>
          <w:bCs/>
        </w:rPr>
      </w:pPr>
      <w:r>
        <w:rPr>
          <w:rFonts w:ascii="Times New Roman" w:hAnsi="Times New Roman" w:cs="Times New Roman"/>
        </w:rPr>
        <w:t xml:space="preserve">1.3 </w:t>
      </w:r>
      <w:r w:rsidRPr="00B91678">
        <w:rPr>
          <w:rFonts w:ascii="Times New Roman" w:hAnsi="Times New Roman" w:cs="Times New Roman"/>
        </w:rPr>
        <w:t>Psychological Trauma: PTSD and Depression</w:t>
      </w:r>
    </w:p>
    <w:p w14:paraId="05350134" w14:textId="77777777" w:rsidR="00B91678" w:rsidRPr="00B91678" w:rsidRDefault="00B91678" w:rsidP="00B91678">
      <w:pPr>
        <w:spacing w:line="360" w:lineRule="auto"/>
        <w:rPr>
          <w:rFonts w:ascii="Times New Roman" w:hAnsi="Times New Roman" w:cs="Times New Roman"/>
        </w:rPr>
      </w:pPr>
      <w:r w:rsidRPr="00B91678">
        <w:rPr>
          <w:rFonts w:ascii="Times New Roman" w:hAnsi="Times New Roman" w:cs="Times New Roman"/>
        </w:rPr>
        <w:t xml:space="preserve">The psychological impact of </w:t>
      </w:r>
      <w:proofErr w:type="spellStart"/>
      <w:r w:rsidRPr="00B91678">
        <w:rPr>
          <w:rFonts w:ascii="Times New Roman" w:hAnsi="Times New Roman" w:cs="Times New Roman"/>
        </w:rPr>
        <w:t>vitriolage</w:t>
      </w:r>
      <w:proofErr w:type="spellEnd"/>
      <w:r w:rsidRPr="00B91678">
        <w:rPr>
          <w:rFonts w:ascii="Times New Roman" w:hAnsi="Times New Roman" w:cs="Times New Roman"/>
        </w:rPr>
        <w:t xml:space="preserve"> is often described as a "total collapse of the self." Survivors almost universally experience Post-Traumatic Stress Disorder (PTSD), characterized by flashbacks of the attack, night terrors, and severe hyper-vigilance.</w:t>
      </w:r>
    </w:p>
    <w:p w14:paraId="5D7BDB11" w14:textId="77777777" w:rsidR="00B91678" w:rsidRPr="00B91678" w:rsidRDefault="00B91678" w:rsidP="00B91678">
      <w:pPr>
        <w:numPr>
          <w:ilvl w:val="0"/>
          <w:numId w:val="6"/>
        </w:numPr>
        <w:spacing w:line="360" w:lineRule="auto"/>
        <w:rPr>
          <w:rFonts w:ascii="Times New Roman" w:hAnsi="Times New Roman" w:cs="Times New Roman"/>
        </w:rPr>
      </w:pPr>
      <w:r w:rsidRPr="00B91678">
        <w:rPr>
          <w:rFonts w:ascii="Times New Roman" w:hAnsi="Times New Roman" w:cs="Times New Roman"/>
        </w:rPr>
        <w:t>Identity Crisis</w:t>
      </w:r>
      <w:r w:rsidRPr="00B91678">
        <w:rPr>
          <w:rFonts w:ascii="Times New Roman" w:hAnsi="Times New Roman" w:cs="Times New Roman"/>
          <w:b/>
          <w:bCs/>
        </w:rPr>
        <w:t>:</w:t>
      </w:r>
      <w:r w:rsidRPr="00B91678">
        <w:rPr>
          <w:rFonts w:ascii="Times New Roman" w:hAnsi="Times New Roman" w:cs="Times New Roman"/>
        </w:rPr>
        <w:t xml:space="preserve"> Because the face is the primary mirror of identity, its sudden loss leads to profound "Mirror Trauma," where survivors cannot recognize themselves, leading to dissociative disorders.</w:t>
      </w:r>
    </w:p>
    <w:p w14:paraId="738FF756" w14:textId="77777777" w:rsidR="00B91678" w:rsidRDefault="00B91678" w:rsidP="00B91678">
      <w:pPr>
        <w:numPr>
          <w:ilvl w:val="0"/>
          <w:numId w:val="6"/>
        </w:numPr>
        <w:spacing w:line="360" w:lineRule="auto"/>
        <w:rPr>
          <w:rFonts w:ascii="Times New Roman" w:hAnsi="Times New Roman" w:cs="Times New Roman"/>
        </w:rPr>
      </w:pPr>
      <w:r w:rsidRPr="00B91678">
        <w:rPr>
          <w:rFonts w:ascii="Times New Roman" w:hAnsi="Times New Roman" w:cs="Times New Roman"/>
        </w:rPr>
        <w:lastRenderedPageBreak/>
        <w:t>Clinical Depression</w:t>
      </w:r>
      <w:r w:rsidRPr="00B91678">
        <w:rPr>
          <w:rFonts w:ascii="Times New Roman" w:hAnsi="Times New Roman" w:cs="Times New Roman"/>
          <w:b/>
          <w:bCs/>
        </w:rPr>
        <w:t>:</w:t>
      </w:r>
      <w:r w:rsidRPr="00B91678">
        <w:rPr>
          <w:rFonts w:ascii="Times New Roman" w:hAnsi="Times New Roman" w:cs="Times New Roman"/>
        </w:rPr>
        <w:t xml:space="preserve"> The realization that the disfigurement is permanent often leads to chronic depression and suicidal ideation. The trauma is compounded by the fact that the "weapon" used was often a household item, making the world feel inherently unsafe.</w:t>
      </w:r>
    </w:p>
    <w:p w14:paraId="52F65ADD" w14:textId="77777777" w:rsidR="00B91678" w:rsidRPr="00B91678" w:rsidRDefault="00B91678" w:rsidP="00B91678">
      <w:pPr>
        <w:spacing w:line="360" w:lineRule="auto"/>
        <w:ind w:left="360"/>
        <w:rPr>
          <w:rFonts w:ascii="Times New Roman" w:hAnsi="Times New Roman" w:cs="Times New Roman"/>
          <w:b/>
          <w:bCs/>
        </w:rPr>
      </w:pPr>
      <w:r>
        <w:rPr>
          <w:rFonts w:ascii="Times New Roman" w:hAnsi="Times New Roman" w:cs="Times New Roman"/>
        </w:rPr>
        <w:t xml:space="preserve">1.4 </w:t>
      </w:r>
      <w:r w:rsidRPr="00B91678">
        <w:rPr>
          <w:rFonts w:ascii="Times New Roman" w:hAnsi="Times New Roman" w:cs="Times New Roman"/>
        </w:rPr>
        <w:t>Social Stigma and Rehabilitation</w:t>
      </w:r>
    </w:p>
    <w:p w14:paraId="5008A567" w14:textId="1AA57B81" w:rsidR="00B91678" w:rsidRPr="00B91678" w:rsidRDefault="00B91678" w:rsidP="00B91678">
      <w:pPr>
        <w:spacing w:line="360" w:lineRule="auto"/>
        <w:ind w:left="360"/>
        <w:rPr>
          <w:rFonts w:ascii="Times New Roman" w:hAnsi="Times New Roman" w:cs="Times New Roman"/>
        </w:rPr>
      </w:pPr>
      <w:r w:rsidRPr="00B91678">
        <w:rPr>
          <w:rFonts w:ascii="Times New Roman" w:hAnsi="Times New Roman" w:cs="Times New Roman"/>
        </w:rPr>
        <w:t xml:space="preserve">Perhaps the </w:t>
      </w:r>
      <w:proofErr w:type="spellStart"/>
      <w:r w:rsidR="00FF381E" w:rsidRPr="00B91678">
        <w:rPr>
          <w:rFonts w:ascii="Times New Roman" w:hAnsi="Times New Roman" w:cs="Times New Roman"/>
        </w:rPr>
        <w:t>cruelest</w:t>
      </w:r>
      <w:proofErr w:type="spellEnd"/>
      <w:r w:rsidRPr="00B91678">
        <w:rPr>
          <w:rFonts w:ascii="Times New Roman" w:hAnsi="Times New Roman" w:cs="Times New Roman"/>
        </w:rPr>
        <w:t xml:space="preserve"> aspect of acid violence is the social ostracization that follows the physical healing. Society often treats disfigurement as a mark of shame or a "curse," leading to the "secondary victimization" of the survivor.</w:t>
      </w:r>
    </w:p>
    <w:p w14:paraId="76BE4771" w14:textId="77777777" w:rsidR="00B91678" w:rsidRPr="00B91678" w:rsidRDefault="00B91678" w:rsidP="00B91678">
      <w:pPr>
        <w:numPr>
          <w:ilvl w:val="0"/>
          <w:numId w:val="7"/>
        </w:numPr>
        <w:spacing w:line="360" w:lineRule="auto"/>
        <w:rPr>
          <w:rFonts w:ascii="Times New Roman" w:hAnsi="Times New Roman" w:cs="Times New Roman"/>
        </w:rPr>
      </w:pPr>
      <w:r w:rsidRPr="00B91678">
        <w:rPr>
          <w:rFonts w:ascii="Times New Roman" w:hAnsi="Times New Roman" w:cs="Times New Roman"/>
        </w:rPr>
        <w:t>Economic Barriers: Employment becomes nearly impossible in service-oriented sectors where "aesthetic presentation" is prioritized, even if the survivor is highly skilled.</w:t>
      </w:r>
    </w:p>
    <w:p w14:paraId="7CC7B0E2" w14:textId="77777777" w:rsidR="00B91678" w:rsidRPr="00B91678" w:rsidRDefault="00B91678" w:rsidP="00B91678">
      <w:pPr>
        <w:numPr>
          <w:ilvl w:val="0"/>
          <w:numId w:val="7"/>
        </w:numPr>
        <w:spacing w:line="360" w:lineRule="auto"/>
        <w:rPr>
          <w:rFonts w:ascii="Times New Roman" w:hAnsi="Times New Roman" w:cs="Times New Roman"/>
        </w:rPr>
      </w:pPr>
      <w:r w:rsidRPr="00B91678">
        <w:rPr>
          <w:rFonts w:ascii="Times New Roman" w:hAnsi="Times New Roman" w:cs="Times New Roman"/>
        </w:rPr>
        <w:t>The Path to Rehabilitation: Effective rehabilitation must be three-pronged:</w:t>
      </w:r>
    </w:p>
    <w:p w14:paraId="13D9D19B" w14:textId="77777777" w:rsidR="00B91678" w:rsidRPr="00B91678" w:rsidRDefault="00B91678" w:rsidP="00B91678">
      <w:pPr>
        <w:numPr>
          <w:ilvl w:val="1"/>
          <w:numId w:val="7"/>
        </w:numPr>
        <w:spacing w:line="360" w:lineRule="auto"/>
        <w:rPr>
          <w:rFonts w:ascii="Times New Roman" w:hAnsi="Times New Roman" w:cs="Times New Roman"/>
        </w:rPr>
      </w:pPr>
      <w:r w:rsidRPr="00B91678">
        <w:rPr>
          <w:rFonts w:ascii="Times New Roman" w:hAnsi="Times New Roman" w:cs="Times New Roman"/>
        </w:rPr>
        <w:t>Surgical: Continued access to free or subsidized reconstructive healthcare.</w:t>
      </w:r>
    </w:p>
    <w:p w14:paraId="264AD265" w14:textId="463B4DFD" w:rsidR="00B91678" w:rsidRPr="00B91678" w:rsidRDefault="00B91678" w:rsidP="00B91678">
      <w:pPr>
        <w:numPr>
          <w:ilvl w:val="1"/>
          <w:numId w:val="7"/>
        </w:numPr>
        <w:spacing w:line="360" w:lineRule="auto"/>
        <w:rPr>
          <w:rFonts w:ascii="Times New Roman" w:hAnsi="Times New Roman" w:cs="Times New Roman"/>
        </w:rPr>
      </w:pPr>
      <w:r w:rsidRPr="00B91678">
        <w:rPr>
          <w:rFonts w:ascii="Times New Roman" w:hAnsi="Times New Roman" w:cs="Times New Roman"/>
        </w:rPr>
        <w:t xml:space="preserve">Psychological: Long-term trauma-informed </w:t>
      </w:r>
      <w:r w:rsidRPr="00B91678">
        <w:rPr>
          <w:rFonts w:ascii="Times New Roman" w:hAnsi="Times New Roman" w:cs="Times New Roman"/>
        </w:rPr>
        <w:t>counselling</w:t>
      </w:r>
      <w:r w:rsidRPr="00B91678">
        <w:rPr>
          <w:rFonts w:ascii="Times New Roman" w:hAnsi="Times New Roman" w:cs="Times New Roman"/>
        </w:rPr>
        <w:t xml:space="preserve"> to rebuild self-worth.</w:t>
      </w:r>
    </w:p>
    <w:p w14:paraId="1F76312E" w14:textId="0638DD89" w:rsidR="00B91678" w:rsidRPr="00B91678" w:rsidRDefault="00B91678" w:rsidP="00B91678">
      <w:pPr>
        <w:numPr>
          <w:ilvl w:val="1"/>
          <w:numId w:val="7"/>
        </w:numPr>
        <w:spacing w:line="360" w:lineRule="auto"/>
        <w:rPr>
          <w:rFonts w:ascii="Times New Roman" w:hAnsi="Times New Roman" w:cs="Times New Roman"/>
        </w:rPr>
      </w:pPr>
      <w:r w:rsidRPr="00B91678">
        <w:rPr>
          <w:rFonts w:ascii="Times New Roman" w:hAnsi="Times New Roman" w:cs="Times New Roman"/>
        </w:rPr>
        <w:t>Socio-Economic</w:t>
      </w:r>
      <w:r w:rsidRPr="00B91678">
        <w:rPr>
          <w:rFonts w:ascii="Times New Roman" w:hAnsi="Times New Roman" w:cs="Times New Roman"/>
          <w:b/>
          <w:bCs/>
        </w:rPr>
        <w:t>:</w:t>
      </w:r>
      <w:r w:rsidRPr="00B91678">
        <w:rPr>
          <w:rFonts w:ascii="Times New Roman" w:hAnsi="Times New Roman" w:cs="Times New Roman"/>
        </w:rPr>
        <w:t xml:space="preserve"> Affirmative action in employment and education to ensure survivors can live independently. True rehabilitation is achieved only when the survivor transitions from a state of "social invisibility" to active, empowered participation in the workforce and community.</w:t>
      </w:r>
    </w:p>
    <w:p w14:paraId="3D954D06" w14:textId="4E9773B0" w:rsidR="00B91678" w:rsidRPr="00B91678" w:rsidRDefault="00FF381E" w:rsidP="00B91678">
      <w:pPr>
        <w:spacing w:line="360" w:lineRule="auto"/>
        <w:ind w:left="360"/>
        <w:rPr>
          <w:rFonts w:ascii="Times New Roman" w:hAnsi="Times New Roman" w:cs="Times New Roman"/>
        </w:rPr>
      </w:pPr>
      <w:r w:rsidRPr="00FF381E">
        <w:rPr>
          <w:rFonts w:ascii="Times New Roman" w:hAnsi="Times New Roman" w:cs="Times New Roman"/>
        </w:rPr>
        <w:drawing>
          <wp:anchor distT="0" distB="0" distL="114300" distR="114300" simplePos="0" relativeHeight="251658240" behindDoc="0" locked="0" layoutInCell="1" allowOverlap="1" wp14:anchorId="2FC62DF9" wp14:editId="3BD71852">
            <wp:simplePos x="0" y="0"/>
            <wp:positionH relativeFrom="column">
              <wp:posOffset>827116</wp:posOffset>
            </wp:positionH>
            <wp:positionV relativeFrom="page">
              <wp:posOffset>6506788</wp:posOffset>
            </wp:positionV>
            <wp:extent cx="4381500" cy="3675380"/>
            <wp:effectExtent l="0" t="0" r="0" b="1270"/>
            <wp:wrapSquare wrapText="bothSides"/>
            <wp:docPr id="9622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0754" name=""/>
                    <pic:cNvPicPr/>
                  </pic:nvPicPr>
                  <pic:blipFill>
                    <a:blip r:embed="rId7">
                      <a:extLst>
                        <a:ext uri="{28A0092B-C50C-407E-A947-70E740481C1C}">
                          <a14:useLocalDpi xmlns:a14="http://schemas.microsoft.com/office/drawing/2010/main" val="0"/>
                        </a:ext>
                      </a:extLst>
                    </a:blip>
                    <a:stretch>
                      <a:fillRect/>
                    </a:stretch>
                  </pic:blipFill>
                  <pic:spPr>
                    <a:xfrm>
                      <a:off x="0" y="0"/>
                      <a:ext cx="4381500" cy="3675380"/>
                    </a:xfrm>
                    <a:prstGeom prst="rect">
                      <a:avLst/>
                    </a:prstGeom>
                  </pic:spPr>
                </pic:pic>
              </a:graphicData>
            </a:graphic>
            <wp14:sizeRelH relativeFrom="margin">
              <wp14:pctWidth>0</wp14:pctWidth>
            </wp14:sizeRelH>
            <wp14:sizeRelV relativeFrom="margin">
              <wp14:pctHeight>0</wp14:pctHeight>
            </wp14:sizeRelV>
          </wp:anchor>
        </w:drawing>
      </w:r>
    </w:p>
    <w:p w14:paraId="2414071F" w14:textId="20D0F073" w:rsidR="00B91678" w:rsidRPr="00B91678" w:rsidRDefault="00B91678" w:rsidP="00B91678">
      <w:pPr>
        <w:spacing w:line="360" w:lineRule="auto"/>
        <w:rPr>
          <w:rFonts w:ascii="Times New Roman" w:hAnsi="Times New Roman" w:cs="Times New Roman"/>
        </w:rPr>
      </w:pPr>
    </w:p>
    <w:p w14:paraId="015FF6DD" w14:textId="7919AC5F" w:rsidR="00B91678" w:rsidRPr="00B91678" w:rsidRDefault="00B91678" w:rsidP="00B91678">
      <w:pPr>
        <w:spacing w:line="360" w:lineRule="auto"/>
        <w:rPr>
          <w:rFonts w:ascii="Times New Roman" w:hAnsi="Times New Roman" w:cs="Times New Roman"/>
        </w:rPr>
      </w:pPr>
    </w:p>
    <w:p w14:paraId="4C472E49" w14:textId="480EED13" w:rsidR="00B91678" w:rsidRPr="0090432C" w:rsidRDefault="00B91678" w:rsidP="0090432C">
      <w:pPr>
        <w:spacing w:line="360" w:lineRule="auto"/>
        <w:rPr>
          <w:rFonts w:ascii="Times New Roman" w:hAnsi="Times New Roman" w:cs="Times New Roman"/>
          <w:sz w:val="28"/>
          <w:szCs w:val="28"/>
        </w:rPr>
      </w:pPr>
    </w:p>
    <w:p w14:paraId="547718C4" w14:textId="4B044C49" w:rsidR="0090432C" w:rsidRPr="0090432C" w:rsidRDefault="0090432C" w:rsidP="0090432C">
      <w:pPr>
        <w:spacing w:line="360" w:lineRule="auto"/>
        <w:rPr>
          <w:rFonts w:ascii="Times New Roman" w:hAnsi="Times New Roman" w:cs="Times New Roman"/>
        </w:rPr>
      </w:pPr>
    </w:p>
    <w:p w14:paraId="544CC355" w14:textId="053FEFB4" w:rsidR="0090432C" w:rsidRPr="0090432C" w:rsidRDefault="0090432C" w:rsidP="0090432C">
      <w:pPr>
        <w:spacing w:line="360" w:lineRule="auto"/>
        <w:rPr>
          <w:rFonts w:ascii="Times New Roman" w:hAnsi="Times New Roman" w:cs="Times New Roman"/>
        </w:rPr>
      </w:pPr>
    </w:p>
    <w:p w14:paraId="5C929107" w14:textId="28A996E1" w:rsidR="00AF2B8F" w:rsidRPr="00AF2B8F" w:rsidRDefault="00AF2B8F" w:rsidP="00AF2B8F">
      <w:pPr>
        <w:spacing w:line="360" w:lineRule="auto"/>
        <w:rPr>
          <w:rFonts w:ascii="Times New Roman" w:hAnsi="Times New Roman" w:cs="Times New Roman"/>
        </w:rPr>
      </w:pPr>
    </w:p>
    <w:p w14:paraId="227559E6" w14:textId="168C2090" w:rsidR="00AF2B8F" w:rsidRPr="00AF2B8F" w:rsidRDefault="00AF2B8F" w:rsidP="00AF2B8F">
      <w:pPr>
        <w:spacing w:line="360" w:lineRule="auto"/>
        <w:rPr>
          <w:rFonts w:ascii="Times New Roman" w:hAnsi="Times New Roman" w:cs="Times New Roman"/>
        </w:rPr>
      </w:pPr>
    </w:p>
    <w:p w14:paraId="5C9EEE7E" w14:textId="255AA2D1" w:rsidR="00AF2B8F" w:rsidRPr="00711794" w:rsidRDefault="00AF2B8F" w:rsidP="00711794">
      <w:pPr>
        <w:rPr>
          <w:rFonts w:ascii="Times New Roman" w:hAnsi="Times New Roman" w:cs="Times New Roman"/>
        </w:rPr>
      </w:pPr>
    </w:p>
    <w:p w14:paraId="5D91F073" w14:textId="45CCDEED" w:rsidR="00711794" w:rsidRPr="00533EB7" w:rsidRDefault="00533EB7" w:rsidP="00711794">
      <w:pPr>
        <w:rPr>
          <w:rFonts w:ascii="Times New Roman" w:hAnsi="Times New Roman" w:cs="Times New Roman"/>
          <w:b/>
          <w:bCs/>
          <w:sz w:val="28"/>
          <w:szCs w:val="28"/>
        </w:rPr>
      </w:pPr>
      <w:r>
        <w:rPr>
          <w:rFonts w:ascii="Times New Roman" w:hAnsi="Times New Roman" w:cs="Times New Roman"/>
          <w:b/>
          <w:bCs/>
          <w:sz w:val="28"/>
          <w:szCs w:val="28"/>
        </w:rPr>
        <w:lastRenderedPageBreak/>
        <w:t>THE JUDICIAL CATALYST:</w:t>
      </w:r>
      <w:r w:rsidR="004A2D11">
        <w:rPr>
          <w:rFonts w:ascii="Times New Roman" w:hAnsi="Times New Roman" w:cs="Times New Roman"/>
          <w:b/>
          <w:bCs/>
          <w:sz w:val="28"/>
          <w:szCs w:val="28"/>
        </w:rPr>
        <w:t xml:space="preserve"> </w:t>
      </w:r>
      <w:r>
        <w:rPr>
          <w:rFonts w:ascii="Times New Roman" w:hAnsi="Times New Roman" w:cs="Times New Roman"/>
          <w:b/>
          <w:bCs/>
          <w:sz w:val="28"/>
          <w:szCs w:val="28"/>
        </w:rPr>
        <w:t>PUBLIC INTEREST LITIGATION (PIL)</w:t>
      </w:r>
    </w:p>
    <w:p w14:paraId="32453EB7" w14:textId="77777777" w:rsidR="00533EB7" w:rsidRPr="00533EB7" w:rsidRDefault="00533EB7" w:rsidP="00533EB7">
      <w:pPr>
        <w:spacing w:line="360" w:lineRule="auto"/>
        <w:rPr>
          <w:rFonts w:ascii="Times New Roman" w:hAnsi="Times New Roman" w:cs="Times New Roman"/>
        </w:rPr>
      </w:pPr>
      <w:r>
        <w:rPr>
          <w:rFonts w:ascii="Times New Roman" w:hAnsi="Times New Roman" w:cs="Times New Roman"/>
        </w:rPr>
        <w:t xml:space="preserve">1.1 </w:t>
      </w:r>
      <w:r w:rsidRPr="00533EB7">
        <w:rPr>
          <w:rFonts w:ascii="Times New Roman" w:hAnsi="Times New Roman" w:cs="Times New Roman"/>
        </w:rPr>
        <w:t>Concept of PIL under Article 32</w:t>
      </w:r>
    </w:p>
    <w:p w14:paraId="2583C4FA" w14:textId="77777777" w:rsidR="00533EB7" w:rsidRPr="00533EB7" w:rsidRDefault="00533EB7" w:rsidP="00533EB7">
      <w:pPr>
        <w:spacing w:line="360" w:lineRule="auto"/>
        <w:rPr>
          <w:rFonts w:ascii="Times New Roman" w:hAnsi="Times New Roman" w:cs="Times New Roman"/>
        </w:rPr>
      </w:pPr>
      <w:r w:rsidRPr="00533EB7">
        <w:rPr>
          <w:rFonts w:ascii="Times New Roman" w:hAnsi="Times New Roman" w:cs="Times New Roman"/>
        </w:rPr>
        <w:t xml:space="preserve">Public Interest Litigation (PIL) is a unique judicial mechanism in Indian jurisprudence that deviates from the traditional doctrine of </w:t>
      </w:r>
      <w:r w:rsidRPr="00533EB7">
        <w:rPr>
          <w:rFonts w:ascii="Times New Roman" w:hAnsi="Times New Roman" w:cs="Times New Roman"/>
          <w:i/>
          <w:iCs/>
        </w:rPr>
        <w:t>locus standi</w:t>
      </w:r>
      <w:r w:rsidRPr="00533EB7">
        <w:rPr>
          <w:rFonts w:ascii="Times New Roman" w:hAnsi="Times New Roman" w:cs="Times New Roman"/>
        </w:rPr>
        <w:t xml:space="preserve">, which usually requires the person whose rights are violated to approach the court. Under Article 32 of the Constitution, which enshrines the Right to Constitutional Remedies, any public-spirited individual or organization can move the Supreme Court to seek justice for a marginalized group or to address a matter of urgent public concern. In the context of acid violence, Article 32 served as the "protective umbrella," allowing Laxmi Agarwal to challenge the state's systemic negligence. The court acted as the </w:t>
      </w:r>
      <w:proofErr w:type="spellStart"/>
      <w:r w:rsidRPr="00533EB7">
        <w:rPr>
          <w:rFonts w:ascii="Times New Roman" w:hAnsi="Times New Roman" w:cs="Times New Roman"/>
          <w:i/>
          <w:iCs/>
        </w:rPr>
        <w:t>parens</w:t>
      </w:r>
      <w:proofErr w:type="spellEnd"/>
      <w:r w:rsidRPr="00533EB7">
        <w:rPr>
          <w:rFonts w:ascii="Times New Roman" w:hAnsi="Times New Roman" w:cs="Times New Roman"/>
          <w:i/>
          <w:iCs/>
        </w:rPr>
        <w:t xml:space="preserve"> patriae</w:t>
      </w:r>
      <w:r w:rsidRPr="00533EB7">
        <w:rPr>
          <w:rFonts w:ascii="Times New Roman" w:hAnsi="Times New Roman" w:cs="Times New Roman"/>
        </w:rPr>
        <w:t xml:space="preserve"> (guardian of the people), recognizing that the unregulated sale of acid was a direct threat to the Right to Life and Personal Liberty guaranteed under Article 21.</w:t>
      </w:r>
    </w:p>
    <w:p w14:paraId="492B9420" w14:textId="77777777" w:rsidR="00533EB7" w:rsidRPr="00533EB7" w:rsidRDefault="00533EB7" w:rsidP="00F80DF6">
      <w:pPr>
        <w:spacing w:line="360" w:lineRule="auto"/>
        <w:rPr>
          <w:rFonts w:ascii="Times New Roman" w:hAnsi="Times New Roman" w:cs="Times New Roman"/>
        </w:rPr>
      </w:pPr>
      <w:r>
        <w:rPr>
          <w:rFonts w:ascii="Times New Roman" w:hAnsi="Times New Roman" w:cs="Times New Roman"/>
        </w:rPr>
        <w:t xml:space="preserve">1.2 </w:t>
      </w:r>
      <w:r w:rsidRPr="00533EB7">
        <w:rPr>
          <w:rFonts w:ascii="Times New Roman" w:hAnsi="Times New Roman" w:cs="Times New Roman"/>
        </w:rPr>
        <w:t>Petition Details: Laxmi v. Union of India (2006)</w:t>
      </w:r>
    </w:p>
    <w:p w14:paraId="27DE6D23" w14:textId="77777777" w:rsidR="00533EB7" w:rsidRPr="00533EB7" w:rsidRDefault="00533EB7" w:rsidP="00F80DF6">
      <w:pPr>
        <w:spacing w:line="360" w:lineRule="auto"/>
        <w:rPr>
          <w:rFonts w:ascii="Times New Roman" w:hAnsi="Times New Roman" w:cs="Times New Roman"/>
        </w:rPr>
      </w:pPr>
      <w:r w:rsidRPr="00533EB7">
        <w:rPr>
          <w:rFonts w:ascii="Times New Roman" w:hAnsi="Times New Roman" w:cs="Times New Roman"/>
        </w:rPr>
        <w:t>The petition, filed in 2006, was not merely a criminal appeal but a structural challenge to the status quo. Laxmi Agarwal, acting as the primary petitioner, sought the intervention of the Supreme Court to address the legal vacuum surrounding chemical assaults.</w:t>
      </w:r>
    </w:p>
    <w:p w14:paraId="1B0DA591" w14:textId="77777777" w:rsidR="00533EB7" w:rsidRPr="00533EB7" w:rsidRDefault="00533EB7" w:rsidP="00F80DF6">
      <w:pPr>
        <w:numPr>
          <w:ilvl w:val="0"/>
          <w:numId w:val="8"/>
        </w:numPr>
        <w:spacing w:line="360" w:lineRule="auto"/>
        <w:rPr>
          <w:rFonts w:ascii="Times New Roman" w:hAnsi="Times New Roman" w:cs="Times New Roman"/>
        </w:rPr>
      </w:pPr>
      <w:r w:rsidRPr="00533EB7">
        <w:rPr>
          <w:rFonts w:ascii="Times New Roman" w:hAnsi="Times New Roman" w:cs="Times New Roman"/>
        </w:rPr>
        <w:t>The Target</w:t>
      </w:r>
      <w:r w:rsidRPr="00533EB7">
        <w:rPr>
          <w:rFonts w:ascii="Times New Roman" w:hAnsi="Times New Roman" w:cs="Times New Roman"/>
          <w:b/>
          <w:bCs/>
        </w:rPr>
        <w:t>:</w:t>
      </w:r>
      <w:r w:rsidRPr="00533EB7">
        <w:rPr>
          <w:rFonts w:ascii="Times New Roman" w:hAnsi="Times New Roman" w:cs="Times New Roman"/>
        </w:rPr>
        <w:t xml:space="preserve"> The petition was directed against the Union of India and various State Governments, alleging that their failure to regulate corrosive substances made them complicit in the rising number of attacks.</w:t>
      </w:r>
    </w:p>
    <w:p w14:paraId="75957AF2" w14:textId="77777777" w:rsidR="00533EB7" w:rsidRDefault="00533EB7" w:rsidP="00F80DF6">
      <w:pPr>
        <w:numPr>
          <w:ilvl w:val="0"/>
          <w:numId w:val="8"/>
        </w:numPr>
        <w:spacing w:line="360" w:lineRule="auto"/>
        <w:rPr>
          <w:rFonts w:ascii="Times New Roman" w:hAnsi="Times New Roman" w:cs="Times New Roman"/>
        </w:rPr>
      </w:pPr>
      <w:r w:rsidRPr="00533EB7">
        <w:rPr>
          <w:rFonts w:ascii="Times New Roman" w:hAnsi="Times New Roman" w:cs="Times New Roman"/>
        </w:rPr>
        <w:t>The Demand</w:t>
      </w:r>
      <w:r w:rsidRPr="00533EB7">
        <w:rPr>
          <w:rFonts w:ascii="Times New Roman" w:hAnsi="Times New Roman" w:cs="Times New Roman"/>
          <w:b/>
          <w:bCs/>
        </w:rPr>
        <w:t>:</w:t>
      </w:r>
      <w:r w:rsidRPr="00533EB7">
        <w:rPr>
          <w:rFonts w:ascii="Times New Roman" w:hAnsi="Times New Roman" w:cs="Times New Roman"/>
        </w:rPr>
        <w:t xml:space="preserve"> It demanded a total ban on the counter-sale of acid to private individuals and a standardized, mandatory compensation scheme for all survivors, regardless of whether the perpetrator was caught or convicted. This shifted the focus from a "private dispute" between two parties to a "public duty" of the State.</w:t>
      </w:r>
    </w:p>
    <w:p w14:paraId="2D6B0993" w14:textId="77777777" w:rsidR="00533EB7" w:rsidRPr="00533EB7" w:rsidRDefault="00533EB7" w:rsidP="00F80DF6">
      <w:pPr>
        <w:spacing w:line="360" w:lineRule="auto"/>
        <w:rPr>
          <w:rFonts w:ascii="Times New Roman" w:hAnsi="Times New Roman" w:cs="Times New Roman"/>
          <w:b/>
          <w:bCs/>
        </w:rPr>
      </w:pPr>
      <w:r>
        <w:rPr>
          <w:rFonts w:ascii="Times New Roman" w:hAnsi="Times New Roman" w:cs="Times New Roman"/>
        </w:rPr>
        <w:t xml:space="preserve">1.3 </w:t>
      </w:r>
      <w:r w:rsidRPr="00533EB7">
        <w:rPr>
          <w:rFonts w:ascii="Times New Roman" w:hAnsi="Times New Roman" w:cs="Times New Roman"/>
        </w:rPr>
        <w:t>Core Issues Raised in the Litigation</w:t>
      </w:r>
    </w:p>
    <w:p w14:paraId="7E5B1993" w14:textId="77777777" w:rsidR="00533EB7" w:rsidRPr="00533EB7" w:rsidRDefault="00533EB7" w:rsidP="00F80DF6">
      <w:pPr>
        <w:spacing w:line="360" w:lineRule="auto"/>
        <w:rPr>
          <w:rFonts w:ascii="Times New Roman" w:hAnsi="Times New Roman" w:cs="Times New Roman"/>
        </w:rPr>
      </w:pPr>
      <w:r w:rsidRPr="00533EB7">
        <w:rPr>
          <w:rFonts w:ascii="Times New Roman" w:hAnsi="Times New Roman" w:cs="Times New Roman"/>
        </w:rPr>
        <w:t>The litigation brought several critical legal and social questions to the forefront of the judicial consciousness:</w:t>
      </w:r>
    </w:p>
    <w:p w14:paraId="07F1200E" w14:textId="77777777" w:rsidR="00533EB7" w:rsidRPr="00533EB7" w:rsidRDefault="00533EB7" w:rsidP="00F80DF6">
      <w:pPr>
        <w:numPr>
          <w:ilvl w:val="0"/>
          <w:numId w:val="9"/>
        </w:numPr>
        <w:spacing w:line="360" w:lineRule="auto"/>
        <w:rPr>
          <w:rFonts w:ascii="Times New Roman" w:hAnsi="Times New Roman" w:cs="Times New Roman"/>
        </w:rPr>
      </w:pPr>
      <w:r w:rsidRPr="00533EB7">
        <w:rPr>
          <w:rFonts w:ascii="Times New Roman" w:hAnsi="Times New Roman" w:cs="Times New Roman"/>
        </w:rPr>
        <w:t>Violation of Article 21: The primary issue was whether the State's failure to control the retail of lethal chemicals constituted a violation of a woman's right to live with dignity.</w:t>
      </w:r>
    </w:p>
    <w:p w14:paraId="4867721B" w14:textId="77777777" w:rsidR="00533EB7" w:rsidRPr="00533EB7" w:rsidRDefault="00533EB7" w:rsidP="00F80DF6">
      <w:pPr>
        <w:numPr>
          <w:ilvl w:val="0"/>
          <w:numId w:val="9"/>
        </w:numPr>
        <w:spacing w:line="360" w:lineRule="auto"/>
        <w:rPr>
          <w:rFonts w:ascii="Times New Roman" w:hAnsi="Times New Roman" w:cs="Times New Roman"/>
        </w:rPr>
      </w:pPr>
      <w:r w:rsidRPr="00533EB7">
        <w:rPr>
          <w:rFonts w:ascii="Times New Roman" w:hAnsi="Times New Roman" w:cs="Times New Roman"/>
        </w:rPr>
        <w:lastRenderedPageBreak/>
        <w:t>Inadequacy of Existing Laws</w:t>
      </w:r>
      <w:r w:rsidRPr="00533EB7">
        <w:rPr>
          <w:rFonts w:ascii="Times New Roman" w:hAnsi="Times New Roman" w:cs="Times New Roman"/>
          <w:b/>
          <w:bCs/>
        </w:rPr>
        <w:t>:</w:t>
      </w:r>
      <w:r w:rsidRPr="00533EB7">
        <w:rPr>
          <w:rFonts w:ascii="Times New Roman" w:hAnsi="Times New Roman" w:cs="Times New Roman"/>
        </w:rPr>
        <w:t xml:space="preserve"> The petition argued that the Indian Penal Code (IPC) was insufficient because it treated acid attacks as "grievous hurt," failing to recognize the permanent socio-economic death experienced by the victim.</w:t>
      </w:r>
    </w:p>
    <w:p w14:paraId="4391586A" w14:textId="77777777" w:rsidR="00533EB7" w:rsidRPr="00533EB7" w:rsidRDefault="00533EB7" w:rsidP="00F80DF6">
      <w:pPr>
        <w:numPr>
          <w:ilvl w:val="0"/>
          <w:numId w:val="9"/>
        </w:numPr>
        <w:spacing w:line="360" w:lineRule="auto"/>
        <w:rPr>
          <w:rFonts w:ascii="Times New Roman" w:hAnsi="Times New Roman" w:cs="Times New Roman"/>
        </w:rPr>
      </w:pPr>
      <w:r w:rsidRPr="00533EB7">
        <w:rPr>
          <w:rFonts w:ascii="Times New Roman" w:hAnsi="Times New Roman" w:cs="Times New Roman"/>
        </w:rPr>
        <w:t>Absence of Compensation Framework</w:t>
      </w:r>
      <w:r w:rsidRPr="00533EB7">
        <w:rPr>
          <w:rFonts w:ascii="Times New Roman" w:hAnsi="Times New Roman" w:cs="Times New Roman"/>
          <w:b/>
          <w:bCs/>
        </w:rPr>
        <w:t>:</w:t>
      </w:r>
      <w:r w:rsidRPr="00533EB7">
        <w:rPr>
          <w:rFonts w:ascii="Times New Roman" w:hAnsi="Times New Roman" w:cs="Times New Roman"/>
        </w:rPr>
        <w:t xml:space="preserve"> At the time, survivors were forced to bear the astronomical costs of reconstructive surgeries. The issue raised was whether the State had a duty to provide financial restitution for victims of crimes it failed to prevent.</w:t>
      </w:r>
    </w:p>
    <w:p w14:paraId="39F9B5D9" w14:textId="77777777" w:rsidR="00533EB7" w:rsidRPr="00533EB7" w:rsidRDefault="00533EB7" w:rsidP="00F80DF6">
      <w:pPr>
        <w:numPr>
          <w:ilvl w:val="0"/>
          <w:numId w:val="9"/>
        </w:numPr>
        <w:spacing w:line="360" w:lineRule="auto"/>
        <w:rPr>
          <w:rFonts w:ascii="Times New Roman" w:hAnsi="Times New Roman" w:cs="Times New Roman"/>
        </w:rPr>
      </w:pPr>
      <w:r w:rsidRPr="00533EB7">
        <w:rPr>
          <w:rFonts w:ascii="Times New Roman" w:hAnsi="Times New Roman" w:cs="Times New Roman"/>
        </w:rPr>
        <w:t>Regulatory Gaps: The litigation highlighted the lack of "Know Your Customer" (KYC) norms for purchasing acid, which allowed stalkers and attackers to acquire "liquid weapons" for a few rupees without any record of the transaction.</w:t>
      </w:r>
    </w:p>
    <w:p w14:paraId="029D4EF8" w14:textId="77777777" w:rsidR="00533EB7" w:rsidRPr="00533EB7" w:rsidRDefault="00533EB7" w:rsidP="00533EB7">
      <w:pPr>
        <w:rPr>
          <w:rFonts w:ascii="Times New Roman" w:hAnsi="Times New Roman" w:cs="Times New Roman"/>
          <w:b/>
          <w:bCs/>
        </w:rPr>
      </w:pPr>
      <w:r>
        <w:rPr>
          <w:rFonts w:ascii="Times New Roman" w:hAnsi="Times New Roman" w:cs="Times New Roman"/>
        </w:rPr>
        <w:t xml:space="preserve">1.4 </w:t>
      </w:r>
      <w:r w:rsidRPr="00533EB7">
        <w:rPr>
          <w:rFonts w:ascii="Times New Roman" w:hAnsi="Times New Roman" w:cs="Times New Roman"/>
        </w:rPr>
        <w:t>The Shift Toward "Judicial Activism"</w:t>
      </w:r>
    </w:p>
    <w:p w14:paraId="67EB2688" w14:textId="61C9E970" w:rsidR="00533EB7" w:rsidRPr="00533EB7" w:rsidRDefault="00533EB7" w:rsidP="00F80DF6">
      <w:pPr>
        <w:spacing w:line="360" w:lineRule="auto"/>
        <w:rPr>
          <w:rFonts w:ascii="Times New Roman" w:hAnsi="Times New Roman" w:cs="Times New Roman"/>
        </w:rPr>
      </w:pPr>
      <w:r w:rsidRPr="00533EB7">
        <w:rPr>
          <w:rFonts w:ascii="Times New Roman" w:hAnsi="Times New Roman" w:cs="Times New Roman"/>
        </w:rPr>
        <w:t xml:space="preserve">Through this PIL, the Supreme Court moved beyond its role as a mere arbiter of law and became an architect of policy. By entertaining Laxmi’s petition, the court acknowledged that acid violence was not an isolated criminal act but a social epidemic </w:t>
      </w:r>
      <w:r w:rsidRPr="00533EB7">
        <w:rPr>
          <w:rFonts w:ascii="Times New Roman" w:hAnsi="Times New Roman" w:cs="Times New Roman"/>
        </w:rPr>
        <w:t>fuelled</w:t>
      </w:r>
      <w:r w:rsidRPr="00533EB7">
        <w:rPr>
          <w:rFonts w:ascii="Times New Roman" w:hAnsi="Times New Roman" w:cs="Times New Roman"/>
        </w:rPr>
        <w:t xml:space="preserve"> by easy access to chemicals and judicial apathy. The issues raised in this petition eventually led to the 2013 directives that transformed how the Indian state regulates chemicals and compensates victims today.</w:t>
      </w:r>
    </w:p>
    <w:p w14:paraId="30B4958C" w14:textId="3CC89E7B" w:rsidR="00533EB7" w:rsidRPr="00533EB7" w:rsidRDefault="00F80DF6" w:rsidP="00533EB7">
      <w:pPr>
        <w:rPr>
          <w:rFonts w:ascii="Times New Roman" w:hAnsi="Times New Roman" w:cs="Times New Roman"/>
        </w:rPr>
      </w:pPr>
      <w:r w:rsidRPr="00F80DF6">
        <w:rPr>
          <w:rFonts w:ascii="Times New Roman" w:hAnsi="Times New Roman" w:cs="Times New Roman"/>
        </w:rPr>
        <w:drawing>
          <wp:anchor distT="0" distB="0" distL="114300" distR="114300" simplePos="0" relativeHeight="251659264" behindDoc="0" locked="0" layoutInCell="1" allowOverlap="1" wp14:anchorId="1637D216" wp14:editId="6AB1AB89">
            <wp:simplePos x="0" y="0"/>
            <wp:positionH relativeFrom="column">
              <wp:posOffset>55880</wp:posOffset>
            </wp:positionH>
            <wp:positionV relativeFrom="page">
              <wp:posOffset>5829300</wp:posOffset>
            </wp:positionV>
            <wp:extent cx="5836285" cy="3898265"/>
            <wp:effectExtent l="0" t="0" r="0" b="6985"/>
            <wp:wrapNone/>
            <wp:docPr id="4223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5155" name=""/>
                    <pic:cNvPicPr/>
                  </pic:nvPicPr>
                  <pic:blipFill>
                    <a:blip r:embed="rId8">
                      <a:extLst>
                        <a:ext uri="{28A0092B-C50C-407E-A947-70E740481C1C}">
                          <a14:useLocalDpi xmlns:a14="http://schemas.microsoft.com/office/drawing/2010/main" val="0"/>
                        </a:ext>
                      </a:extLst>
                    </a:blip>
                    <a:stretch>
                      <a:fillRect/>
                    </a:stretch>
                  </pic:blipFill>
                  <pic:spPr>
                    <a:xfrm>
                      <a:off x="0" y="0"/>
                      <a:ext cx="5836285" cy="3898265"/>
                    </a:xfrm>
                    <a:prstGeom prst="rect">
                      <a:avLst/>
                    </a:prstGeom>
                  </pic:spPr>
                </pic:pic>
              </a:graphicData>
            </a:graphic>
            <wp14:sizeRelH relativeFrom="margin">
              <wp14:pctWidth>0</wp14:pctWidth>
            </wp14:sizeRelH>
            <wp14:sizeRelV relativeFrom="margin">
              <wp14:pctHeight>0</wp14:pctHeight>
            </wp14:sizeRelV>
          </wp:anchor>
        </w:drawing>
      </w:r>
    </w:p>
    <w:p w14:paraId="64D69239" w14:textId="77BDEFE4" w:rsidR="00711794" w:rsidRDefault="00711794" w:rsidP="00711794">
      <w:pPr>
        <w:rPr>
          <w:rFonts w:ascii="Times New Roman" w:hAnsi="Times New Roman" w:cs="Times New Roman"/>
        </w:rPr>
      </w:pPr>
    </w:p>
    <w:p w14:paraId="3442AED8" w14:textId="4A807300" w:rsidR="00711794" w:rsidRPr="00711794" w:rsidRDefault="00711794" w:rsidP="00711794">
      <w:pPr>
        <w:rPr>
          <w:rFonts w:ascii="Times New Roman" w:hAnsi="Times New Roman" w:cs="Times New Roman"/>
        </w:rPr>
      </w:pPr>
    </w:p>
    <w:p w14:paraId="5E1E9D7C" w14:textId="1762AA7E" w:rsidR="008E7718" w:rsidRDefault="008E7718" w:rsidP="008E7718">
      <w:pPr>
        <w:rPr>
          <w:rFonts w:ascii="Times New Roman" w:hAnsi="Times New Roman" w:cs="Times New Roman"/>
        </w:rPr>
      </w:pPr>
    </w:p>
    <w:p w14:paraId="0F78A7AC" w14:textId="59D8066F" w:rsidR="00F80DF6" w:rsidRDefault="00F80DF6" w:rsidP="008E7718">
      <w:pPr>
        <w:rPr>
          <w:rFonts w:ascii="Times New Roman" w:hAnsi="Times New Roman" w:cs="Times New Roman"/>
        </w:rPr>
      </w:pPr>
    </w:p>
    <w:p w14:paraId="4F7BC968" w14:textId="77777777" w:rsidR="00F80DF6" w:rsidRPr="00F80DF6" w:rsidRDefault="00F80DF6">
      <w:pPr>
        <w:rPr>
          <w:rFonts w:ascii="Times New Roman" w:hAnsi="Times New Roman" w:cs="Times New Roman"/>
          <w:sz w:val="28"/>
          <w:szCs w:val="28"/>
        </w:rPr>
      </w:pPr>
      <w:r>
        <w:rPr>
          <w:rFonts w:ascii="Times New Roman" w:hAnsi="Times New Roman" w:cs="Times New Roman"/>
        </w:rPr>
        <w:br w:type="page"/>
      </w:r>
    </w:p>
    <w:p w14:paraId="37B5F07F" w14:textId="0FBFA15E" w:rsidR="008E7718" w:rsidRDefault="00F80DF6" w:rsidP="008E7718">
      <w:pPr>
        <w:rPr>
          <w:rFonts w:ascii="Times New Roman" w:hAnsi="Times New Roman" w:cs="Times New Roman"/>
          <w:b/>
          <w:bCs/>
          <w:sz w:val="28"/>
          <w:szCs w:val="28"/>
        </w:rPr>
      </w:pPr>
      <w:r w:rsidRPr="00F80DF6">
        <w:rPr>
          <w:rFonts w:ascii="Times New Roman" w:hAnsi="Times New Roman" w:cs="Times New Roman"/>
          <w:b/>
          <w:bCs/>
          <w:sz w:val="28"/>
          <w:szCs w:val="28"/>
        </w:rPr>
        <w:lastRenderedPageBreak/>
        <w:t>ANALYSIS OF LEGAL LACUNAE: PRE-2013 FRAMEWORK</w:t>
      </w:r>
    </w:p>
    <w:p w14:paraId="4374275D" w14:textId="77777777" w:rsidR="00146EB0" w:rsidRDefault="00146EB0" w:rsidP="008E7718">
      <w:pPr>
        <w:rPr>
          <w:rFonts w:ascii="Times New Roman" w:hAnsi="Times New Roman" w:cs="Times New Roman"/>
          <w:b/>
          <w:bCs/>
          <w:sz w:val="28"/>
          <w:szCs w:val="28"/>
        </w:rPr>
      </w:pPr>
    </w:p>
    <w:p w14:paraId="29A56040" w14:textId="77777777" w:rsidR="00F80DF6" w:rsidRPr="00F80DF6" w:rsidRDefault="00F80DF6" w:rsidP="00F80DF6">
      <w:pPr>
        <w:rPr>
          <w:rFonts w:ascii="Times New Roman" w:hAnsi="Times New Roman" w:cs="Times New Roman"/>
          <w:b/>
          <w:bCs/>
        </w:rPr>
      </w:pPr>
      <w:r w:rsidRPr="00F80DF6">
        <w:rPr>
          <w:rFonts w:ascii="Times New Roman" w:hAnsi="Times New Roman" w:cs="Times New Roman"/>
        </w:rPr>
        <w:t xml:space="preserve">1.1 </w:t>
      </w:r>
      <w:r w:rsidRPr="00F80DF6">
        <w:rPr>
          <w:rFonts w:ascii="Times New Roman" w:hAnsi="Times New Roman" w:cs="Times New Roman"/>
        </w:rPr>
        <w:t>The Absence of Specific Legislation (Pre-2013)</w:t>
      </w:r>
    </w:p>
    <w:p w14:paraId="486A506A" w14:textId="5F20A038" w:rsidR="00F80DF6" w:rsidRDefault="00F80DF6" w:rsidP="00F80DF6">
      <w:pPr>
        <w:spacing w:line="360" w:lineRule="auto"/>
        <w:rPr>
          <w:rFonts w:ascii="Times New Roman" w:hAnsi="Times New Roman" w:cs="Times New Roman"/>
        </w:rPr>
      </w:pPr>
      <w:r w:rsidRPr="00F80DF6">
        <w:rPr>
          <w:rFonts w:ascii="Times New Roman" w:hAnsi="Times New Roman" w:cs="Times New Roman"/>
        </w:rPr>
        <w:t>Before the historic amendments of 2013, the Indian Penal Code (IPC) suffered from a significant "legislative silence" regarding chemical assaults. Acid attacks were not classified as a distinct criminal category. Instead, they were prosecuted under general provisions such as Section 320 (Grievous Hurt) or Section 307 (Attempt to Murder). This lack of specificity meant that the legal system failed to recognize the unique nature of acid violence—where the primary intent is not necessarily to kill, but to inflict permanent, life-altering disfigurement and social ostracization. By treating acid as just another "weapon," the law overlooked the ongoing medical and psychological agony that persists long after the physical wounds have closed</w:t>
      </w:r>
      <w:r w:rsidR="00807641">
        <w:rPr>
          <w:rFonts w:ascii="Times New Roman" w:hAnsi="Times New Roman" w:cs="Times New Roman"/>
        </w:rPr>
        <w:t>.</w:t>
      </w:r>
    </w:p>
    <w:p w14:paraId="0A3EC27E" w14:textId="77777777" w:rsidR="00807641" w:rsidRPr="00807641" w:rsidRDefault="00807641" w:rsidP="00807641">
      <w:pPr>
        <w:spacing w:line="360" w:lineRule="auto"/>
        <w:rPr>
          <w:rFonts w:ascii="Times New Roman" w:hAnsi="Times New Roman" w:cs="Times New Roman"/>
          <w:b/>
          <w:bCs/>
        </w:rPr>
      </w:pPr>
      <w:r>
        <w:rPr>
          <w:rFonts w:ascii="Times New Roman" w:hAnsi="Times New Roman" w:cs="Times New Roman"/>
        </w:rPr>
        <w:t xml:space="preserve">1.2 </w:t>
      </w:r>
      <w:r w:rsidRPr="00807641">
        <w:rPr>
          <w:rFonts w:ascii="Times New Roman" w:hAnsi="Times New Roman" w:cs="Times New Roman"/>
        </w:rPr>
        <w:t>Unregulated Acid Availability</w:t>
      </w:r>
    </w:p>
    <w:p w14:paraId="24B80C41" w14:textId="77777777" w:rsidR="00807641" w:rsidRPr="00807641" w:rsidRDefault="00807641" w:rsidP="00807641">
      <w:pPr>
        <w:spacing w:line="360" w:lineRule="auto"/>
        <w:rPr>
          <w:rFonts w:ascii="Times New Roman" w:hAnsi="Times New Roman" w:cs="Times New Roman"/>
        </w:rPr>
      </w:pPr>
      <w:r w:rsidRPr="00807641">
        <w:rPr>
          <w:rFonts w:ascii="Times New Roman" w:hAnsi="Times New Roman" w:cs="Times New Roman"/>
        </w:rPr>
        <w:t>One of the most profound legal issues was the complete lack of a regulatory framework governing the sale and distribution of corrosive substances.</w:t>
      </w:r>
    </w:p>
    <w:p w14:paraId="43BAE118" w14:textId="77777777" w:rsidR="00807641" w:rsidRPr="00807641" w:rsidRDefault="00807641" w:rsidP="00807641">
      <w:pPr>
        <w:numPr>
          <w:ilvl w:val="0"/>
          <w:numId w:val="10"/>
        </w:numPr>
        <w:spacing w:line="360" w:lineRule="auto"/>
        <w:rPr>
          <w:rFonts w:ascii="Times New Roman" w:hAnsi="Times New Roman" w:cs="Times New Roman"/>
        </w:rPr>
      </w:pPr>
      <w:r w:rsidRPr="00807641">
        <w:rPr>
          <w:rFonts w:ascii="Times New Roman" w:hAnsi="Times New Roman" w:cs="Times New Roman"/>
        </w:rPr>
        <w:t>The Household Commodity Problem</w:t>
      </w:r>
      <w:r w:rsidRPr="00807641">
        <w:rPr>
          <w:rFonts w:ascii="Times New Roman" w:hAnsi="Times New Roman" w:cs="Times New Roman"/>
          <w:b/>
          <w:bCs/>
        </w:rPr>
        <w:t>:</w:t>
      </w:r>
      <w:r w:rsidRPr="00807641">
        <w:rPr>
          <w:rFonts w:ascii="Times New Roman" w:hAnsi="Times New Roman" w:cs="Times New Roman"/>
        </w:rPr>
        <w:t xml:space="preserve"> Prior to judicial intervention, concentrated acids were sold as common household cleaners. They were available at local grocery stores for as little as ₹20 to ₹30.</w:t>
      </w:r>
    </w:p>
    <w:p w14:paraId="735A3A7F" w14:textId="77777777" w:rsidR="00807641" w:rsidRDefault="00807641" w:rsidP="00807641">
      <w:pPr>
        <w:numPr>
          <w:ilvl w:val="0"/>
          <w:numId w:val="10"/>
        </w:numPr>
        <w:spacing w:line="360" w:lineRule="auto"/>
        <w:rPr>
          <w:rFonts w:ascii="Times New Roman" w:hAnsi="Times New Roman" w:cs="Times New Roman"/>
        </w:rPr>
      </w:pPr>
      <w:r w:rsidRPr="00807641">
        <w:rPr>
          <w:rFonts w:ascii="Times New Roman" w:hAnsi="Times New Roman" w:cs="Times New Roman"/>
        </w:rPr>
        <w:t>Lack of Accountability</w:t>
      </w:r>
      <w:r w:rsidRPr="00807641">
        <w:rPr>
          <w:rFonts w:ascii="Times New Roman" w:hAnsi="Times New Roman" w:cs="Times New Roman"/>
          <w:b/>
          <w:bCs/>
        </w:rPr>
        <w:t>:</w:t>
      </w:r>
      <w:r w:rsidRPr="00807641">
        <w:rPr>
          <w:rFonts w:ascii="Times New Roman" w:hAnsi="Times New Roman" w:cs="Times New Roman"/>
        </w:rPr>
        <w:t xml:space="preserve"> There were no "Know Your Customer" (KYC) norms. Anyone, including minors and known stalkers, could purchase lethal quantities of acid without providing identification or a reason for the purchase. This ease of access transformed a common industrial chemical into a "liquid weapon" of choice for perpetrators seeking a cheap and effective tool for revenge.</w:t>
      </w:r>
    </w:p>
    <w:p w14:paraId="5182A3EF" w14:textId="77777777" w:rsidR="00807641" w:rsidRPr="00807641" w:rsidRDefault="00807641" w:rsidP="00807641">
      <w:pPr>
        <w:spacing w:line="360" w:lineRule="auto"/>
        <w:rPr>
          <w:rFonts w:ascii="Times New Roman" w:hAnsi="Times New Roman" w:cs="Times New Roman"/>
          <w:b/>
          <w:bCs/>
        </w:rPr>
      </w:pPr>
      <w:r>
        <w:rPr>
          <w:rFonts w:ascii="Times New Roman" w:hAnsi="Times New Roman" w:cs="Times New Roman"/>
        </w:rPr>
        <w:t>1.</w:t>
      </w:r>
      <w:r w:rsidRPr="00807641">
        <w:rPr>
          <w:rFonts w:ascii="Times New Roman" w:hAnsi="Times New Roman" w:cs="Times New Roman"/>
        </w:rPr>
        <w:t xml:space="preserve">3 </w:t>
      </w:r>
      <w:r w:rsidRPr="00807641">
        <w:rPr>
          <w:rFonts w:ascii="Times New Roman" w:hAnsi="Times New Roman" w:cs="Times New Roman"/>
        </w:rPr>
        <w:t>The Crisis of Weak Punishment</w:t>
      </w:r>
    </w:p>
    <w:p w14:paraId="1BD7F7B2" w14:textId="77777777" w:rsidR="00807641" w:rsidRPr="00807641" w:rsidRDefault="00807641" w:rsidP="00807641">
      <w:pPr>
        <w:spacing w:line="360" w:lineRule="auto"/>
        <w:rPr>
          <w:rFonts w:ascii="Times New Roman" w:hAnsi="Times New Roman" w:cs="Times New Roman"/>
        </w:rPr>
      </w:pPr>
      <w:r w:rsidRPr="00807641">
        <w:rPr>
          <w:rFonts w:ascii="Times New Roman" w:hAnsi="Times New Roman" w:cs="Times New Roman"/>
        </w:rPr>
        <w:t>Because acid attacks were categorized under "Grievous Hurt," the sentencing was often disproportionately lenient compared to the gravity of the crime.</w:t>
      </w:r>
    </w:p>
    <w:p w14:paraId="47462268" w14:textId="77777777" w:rsidR="00807641" w:rsidRPr="00807641" w:rsidRDefault="00807641" w:rsidP="00807641">
      <w:pPr>
        <w:numPr>
          <w:ilvl w:val="0"/>
          <w:numId w:val="11"/>
        </w:numPr>
        <w:spacing w:line="360" w:lineRule="auto"/>
        <w:rPr>
          <w:rFonts w:ascii="Times New Roman" w:hAnsi="Times New Roman" w:cs="Times New Roman"/>
        </w:rPr>
      </w:pPr>
      <w:r w:rsidRPr="00807641">
        <w:rPr>
          <w:rFonts w:ascii="Times New Roman" w:hAnsi="Times New Roman" w:cs="Times New Roman"/>
        </w:rPr>
        <w:t>Inadequate Sentencing</w:t>
      </w:r>
      <w:r w:rsidRPr="00807641">
        <w:rPr>
          <w:rFonts w:ascii="Times New Roman" w:hAnsi="Times New Roman" w:cs="Times New Roman"/>
          <w:b/>
          <w:bCs/>
        </w:rPr>
        <w:t>:</w:t>
      </w:r>
      <w:r w:rsidRPr="00807641">
        <w:rPr>
          <w:rFonts w:ascii="Times New Roman" w:hAnsi="Times New Roman" w:cs="Times New Roman"/>
        </w:rPr>
        <w:t xml:space="preserve"> In many cases, perpetrators were sentenced to short prison terms or were eligible for early bail. The law did not account for the fact that for the survivor, the "sentence" of disfigurement and trauma is for life.</w:t>
      </w:r>
    </w:p>
    <w:p w14:paraId="68A2D934" w14:textId="77777777" w:rsidR="00807641" w:rsidRPr="00807641" w:rsidRDefault="00807641" w:rsidP="00807641">
      <w:pPr>
        <w:numPr>
          <w:ilvl w:val="0"/>
          <w:numId w:val="11"/>
        </w:numPr>
        <w:spacing w:line="360" w:lineRule="auto"/>
        <w:rPr>
          <w:rFonts w:ascii="Times New Roman" w:hAnsi="Times New Roman" w:cs="Times New Roman"/>
        </w:rPr>
      </w:pPr>
      <w:r w:rsidRPr="00807641">
        <w:rPr>
          <w:rFonts w:ascii="Times New Roman" w:hAnsi="Times New Roman" w:cs="Times New Roman"/>
        </w:rPr>
        <w:lastRenderedPageBreak/>
        <w:t>Difficulty in Conviction</w:t>
      </w:r>
      <w:r w:rsidRPr="00807641">
        <w:rPr>
          <w:rFonts w:ascii="Times New Roman" w:hAnsi="Times New Roman" w:cs="Times New Roman"/>
          <w:b/>
          <w:bCs/>
        </w:rPr>
        <w:t>:</w:t>
      </w:r>
      <w:r w:rsidRPr="00807641">
        <w:rPr>
          <w:rFonts w:ascii="Times New Roman" w:hAnsi="Times New Roman" w:cs="Times New Roman"/>
        </w:rPr>
        <w:t xml:space="preserve"> Proving "intent to cause permanent disfigurement" under general laws was difficult for prosecutors. Without specific sections like 326A, many attackers escaped with minor charges of "simple hurt," leading to a culture of impunity where the legal consequences did not act as an effective deterrent.</w:t>
      </w:r>
    </w:p>
    <w:p w14:paraId="7EAC900E" w14:textId="77777777" w:rsidR="00807641" w:rsidRPr="00807641" w:rsidRDefault="00807641" w:rsidP="00807641">
      <w:pPr>
        <w:spacing w:line="360" w:lineRule="auto"/>
        <w:rPr>
          <w:rFonts w:ascii="Times New Roman" w:hAnsi="Times New Roman" w:cs="Times New Roman"/>
          <w:b/>
          <w:bCs/>
        </w:rPr>
      </w:pPr>
      <w:r>
        <w:rPr>
          <w:rFonts w:ascii="Times New Roman" w:hAnsi="Times New Roman" w:cs="Times New Roman"/>
        </w:rPr>
        <w:t xml:space="preserve">1.4 </w:t>
      </w:r>
      <w:r w:rsidRPr="00807641">
        <w:rPr>
          <w:rFonts w:ascii="Times New Roman" w:hAnsi="Times New Roman" w:cs="Times New Roman"/>
        </w:rPr>
        <w:t>Systematic Lack of Compensation</w:t>
      </w:r>
    </w:p>
    <w:p w14:paraId="3D1F69AA" w14:textId="77777777" w:rsidR="00807641" w:rsidRPr="00807641" w:rsidRDefault="00807641" w:rsidP="00807641">
      <w:pPr>
        <w:spacing w:line="360" w:lineRule="auto"/>
        <w:rPr>
          <w:rFonts w:ascii="Times New Roman" w:hAnsi="Times New Roman" w:cs="Times New Roman"/>
        </w:rPr>
      </w:pPr>
      <w:r w:rsidRPr="00807641">
        <w:rPr>
          <w:rFonts w:ascii="Times New Roman" w:hAnsi="Times New Roman" w:cs="Times New Roman"/>
        </w:rPr>
        <w:t>Perhaps the most devastating legal issue was the absence of a mandatory, state-funded compensation scheme.</w:t>
      </w:r>
    </w:p>
    <w:p w14:paraId="79256CE8" w14:textId="77777777" w:rsidR="00807641" w:rsidRPr="00807641" w:rsidRDefault="00807641" w:rsidP="00807641">
      <w:pPr>
        <w:numPr>
          <w:ilvl w:val="0"/>
          <w:numId w:val="12"/>
        </w:numPr>
        <w:spacing w:line="360" w:lineRule="auto"/>
        <w:rPr>
          <w:rFonts w:ascii="Times New Roman" w:hAnsi="Times New Roman" w:cs="Times New Roman"/>
        </w:rPr>
      </w:pPr>
      <w:r w:rsidRPr="00807641">
        <w:rPr>
          <w:rFonts w:ascii="Times New Roman" w:hAnsi="Times New Roman" w:cs="Times New Roman"/>
        </w:rPr>
        <w:t>The Financial Burden</w:t>
      </w:r>
      <w:r w:rsidRPr="00807641">
        <w:rPr>
          <w:rFonts w:ascii="Times New Roman" w:hAnsi="Times New Roman" w:cs="Times New Roman"/>
          <w:b/>
          <w:bCs/>
        </w:rPr>
        <w:t>:</w:t>
      </w:r>
      <w:r w:rsidRPr="00807641">
        <w:rPr>
          <w:rFonts w:ascii="Times New Roman" w:hAnsi="Times New Roman" w:cs="Times New Roman"/>
        </w:rPr>
        <w:t xml:space="preserve"> Reconstructive surgeries, specialized skin grafts, and lifelong medical care can cost tens of lakhs of rupees. Before 2013, the burden of these costs fell entirely on the survivor’s family.</w:t>
      </w:r>
    </w:p>
    <w:p w14:paraId="2BCFEB6E" w14:textId="77777777" w:rsidR="00807641" w:rsidRDefault="00807641" w:rsidP="00807641">
      <w:pPr>
        <w:numPr>
          <w:ilvl w:val="0"/>
          <w:numId w:val="12"/>
        </w:numPr>
        <w:spacing w:line="360" w:lineRule="auto"/>
        <w:rPr>
          <w:rFonts w:ascii="Times New Roman" w:hAnsi="Times New Roman" w:cs="Times New Roman"/>
        </w:rPr>
      </w:pPr>
      <w:r w:rsidRPr="00807641">
        <w:rPr>
          <w:rFonts w:ascii="Times New Roman" w:hAnsi="Times New Roman" w:cs="Times New Roman"/>
        </w:rPr>
        <w:t>Discretionary Justice: While courts could occasionally order a perpetrator to pay a fine, these amounts were rarely recovered and were never sufficient to cover even the initial medical bills. The state did not acknowledge its "Duty of Care" to provide financial restitution for failing to protect the victim from a preventable crime, leading to many survivors being forced to discontinue treatment due to poverty.</w:t>
      </w:r>
    </w:p>
    <w:p w14:paraId="5E54AF07" w14:textId="77777777" w:rsidR="00C108A0" w:rsidRPr="00C108A0" w:rsidRDefault="00807641" w:rsidP="00C108A0">
      <w:pPr>
        <w:spacing w:line="360" w:lineRule="auto"/>
        <w:rPr>
          <w:rFonts w:ascii="Times New Roman" w:hAnsi="Times New Roman" w:cs="Times New Roman"/>
          <w:b/>
          <w:bCs/>
        </w:rPr>
      </w:pPr>
      <w:r>
        <w:rPr>
          <w:rFonts w:ascii="Times New Roman" w:hAnsi="Times New Roman" w:cs="Times New Roman"/>
        </w:rPr>
        <w:t xml:space="preserve">1.5 </w:t>
      </w:r>
      <w:r w:rsidR="00C108A0" w:rsidRPr="00C108A0">
        <w:rPr>
          <w:rFonts w:ascii="Times New Roman" w:hAnsi="Times New Roman" w:cs="Times New Roman"/>
        </w:rPr>
        <w:t>Conclusion of Legal Issues</w:t>
      </w:r>
    </w:p>
    <w:p w14:paraId="71CB83B8" w14:textId="77777777" w:rsidR="00C108A0" w:rsidRPr="00C108A0" w:rsidRDefault="00C108A0" w:rsidP="00C108A0">
      <w:pPr>
        <w:spacing w:line="360" w:lineRule="auto"/>
        <w:rPr>
          <w:rFonts w:ascii="Times New Roman" w:hAnsi="Times New Roman" w:cs="Times New Roman"/>
        </w:rPr>
      </w:pPr>
      <w:r w:rsidRPr="00C108A0">
        <w:rPr>
          <w:rFonts w:ascii="Times New Roman" w:hAnsi="Times New Roman" w:cs="Times New Roman"/>
        </w:rPr>
        <w:t>These four pillars—the lack of specific laws, easy availability, weak sentencing, and absent compensation—created a "protection vacuum" for women in India. The Laxmi Agarwal case was essential because it forced the judiciary to acknowledge that the law was not just failing to punish the criminal, but was actively failing to support the survivor.</w:t>
      </w:r>
    </w:p>
    <w:p w14:paraId="09476B84" w14:textId="2789246E" w:rsidR="00807641" w:rsidRPr="00807641" w:rsidRDefault="00807641" w:rsidP="00C108A0">
      <w:pPr>
        <w:spacing w:line="360" w:lineRule="auto"/>
        <w:rPr>
          <w:rFonts w:ascii="Times New Roman" w:hAnsi="Times New Roman" w:cs="Times New Roman"/>
        </w:rPr>
      </w:pPr>
    </w:p>
    <w:p w14:paraId="0D2E2E3D" w14:textId="1D8D65D8" w:rsidR="00807641" w:rsidRDefault="00C108A0" w:rsidP="00807641">
      <w:pPr>
        <w:spacing w:line="360" w:lineRule="auto"/>
        <w:rPr>
          <w:rFonts w:ascii="Times New Roman" w:hAnsi="Times New Roman" w:cs="Times New Roman"/>
          <w:b/>
          <w:bCs/>
          <w:sz w:val="28"/>
          <w:szCs w:val="28"/>
        </w:rPr>
      </w:pPr>
      <w:r w:rsidRPr="00C108A0">
        <w:rPr>
          <w:rFonts w:ascii="Times New Roman" w:hAnsi="Times New Roman" w:cs="Times New Roman"/>
          <w:b/>
          <w:bCs/>
          <w:sz w:val="28"/>
          <w:szCs w:val="28"/>
        </w:rPr>
        <w:t>CONSTITUTIONAL SAFEGUARDS: A TRIPLE-PILLAR DEFENSE</w:t>
      </w:r>
    </w:p>
    <w:p w14:paraId="4F9A126A" w14:textId="77777777" w:rsidR="00C108A0" w:rsidRDefault="00C108A0" w:rsidP="00C108A0">
      <w:pPr>
        <w:spacing w:line="360" w:lineRule="auto"/>
        <w:rPr>
          <w:rFonts w:ascii="Times New Roman" w:hAnsi="Times New Roman" w:cs="Times New Roman"/>
        </w:rPr>
      </w:pPr>
      <w:r w:rsidRPr="00C108A0">
        <w:rPr>
          <w:rFonts w:ascii="Times New Roman" w:hAnsi="Times New Roman" w:cs="Times New Roman"/>
        </w:rPr>
        <w:t>The Indian Constitution provides the ultimate shield against gender-based violence, including acid attacks. The landmark litigation in the Laxmi Agarwal case was grounded in the argument that the State’s failure to prevent such atrocities was not just a criminal oversight, but a fundamental constitutional breach.</w:t>
      </w:r>
    </w:p>
    <w:p w14:paraId="138B1784" w14:textId="6E6C6636" w:rsidR="00C108A0" w:rsidRPr="00C108A0" w:rsidRDefault="00C108A0" w:rsidP="00C108A0">
      <w:pPr>
        <w:spacing w:line="360" w:lineRule="auto"/>
        <w:rPr>
          <w:rFonts w:ascii="Times New Roman" w:hAnsi="Times New Roman" w:cs="Times New Roman"/>
        </w:rPr>
      </w:pPr>
      <w:r>
        <w:rPr>
          <w:rFonts w:ascii="Times New Roman" w:hAnsi="Times New Roman" w:cs="Times New Roman"/>
        </w:rPr>
        <w:t xml:space="preserve">1.1 </w:t>
      </w:r>
      <w:r w:rsidRPr="00C108A0">
        <w:rPr>
          <w:rFonts w:ascii="Times New Roman" w:hAnsi="Times New Roman" w:cs="Times New Roman"/>
        </w:rPr>
        <w:t>Article 14: The Doctrine of Equality and Non-Arbitrariness</w:t>
      </w:r>
    </w:p>
    <w:p w14:paraId="5A11D9A6" w14:textId="77777777" w:rsidR="00C108A0" w:rsidRPr="00C108A0" w:rsidRDefault="00C108A0" w:rsidP="00C108A0">
      <w:pPr>
        <w:spacing w:line="360" w:lineRule="auto"/>
        <w:rPr>
          <w:rFonts w:ascii="Times New Roman" w:hAnsi="Times New Roman" w:cs="Times New Roman"/>
        </w:rPr>
      </w:pPr>
      <w:r w:rsidRPr="00C108A0">
        <w:rPr>
          <w:rFonts w:ascii="Times New Roman" w:hAnsi="Times New Roman" w:cs="Times New Roman"/>
        </w:rPr>
        <w:t>Article 14 guarantees "Equality before the Law" and "Equal Protection of the Laws." In the context of acid violence, this article serves as a mandate against arbitrary state inaction.</w:t>
      </w:r>
    </w:p>
    <w:p w14:paraId="79D7A612" w14:textId="77777777" w:rsidR="00C108A0" w:rsidRPr="00C108A0" w:rsidRDefault="00C108A0" w:rsidP="00C108A0">
      <w:pPr>
        <w:numPr>
          <w:ilvl w:val="0"/>
          <w:numId w:val="14"/>
        </w:numPr>
        <w:spacing w:line="360" w:lineRule="auto"/>
        <w:rPr>
          <w:rFonts w:ascii="Times New Roman" w:hAnsi="Times New Roman" w:cs="Times New Roman"/>
        </w:rPr>
      </w:pPr>
      <w:r w:rsidRPr="00C108A0">
        <w:rPr>
          <w:rFonts w:ascii="Times New Roman" w:hAnsi="Times New Roman" w:cs="Times New Roman"/>
        </w:rPr>
        <w:lastRenderedPageBreak/>
        <w:t>The Equal Protection Clause: The Supreme Court interpreted Article 14 to mean that the State has a positive obligation to create a safe environment for all citizens. When the law fails to regulate a lethal substance like concentrated acid—effectively leaving women vulnerable to life-altering attacks—it fails the test of "reasonable classification" and equality.</w:t>
      </w:r>
    </w:p>
    <w:p w14:paraId="610AE88A" w14:textId="77777777" w:rsidR="00C108A0" w:rsidRDefault="00C108A0" w:rsidP="00C108A0">
      <w:pPr>
        <w:numPr>
          <w:ilvl w:val="0"/>
          <w:numId w:val="14"/>
        </w:numPr>
        <w:spacing w:line="360" w:lineRule="auto"/>
        <w:rPr>
          <w:rFonts w:ascii="Times New Roman" w:hAnsi="Times New Roman" w:cs="Times New Roman"/>
        </w:rPr>
      </w:pPr>
      <w:r w:rsidRPr="00C108A0">
        <w:rPr>
          <w:rFonts w:ascii="Times New Roman" w:hAnsi="Times New Roman" w:cs="Times New Roman"/>
        </w:rPr>
        <w:t>Access to Justice</w:t>
      </w:r>
      <w:r w:rsidRPr="00C108A0">
        <w:rPr>
          <w:rFonts w:ascii="Times New Roman" w:hAnsi="Times New Roman" w:cs="Times New Roman"/>
          <w:b/>
          <w:bCs/>
        </w:rPr>
        <w:t>:</w:t>
      </w:r>
      <w:r w:rsidRPr="00C108A0">
        <w:rPr>
          <w:rFonts w:ascii="Times New Roman" w:hAnsi="Times New Roman" w:cs="Times New Roman"/>
        </w:rPr>
        <w:t xml:space="preserve"> Article 14 ensures that survivors have the same standing before the law as any other citizen. By failing to provide a specialized legal framework for acid victims, the pre-2013 system treated a unique, devastating crime as a generic injury, which was inherently unequal and discriminatory.</w:t>
      </w:r>
    </w:p>
    <w:p w14:paraId="785487A1" w14:textId="77777777" w:rsidR="000D6BA6" w:rsidRPr="000D6BA6" w:rsidRDefault="00C108A0" w:rsidP="000D6BA6">
      <w:pPr>
        <w:spacing w:line="360" w:lineRule="auto"/>
        <w:rPr>
          <w:rFonts w:ascii="Times New Roman" w:hAnsi="Times New Roman" w:cs="Times New Roman"/>
        </w:rPr>
      </w:pPr>
      <w:r>
        <w:rPr>
          <w:rFonts w:ascii="Times New Roman" w:hAnsi="Times New Roman" w:cs="Times New Roman"/>
        </w:rPr>
        <w:t xml:space="preserve">  1.2 </w:t>
      </w:r>
      <w:r w:rsidR="000D6BA6" w:rsidRPr="000D6BA6">
        <w:rPr>
          <w:rFonts w:ascii="Times New Roman" w:hAnsi="Times New Roman" w:cs="Times New Roman"/>
        </w:rPr>
        <w:t>Article 15(3): Protective Discrimination and Special Provisions</w:t>
      </w:r>
    </w:p>
    <w:p w14:paraId="5DE42A31" w14:textId="77777777" w:rsidR="000D6BA6" w:rsidRPr="000D6BA6" w:rsidRDefault="000D6BA6" w:rsidP="000D6BA6">
      <w:pPr>
        <w:spacing w:line="360" w:lineRule="auto"/>
        <w:rPr>
          <w:rFonts w:ascii="Times New Roman" w:hAnsi="Times New Roman" w:cs="Times New Roman"/>
        </w:rPr>
      </w:pPr>
      <w:r w:rsidRPr="000D6BA6">
        <w:rPr>
          <w:rFonts w:ascii="Times New Roman" w:hAnsi="Times New Roman" w:cs="Times New Roman"/>
        </w:rPr>
        <w:t xml:space="preserve">While Article 15 generally prohibits discrimination on grounds of sex, </w:t>
      </w:r>
      <w:r w:rsidRPr="000D6BA6">
        <w:rPr>
          <w:rFonts w:ascii="Times New Roman" w:hAnsi="Times New Roman" w:cs="Times New Roman"/>
          <w:b/>
          <w:bCs/>
        </w:rPr>
        <w:t>Article 15(3)</w:t>
      </w:r>
      <w:r w:rsidRPr="000D6BA6">
        <w:rPr>
          <w:rFonts w:ascii="Times New Roman" w:hAnsi="Times New Roman" w:cs="Times New Roman"/>
        </w:rPr>
        <w:t xml:space="preserve"> is an enabling provision that allows the State to make </w:t>
      </w:r>
      <w:r w:rsidRPr="000D6BA6">
        <w:rPr>
          <w:rFonts w:ascii="Times New Roman" w:hAnsi="Times New Roman" w:cs="Times New Roman"/>
          <w:b/>
          <w:bCs/>
        </w:rPr>
        <w:t>"</w:t>
      </w:r>
      <w:r w:rsidRPr="000D6BA6">
        <w:rPr>
          <w:rFonts w:ascii="Times New Roman" w:hAnsi="Times New Roman" w:cs="Times New Roman"/>
        </w:rPr>
        <w:t>special provisions for women and children."</w:t>
      </w:r>
    </w:p>
    <w:p w14:paraId="153379A3" w14:textId="77777777" w:rsidR="000D6BA6" w:rsidRPr="000D6BA6" w:rsidRDefault="000D6BA6" w:rsidP="000D6BA6">
      <w:pPr>
        <w:numPr>
          <w:ilvl w:val="0"/>
          <w:numId w:val="15"/>
        </w:numPr>
        <w:spacing w:line="360" w:lineRule="auto"/>
        <w:rPr>
          <w:rFonts w:ascii="Times New Roman" w:hAnsi="Times New Roman" w:cs="Times New Roman"/>
        </w:rPr>
      </w:pPr>
      <w:r w:rsidRPr="000D6BA6">
        <w:rPr>
          <w:rFonts w:ascii="Times New Roman" w:hAnsi="Times New Roman" w:cs="Times New Roman"/>
        </w:rPr>
        <w:t>Affirmative Action in Criminal Law</w:t>
      </w:r>
      <w:r w:rsidRPr="000D6BA6">
        <w:rPr>
          <w:rFonts w:ascii="Times New Roman" w:hAnsi="Times New Roman" w:cs="Times New Roman"/>
          <w:b/>
          <w:bCs/>
        </w:rPr>
        <w:t>:</w:t>
      </w:r>
      <w:r w:rsidRPr="000D6BA6">
        <w:rPr>
          <w:rFonts w:ascii="Times New Roman" w:hAnsi="Times New Roman" w:cs="Times New Roman"/>
        </w:rPr>
        <w:t xml:space="preserve"> This clause provides the constitutional "green light" for gender-specific laws. It justifies why acid attacks, which disproportionately target women as a tool of patriarchal control, require unique penal sections (like 326A and 326B) and higher compensation.</w:t>
      </w:r>
    </w:p>
    <w:p w14:paraId="72CE21E7" w14:textId="77777777" w:rsidR="000D6BA6" w:rsidRDefault="000D6BA6" w:rsidP="000D6BA6">
      <w:pPr>
        <w:numPr>
          <w:ilvl w:val="0"/>
          <w:numId w:val="15"/>
        </w:numPr>
        <w:spacing w:line="360" w:lineRule="auto"/>
        <w:rPr>
          <w:rFonts w:ascii="Times New Roman" w:hAnsi="Times New Roman" w:cs="Times New Roman"/>
        </w:rPr>
      </w:pPr>
      <w:r w:rsidRPr="000D6BA6">
        <w:rPr>
          <w:rFonts w:ascii="Times New Roman" w:hAnsi="Times New Roman" w:cs="Times New Roman"/>
        </w:rPr>
        <w:t>State Responsibility</w:t>
      </w:r>
      <w:r w:rsidRPr="000D6BA6">
        <w:rPr>
          <w:rFonts w:ascii="Times New Roman" w:hAnsi="Times New Roman" w:cs="Times New Roman"/>
          <w:b/>
          <w:bCs/>
        </w:rPr>
        <w:t>:</w:t>
      </w:r>
      <w:r w:rsidRPr="000D6BA6">
        <w:rPr>
          <w:rFonts w:ascii="Times New Roman" w:hAnsi="Times New Roman" w:cs="Times New Roman"/>
        </w:rPr>
        <w:t xml:space="preserve"> Under 15(3), the State is not just a silent observer; it is an active protector. The Supreme Court leveraged this provision to demand that the government move beyond gender-neutral laws and recognize the specific socio-physical devastation that acid inflicts on the female identity.</w:t>
      </w:r>
    </w:p>
    <w:p w14:paraId="6552A003" w14:textId="77777777" w:rsidR="000D6BA6" w:rsidRPr="000D6BA6" w:rsidRDefault="000D6BA6" w:rsidP="000D6BA6">
      <w:pPr>
        <w:spacing w:line="360" w:lineRule="auto"/>
        <w:rPr>
          <w:rFonts w:ascii="Times New Roman" w:hAnsi="Times New Roman" w:cs="Times New Roman"/>
          <w:b/>
          <w:bCs/>
        </w:rPr>
      </w:pPr>
      <w:r>
        <w:rPr>
          <w:rFonts w:ascii="Times New Roman" w:hAnsi="Times New Roman" w:cs="Times New Roman"/>
        </w:rPr>
        <w:t xml:space="preserve">  1.3 </w:t>
      </w:r>
      <w:r w:rsidRPr="000D6BA6">
        <w:rPr>
          <w:rFonts w:ascii="Times New Roman" w:hAnsi="Times New Roman" w:cs="Times New Roman"/>
        </w:rPr>
        <w:t>Article 21: The Right to Life and the Sanctity of Dignity</w:t>
      </w:r>
    </w:p>
    <w:p w14:paraId="2DD17CF7" w14:textId="77777777" w:rsidR="000D6BA6" w:rsidRPr="000D6BA6" w:rsidRDefault="000D6BA6" w:rsidP="000D6BA6">
      <w:pPr>
        <w:spacing w:line="360" w:lineRule="auto"/>
        <w:rPr>
          <w:rFonts w:ascii="Times New Roman" w:hAnsi="Times New Roman" w:cs="Times New Roman"/>
        </w:rPr>
      </w:pPr>
      <w:r w:rsidRPr="000D6BA6">
        <w:rPr>
          <w:rFonts w:ascii="Times New Roman" w:hAnsi="Times New Roman" w:cs="Times New Roman"/>
        </w:rPr>
        <w:t>Article 21 is the heart of the Indian Constitution, declaring that "No person shall be deprived of his life or personal liberty except according to procedure established by law."</w:t>
      </w:r>
    </w:p>
    <w:p w14:paraId="58B3DC75" w14:textId="77777777" w:rsidR="000D6BA6" w:rsidRPr="000D6BA6" w:rsidRDefault="000D6BA6" w:rsidP="000D6BA6">
      <w:pPr>
        <w:numPr>
          <w:ilvl w:val="0"/>
          <w:numId w:val="16"/>
        </w:numPr>
        <w:spacing w:line="360" w:lineRule="auto"/>
        <w:rPr>
          <w:rFonts w:ascii="Times New Roman" w:hAnsi="Times New Roman" w:cs="Times New Roman"/>
        </w:rPr>
      </w:pPr>
      <w:r w:rsidRPr="000D6BA6">
        <w:rPr>
          <w:rFonts w:ascii="Times New Roman" w:hAnsi="Times New Roman" w:cs="Times New Roman"/>
        </w:rPr>
        <w:t>Beyond Mere Existence: The judiciary has consistently ruled that the "Right to Life" is not just about biological survival; it is the Right to Live with Dignity. An acid attack is a direct assault on this dignity, as it seeks to strip the survivor of their physical identity and social participation.</w:t>
      </w:r>
    </w:p>
    <w:p w14:paraId="4865D1B9" w14:textId="3990BFE5" w:rsidR="000D6BA6" w:rsidRDefault="000D6BA6" w:rsidP="000D6BA6">
      <w:pPr>
        <w:numPr>
          <w:ilvl w:val="0"/>
          <w:numId w:val="16"/>
        </w:numPr>
        <w:spacing w:line="360" w:lineRule="auto"/>
        <w:rPr>
          <w:rFonts w:ascii="Times New Roman" w:hAnsi="Times New Roman" w:cs="Times New Roman"/>
        </w:rPr>
      </w:pPr>
      <w:r w:rsidRPr="000D6BA6">
        <w:rPr>
          <w:rFonts w:ascii="Times New Roman" w:hAnsi="Times New Roman" w:cs="Times New Roman"/>
        </w:rPr>
        <w:t>The Right to Health and Rehabilitation</w:t>
      </w:r>
      <w:r w:rsidRPr="000D6BA6">
        <w:rPr>
          <w:rFonts w:ascii="Times New Roman" w:hAnsi="Times New Roman" w:cs="Times New Roman"/>
          <w:b/>
          <w:bCs/>
        </w:rPr>
        <w:t>:</w:t>
      </w:r>
      <w:r w:rsidRPr="000D6BA6">
        <w:rPr>
          <w:rFonts w:ascii="Times New Roman" w:hAnsi="Times New Roman" w:cs="Times New Roman"/>
        </w:rPr>
        <w:t xml:space="preserve"> The Supreme Court expanded the scope of Article 21 to include the right to timely medical treatment. In the Laxmi case, the </w:t>
      </w:r>
      <w:r w:rsidRPr="000D6BA6">
        <w:rPr>
          <w:rFonts w:ascii="Times New Roman" w:hAnsi="Times New Roman" w:cs="Times New Roman"/>
        </w:rPr>
        <w:lastRenderedPageBreak/>
        <w:t>court ruled that hospitals (both public and private) are constitutionally bound to provide free first-aid and treatment to acid attack survivors. To deny medical care is to deny the right to life itself.</w:t>
      </w:r>
    </w:p>
    <w:p w14:paraId="0A10D38B" w14:textId="078403AF" w:rsidR="000D6BA6" w:rsidRDefault="000D6BA6" w:rsidP="000D6BA6">
      <w:pPr>
        <w:numPr>
          <w:ilvl w:val="0"/>
          <w:numId w:val="16"/>
        </w:numPr>
        <w:spacing w:line="360" w:lineRule="auto"/>
        <w:rPr>
          <w:rFonts w:ascii="Times New Roman" w:hAnsi="Times New Roman" w:cs="Times New Roman"/>
        </w:rPr>
      </w:pPr>
      <w:r w:rsidRPr="000D6BA6">
        <w:rPr>
          <w:rFonts w:ascii="Times New Roman" w:hAnsi="Times New Roman" w:cs="Times New Roman"/>
        </w:rPr>
        <w:t>Bodily Integrity</w:t>
      </w:r>
      <w:r w:rsidRPr="000D6BA6">
        <w:rPr>
          <w:rFonts w:ascii="Times New Roman" w:hAnsi="Times New Roman" w:cs="Times New Roman"/>
          <w:b/>
          <w:bCs/>
        </w:rPr>
        <w:t>:</w:t>
      </w:r>
      <w:r w:rsidRPr="000D6BA6">
        <w:rPr>
          <w:rFonts w:ascii="Times New Roman" w:hAnsi="Times New Roman" w:cs="Times New Roman"/>
        </w:rPr>
        <w:t xml:space="preserve"> Article 21 protects the "inviolability of the human body." Acid violence is perhaps the most extreme violation of this integrity, and the State’s failure to regulate the sale of acid was viewed as a failure to uphold the sanctity of the citizen’s personh</w:t>
      </w:r>
      <w:r>
        <w:rPr>
          <w:rFonts w:ascii="Times New Roman" w:hAnsi="Times New Roman" w:cs="Times New Roman"/>
        </w:rPr>
        <w:t>ood.</w:t>
      </w:r>
    </w:p>
    <w:p w14:paraId="54E76ACF" w14:textId="77777777" w:rsidR="000D6BA6" w:rsidRPr="000D6BA6" w:rsidRDefault="000D6BA6" w:rsidP="000D6BA6">
      <w:pPr>
        <w:spacing w:line="360" w:lineRule="auto"/>
        <w:rPr>
          <w:rFonts w:ascii="Times New Roman" w:hAnsi="Times New Roman" w:cs="Times New Roman"/>
        </w:rPr>
      </w:pPr>
      <w:r>
        <w:rPr>
          <w:rFonts w:ascii="Times New Roman" w:hAnsi="Times New Roman" w:cs="Times New Roman"/>
        </w:rPr>
        <w:t xml:space="preserve">1.4 </w:t>
      </w:r>
      <w:r w:rsidRPr="000D6BA6">
        <w:rPr>
          <w:rFonts w:ascii="Times New Roman" w:hAnsi="Times New Roman" w:cs="Times New Roman"/>
        </w:rPr>
        <w:t>Conclusion: Constitutional Supremacy</w:t>
      </w:r>
    </w:p>
    <w:p w14:paraId="0E347C7E" w14:textId="77777777" w:rsidR="00124A1D" w:rsidRDefault="000D6BA6" w:rsidP="000D6BA6">
      <w:pPr>
        <w:spacing w:line="360" w:lineRule="auto"/>
        <w:rPr>
          <w:rFonts w:ascii="Times New Roman" w:hAnsi="Times New Roman" w:cs="Times New Roman"/>
        </w:rPr>
      </w:pPr>
      <w:r w:rsidRPr="000D6BA6">
        <w:rPr>
          <w:rFonts w:ascii="Times New Roman" w:hAnsi="Times New Roman" w:cs="Times New Roman"/>
        </w:rPr>
        <w:t>Together, these three articles form a "Golden Triangle" that protects the individual. The Laxmi v. Union of India case was a watershed moment precisely because it moved the conversation of acid violence out of the narrow confines of the "Police Station" and into the supreme halls of "Constitutional Justice."</w:t>
      </w:r>
    </w:p>
    <w:p w14:paraId="55A3F4D6" w14:textId="77777777" w:rsidR="004A2D11" w:rsidRDefault="004A2D11" w:rsidP="000D6BA6">
      <w:pPr>
        <w:spacing w:line="360" w:lineRule="auto"/>
        <w:rPr>
          <w:rFonts w:ascii="Times New Roman" w:hAnsi="Times New Roman" w:cs="Times New Roman"/>
        </w:rPr>
      </w:pPr>
    </w:p>
    <w:p w14:paraId="5C1577AC" w14:textId="2DFE41F1" w:rsidR="000D6BA6" w:rsidRPr="004A2D11" w:rsidRDefault="00124A1D" w:rsidP="000D6BA6">
      <w:pPr>
        <w:spacing w:line="360" w:lineRule="auto"/>
        <w:rPr>
          <w:rFonts w:ascii="Times New Roman" w:hAnsi="Times New Roman" w:cs="Times New Roman"/>
          <w:b/>
          <w:bCs/>
          <w:sz w:val="28"/>
          <w:szCs w:val="28"/>
        </w:rPr>
      </w:pPr>
      <w:r w:rsidRPr="004A2D11">
        <w:rPr>
          <w:rFonts w:ascii="Times New Roman" w:hAnsi="Times New Roman" w:cs="Times New Roman"/>
          <w:b/>
          <w:bCs/>
          <w:sz w:val="28"/>
          <w:szCs w:val="28"/>
        </w:rPr>
        <w:t>THE SUPREME COURT MANDATE: LAXMI v. UNION OF INDIA</w:t>
      </w:r>
    </w:p>
    <w:p w14:paraId="13B2AB55" w14:textId="10225C15" w:rsidR="00124A1D" w:rsidRDefault="00124A1D" w:rsidP="00124A1D">
      <w:pPr>
        <w:spacing w:line="360" w:lineRule="auto"/>
        <w:rPr>
          <w:rFonts w:ascii="Times New Roman" w:hAnsi="Times New Roman" w:cs="Times New Roman"/>
        </w:rPr>
      </w:pPr>
      <w:r w:rsidRPr="00124A1D">
        <w:rPr>
          <w:rFonts w:ascii="Times New Roman" w:hAnsi="Times New Roman" w:cs="Times New Roman"/>
        </w:rPr>
        <w:t xml:space="preserve">The judgment in </w:t>
      </w:r>
      <w:r w:rsidRPr="00124A1D">
        <w:rPr>
          <w:rFonts w:ascii="Times New Roman" w:hAnsi="Times New Roman" w:cs="Times New Roman"/>
          <w:i/>
          <w:iCs/>
        </w:rPr>
        <w:t>Laxmi v. Union of India</w:t>
      </w:r>
      <w:r w:rsidRPr="00124A1D">
        <w:rPr>
          <w:rFonts w:ascii="Times New Roman" w:hAnsi="Times New Roman" w:cs="Times New Roman"/>
        </w:rPr>
        <w:t xml:space="preserve"> (2014) 4 SCC 427 stands as a cornerstone of Indian human rights jurisprudence. Moving beyond mere criminal sentencing, the Supreme Court utilized this case to issue "structural injunctions" aimed at the prevention of crime and the holistic rehabilitation of survivors.</w:t>
      </w:r>
    </w:p>
    <w:p w14:paraId="3B530D93" w14:textId="77777777" w:rsidR="00124A1D" w:rsidRPr="00124A1D" w:rsidRDefault="00124A1D" w:rsidP="00124A1D">
      <w:pPr>
        <w:spacing w:line="360" w:lineRule="auto"/>
        <w:rPr>
          <w:rFonts w:ascii="Times New Roman" w:hAnsi="Times New Roman" w:cs="Times New Roman"/>
          <w:b/>
          <w:bCs/>
        </w:rPr>
      </w:pPr>
      <w:r>
        <w:rPr>
          <w:rFonts w:ascii="Times New Roman" w:hAnsi="Times New Roman" w:cs="Times New Roman"/>
        </w:rPr>
        <w:t xml:space="preserve">1.1 </w:t>
      </w:r>
      <w:r w:rsidRPr="00124A1D">
        <w:rPr>
          <w:rFonts w:ascii="Times New Roman" w:hAnsi="Times New Roman" w:cs="Times New Roman"/>
        </w:rPr>
        <w:t>Core Judicial Observations</w:t>
      </w:r>
    </w:p>
    <w:p w14:paraId="460D5D2C" w14:textId="09BC4791" w:rsidR="00124A1D" w:rsidRDefault="00124A1D" w:rsidP="00124A1D">
      <w:pPr>
        <w:spacing w:line="360" w:lineRule="auto"/>
        <w:rPr>
          <w:rFonts w:ascii="Times New Roman" w:hAnsi="Times New Roman" w:cs="Times New Roman"/>
        </w:rPr>
      </w:pPr>
      <w:r w:rsidRPr="00124A1D">
        <w:rPr>
          <w:rFonts w:ascii="Times New Roman" w:hAnsi="Times New Roman" w:cs="Times New Roman"/>
        </w:rPr>
        <w:t xml:space="preserve">The Court observed that acid violence is a "heinous form of attack" that targets the very essence of a person’s identity. The bench noted that the existing legal machinery was woefully inadequate because it treated acid as a generic weapon rather than a substance that inflicts "lifelong psychological and physical trauma." The Court highlighted the State's failure under Article 21, noting that the unrestricted availability of acid at a </w:t>
      </w:r>
      <w:r w:rsidRPr="00124A1D">
        <w:rPr>
          <w:rFonts w:ascii="Times New Roman" w:hAnsi="Times New Roman" w:cs="Times New Roman"/>
        </w:rPr>
        <w:t>meagre</w:t>
      </w:r>
      <w:r w:rsidRPr="00124A1D">
        <w:rPr>
          <w:rFonts w:ascii="Times New Roman" w:hAnsi="Times New Roman" w:cs="Times New Roman"/>
        </w:rPr>
        <w:t xml:space="preserve"> cost was a direct violation of the citizen's right to live with dignity.</w:t>
      </w:r>
    </w:p>
    <w:p w14:paraId="03435D9E" w14:textId="77777777" w:rsidR="00124A1D" w:rsidRPr="00124A1D" w:rsidRDefault="00124A1D" w:rsidP="00124A1D">
      <w:pPr>
        <w:spacing w:line="360" w:lineRule="auto"/>
        <w:rPr>
          <w:rFonts w:ascii="Times New Roman" w:hAnsi="Times New Roman" w:cs="Times New Roman"/>
        </w:rPr>
      </w:pPr>
      <w:r>
        <w:rPr>
          <w:rFonts w:ascii="Times New Roman" w:hAnsi="Times New Roman" w:cs="Times New Roman"/>
        </w:rPr>
        <w:t xml:space="preserve">1.2 </w:t>
      </w:r>
      <w:r w:rsidRPr="00124A1D">
        <w:rPr>
          <w:rFonts w:ascii="Times New Roman" w:hAnsi="Times New Roman" w:cs="Times New Roman"/>
        </w:rPr>
        <w:t>Strict Regulation of Acid Sales (Guidelines)</w:t>
      </w:r>
    </w:p>
    <w:p w14:paraId="4A6B1A97" w14:textId="77777777" w:rsidR="00124A1D" w:rsidRPr="00124A1D" w:rsidRDefault="00124A1D" w:rsidP="00124A1D">
      <w:pPr>
        <w:spacing w:line="360" w:lineRule="auto"/>
        <w:rPr>
          <w:rFonts w:ascii="Times New Roman" w:hAnsi="Times New Roman" w:cs="Times New Roman"/>
        </w:rPr>
      </w:pPr>
      <w:r w:rsidRPr="00124A1D">
        <w:rPr>
          <w:rFonts w:ascii="Times New Roman" w:hAnsi="Times New Roman" w:cs="Times New Roman"/>
        </w:rPr>
        <w:t>To curb the "liquidity of the weapon," the Court issued a set of rigorous directives for the sale of corrosive substances:</w:t>
      </w:r>
    </w:p>
    <w:p w14:paraId="09E7E26F" w14:textId="77777777" w:rsidR="00124A1D" w:rsidRPr="00124A1D" w:rsidRDefault="00124A1D" w:rsidP="00124A1D">
      <w:pPr>
        <w:numPr>
          <w:ilvl w:val="0"/>
          <w:numId w:val="17"/>
        </w:numPr>
        <w:spacing w:line="360" w:lineRule="auto"/>
        <w:rPr>
          <w:rFonts w:ascii="Times New Roman" w:hAnsi="Times New Roman" w:cs="Times New Roman"/>
        </w:rPr>
      </w:pPr>
      <w:r w:rsidRPr="00124A1D">
        <w:rPr>
          <w:rFonts w:ascii="Times New Roman" w:hAnsi="Times New Roman" w:cs="Times New Roman"/>
        </w:rPr>
        <w:lastRenderedPageBreak/>
        <w:t>Prohibition of Over-the-Counter Sales: The Court banned the unrestricted sale of acid. All sellers are now mandated to maintain a log/register recording the buyer’s details, address, and the specific quantity sold.</w:t>
      </w:r>
    </w:p>
    <w:p w14:paraId="1FE6830F" w14:textId="301F139F" w:rsidR="00124A1D" w:rsidRPr="00124A1D" w:rsidRDefault="00124A1D" w:rsidP="00124A1D">
      <w:pPr>
        <w:numPr>
          <w:ilvl w:val="0"/>
          <w:numId w:val="17"/>
        </w:numPr>
        <w:spacing w:line="360" w:lineRule="auto"/>
        <w:rPr>
          <w:rFonts w:ascii="Times New Roman" w:hAnsi="Times New Roman" w:cs="Times New Roman"/>
        </w:rPr>
      </w:pPr>
      <w:r w:rsidRPr="00124A1D">
        <w:rPr>
          <w:rFonts w:ascii="Times New Roman" w:hAnsi="Times New Roman" w:cs="Times New Roman"/>
        </w:rPr>
        <w:t xml:space="preserve">Compulsory Identification: No sale can occur without the buyer producing a </w:t>
      </w:r>
      <w:r w:rsidRPr="00124A1D">
        <w:rPr>
          <w:rFonts w:ascii="Times New Roman" w:hAnsi="Times New Roman" w:cs="Times New Roman"/>
        </w:rPr>
        <w:t>government</w:t>
      </w:r>
      <w:r w:rsidRPr="00124A1D">
        <w:rPr>
          <w:rFonts w:ascii="Times New Roman" w:hAnsi="Times New Roman" w:cs="Times New Roman"/>
        </w:rPr>
        <w:t>-issued Photo ID and specifying the exact purpose for the purchase.</w:t>
      </w:r>
    </w:p>
    <w:p w14:paraId="693E9BE8" w14:textId="77777777" w:rsidR="00124A1D" w:rsidRPr="00124A1D" w:rsidRDefault="00124A1D" w:rsidP="00124A1D">
      <w:pPr>
        <w:numPr>
          <w:ilvl w:val="0"/>
          <w:numId w:val="17"/>
        </w:numPr>
        <w:spacing w:line="360" w:lineRule="auto"/>
        <w:rPr>
          <w:rFonts w:ascii="Times New Roman" w:hAnsi="Times New Roman" w:cs="Times New Roman"/>
        </w:rPr>
      </w:pPr>
      <w:r w:rsidRPr="00124A1D">
        <w:rPr>
          <w:rFonts w:ascii="Times New Roman" w:hAnsi="Times New Roman" w:cs="Times New Roman"/>
        </w:rPr>
        <w:t>Age Restriction</w:t>
      </w:r>
      <w:r w:rsidRPr="00124A1D">
        <w:rPr>
          <w:rFonts w:ascii="Times New Roman" w:hAnsi="Times New Roman" w:cs="Times New Roman"/>
          <w:b/>
          <w:bCs/>
        </w:rPr>
        <w:t>:</w:t>
      </w:r>
      <w:r w:rsidRPr="00124A1D">
        <w:rPr>
          <w:rFonts w:ascii="Times New Roman" w:hAnsi="Times New Roman" w:cs="Times New Roman"/>
        </w:rPr>
        <w:t xml:space="preserve"> The sale of acid to any individual under the age of 18 years is strictly prohibited.</w:t>
      </w:r>
    </w:p>
    <w:p w14:paraId="21EFFBBC" w14:textId="3340870A" w:rsidR="00124A1D" w:rsidRDefault="00124A1D" w:rsidP="00124A1D">
      <w:pPr>
        <w:numPr>
          <w:ilvl w:val="0"/>
          <w:numId w:val="17"/>
        </w:numPr>
        <w:spacing w:line="360" w:lineRule="auto"/>
        <w:rPr>
          <w:rFonts w:ascii="Times New Roman" w:hAnsi="Times New Roman" w:cs="Times New Roman"/>
        </w:rPr>
      </w:pPr>
      <w:r w:rsidRPr="00124A1D">
        <w:rPr>
          <w:rFonts w:ascii="Times New Roman" w:hAnsi="Times New Roman" w:cs="Times New Roman"/>
        </w:rPr>
        <w:t>Inventory Accountability</w:t>
      </w:r>
      <w:r w:rsidRPr="00124A1D">
        <w:rPr>
          <w:rFonts w:ascii="Times New Roman" w:hAnsi="Times New Roman" w:cs="Times New Roman"/>
          <w:b/>
          <w:bCs/>
        </w:rPr>
        <w:t>:</w:t>
      </w:r>
      <w:r w:rsidRPr="00124A1D">
        <w:rPr>
          <w:rFonts w:ascii="Times New Roman" w:hAnsi="Times New Roman" w:cs="Times New Roman"/>
        </w:rPr>
        <w:t xml:space="preserve"> Sellers must declare all stocks of acid to the concerned Sub-Divisional Magistrate (SDM) within 15 days. Failure to comply results in a fine of up to ₹50,000 and confiscation of the stock</w:t>
      </w:r>
      <w:r>
        <w:rPr>
          <w:rFonts w:ascii="Times New Roman" w:hAnsi="Times New Roman" w:cs="Times New Roman"/>
        </w:rPr>
        <w:t>.</w:t>
      </w:r>
    </w:p>
    <w:p w14:paraId="3E6D4DBC" w14:textId="77777777" w:rsidR="00124A1D" w:rsidRPr="00124A1D" w:rsidRDefault="00124A1D" w:rsidP="00124A1D">
      <w:pPr>
        <w:spacing w:line="360" w:lineRule="auto"/>
        <w:rPr>
          <w:rFonts w:ascii="Times New Roman" w:hAnsi="Times New Roman" w:cs="Times New Roman"/>
          <w:b/>
          <w:bCs/>
        </w:rPr>
      </w:pPr>
      <w:r>
        <w:rPr>
          <w:rFonts w:ascii="Times New Roman" w:hAnsi="Times New Roman" w:cs="Times New Roman"/>
        </w:rPr>
        <w:t xml:space="preserve">1.3 </w:t>
      </w:r>
      <w:r w:rsidRPr="00124A1D">
        <w:rPr>
          <w:rFonts w:ascii="Times New Roman" w:hAnsi="Times New Roman" w:cs="Times New Roman"/>
        </w:rPr>
        <w:t>The Compensation Framework</w:t>
      </w:r>
    </w:p>
    <w:p w14:paraId="024C0CDA" w14:textId="77777777" w:rsidR="00124A1D" w:rsidRPr="00124A1D" w:rsidRDefault="00124A1D" w:rsidP="00124A1D">
      <w:pPr>
        <w:spacing w:line="360" w:lineRule="auto"/>
        <w:rPr>
          <w:rFonts w:ascii="Times New Roman" w:hAnsi="Times New Roman" w:cs="Times New Roman"/>
        </w:rPr>
      </w:pPr>
      <w:r w:rsidRPr="00124A1D">
        <w:rPr>
          <w:rFonts w:ascii="Times New Roman" w:hAnsi="Times New Roman" w:cs="Times New Roman"/>
        </w:rPr>
        <w:t>Recognizing that medical costs are the primary barrier to survival, the Court established a mandatory compensation scheme:</w:t>
      </w:r>
    </w:p>
    <w:p w14:paraId="3A95BBB9" w14:textId="77777777" w:rsidR="00124A1D" w:rsidRPr="00124A1D" w:rsidRDefault="00124A1D" w:rsidP="00124A1D">
      <w:pPr>
        <w:numPr>
          <w:ilvl w:val="0"/>
          <w:numId w:val="18"/>
        </w:numPr>
        <w:spacing w:line="360" w:lineRule="auto"/>
        <w:rPr>
          <w:rFonts w:ascii="Times New Roman" w:hAnsi="Times New Roman" w:cs="Times New Roman"/>
        </w:rPr>
      </w:pPr>
      <w:r w:rsidRPr="00124A1D">
        <w:rPr>
          <w:rFonts w:ascii="Times New Roman" w:hAnsi="Times New Roman" w:cs="Times New Roman"/>
        </w:rPr>
        <w:t>Minimum Quantum</w:t>
      </w:r>
      <w:r w:rsidRPr="00124A1D">
        <w:rPr>
          <w:rFonts w:ascii="Times New Roman" w:hAnsi="Times New Roman" w:cs="Times New Roman"/>
          <w:b/>
          <w:bCs/>
        </w:rPr>
        <w:t>:</w:t>
      </w:r>
      <w:r w:rsidRPr="00124A1D">
        <w:rPr>
          <w:rFonts w:ascii="Times New Roman" w:hAnsi="Times New Roman" w:cs="Times New Roman"/>
        </w:rPr>
        <w:t xml:space="preserve"> The Court directed all States and Union Territories to pay a minimum compensation of ₹3 Lakhs per survivor.</w:t>
      </w:r>
    </w:p>
    <w:p w14:paraId="1D4F685A" w14:textId="77777777" w:rsidR="00124A1D" w:rsidRPr="00124A1D" w:rsidRDefault="00124A1D" w:rsidP="00124A1D">
      <w:pPr>
        <w:numPr>
          <w:ilvl w:val="0"/>
          <w:numId w:val="18"/>
        </w:numPr>
        <w:spacing w:line="360" w:lineRule="auto"/>
        <w:rPr>
          <w:rFonts w:ascii="Times New Roman" w:hAnsi="Times New Roman" w:cs="Times New Roman"/>
        </w:rPr>
      </w:pPr>
      <w:r w:rsidRPr="00124A1D">
        <w:rPr>
          <w:rFonts w:ascii="Times New Roman" w:hAnsi="Times New Roman" w:cs="Times New Roman"/>
        </w:rPr>
        <w:t>Immediate Relief</w:t>
      </w:r>
      <w:r w:rsidRPr="00124A1D">
        <w:rPr>
          <w:rFonts w:ascii="Times New Roman" w:hAnsi="Times New Roman" w:cs="Times New Roman"/>
          <w:b/>
          <w:bCs/>
        </w:rPr>
        <w:t>:</w:t>
      </w:r>
      <w:r w:rsidRPr="00124A1D">
        <w:rPr>
          <w:rFonts w:ascii="Times New Roman" w:hAnsi="Times New Roman" w:cs="Times New Roman"/>
        </w:rPr>
        <w:t xml:space="preserve"> To ensure the survivor is not denied emergency care, ₹1 Lakh must be paid within 15 days of the incident. The remaining ₹2 Lakhs must be disbursed within two months thereafter.</w:t>
      </w:r>
    </w:p>
    <w:p w14:paraId="0A62FB66" w14:textId="4B383E3B" w:rsidR="00124A1D" w:rsidRDefault="00124A1D" w:rsidP="00124A1D">
      <w:pPr>
        <w:numPr>
          <w:ilvl w:val="0"/>
          <w:numId w:val="18"/>
        </w:numPr>
        <w:spacing w:line="360" w:lineRule="auto"/>
        <w:rPr>
          <w:rFonts w:ascii="Times New Roman" w:hAnsi="Times New Roman" w:cs="Times New Roman"/>
        </w:rPr>
      </w:pPr>
      <w:r w:rsidRPr="00124A1D">
        <w:rPr>
          <w:rFonts w:ascii="Times New Roman" w:hAnsi="Times New Roman" w:cs="Times New Roman"/>
        </w:rPr>
        <w:t xml:space="preserve">Non-contingent Nature: Crucially, this compensation is not dependent on the conviction of the attacker; it is a </w:t>
      </w:r>
      <w:r w:rsidRPr="00124A1D">
        <w:rPr>
          <w:rFonts w:ascii="Times New Roman" w:hAnsi="Times New Roman" w:cs="Times New Roman"/>
        </w:rPr>
        <w:t>state</w:t>
      </w:r>
      <w:r w:rsidRPr="00124A1D">
        <w:rPr>
          <w:rFonts w:ascii="Times New Roman" w:hAnsi="Times New Roman" w:cs="Times New Roman"/>
        </w:rPr>
        <w:t xml:space="preserve"> obligation arising from the failure to protect the citizen.</w:t>
      </w:r>
    </w:p>
    <w:p w14:paraId="62278FB4" w14:textId="77777777" w:rsidR="00124A1D" w:rsidRPr="00124A1D" w:rsidRDefault="00124A1D" w:rsidP="00124A1D">
      <w:pPr>
        <w:spacing w:line="360" w:lineRule="auto"/>
        <w:rPr>
          <w:rFonts w:ascii="Times New Roman" w:hAnsi="Times New Roman" w:cs="Times New Roman"/>
          <w:b/>
          <w:bCs/>
        </w:rPr>
      </w:pPr>
      <w:r>
        <w:rPr>
          <w:rFonts w:ascii="Times New Roman" w:hAnsi="Times New Roman" w:cs="Times New Roman"/>
        </w:rPr>
        <w:t>1.</w:t>
      </w:r>
      <w:r w:rsidRPr="00124A1D">
        <w:rPr>
          <w:rFonts w:ascii="Times New Roman" w:hAnsi="Times New Roman" w:cs="Times New Roman"/>
        </w:rPr>
        <w:t xml:space="preserve">4 </w:t>
      </w:r>
      <w:r w:rsidRPr="00124A1D">
        <w:rPr>
          <w:rFonts w:ascii="Times New Roman" w:hAnsi="Times New Roman" w:cs="Times New Roman"/>
        </w:rPr>
        <w:t>Mandatory Medical Assistance</w:t>
      </w:r>
    </w:p>
    <w:p w14:paraId="22C0DFDB" w14:textId="77777777" w:rsidR="00124A1D" w:rsidRPr="00124A1D" w:rsidRDefault="00124A1D" w:rsidP="00124A1D">
      <w:pPr>
        <w:spacing w:line="360" w:lineRule="auto"/>
        <w:rPr>
          <w:rFonts w:ascii="Times New Roman" w:hAnsi="Times New Roman" w:cs="Times New Roman"/>
        </w:rPr>
      </w:pPr>
      <w:r w:rsidRPr="00124A1D">
        <w:rPr>
          <w:rFonts w:ascii="Times New Roman" w:hAnsi="Times New Roman" w:cs="Times New Roman"/>
        </w:rPr>
        <w:t>The Court issued a "No-Refusal" policy for medical institutions:</w:t>
      </w:r>
    </w:p>
    <w:p w14:paraId="5C58AAE0" w14:textId="77777777" w:rsidR="00124A1D" w:rsidRPr="00124A1D" w:rsidRDefault="00124A1D" w:rsidP="00124A1D">
      <w:pPr>
        <w:numPr>
          <w:ilvl w:val="0"/>
          <w:numId w:val="19"/>
        </w:numPr>
        <w:spacing w:line="360" w:lineRule="auto"/>
        <w:rPr>
          <w:rFonts w:ascii="Times New Roman" w:hAnsi="Times New Roman" w:cs="Times New Roman"/>
        </w:rPr>
      </w:pPr>
      <w:r w:rsidRPr="00124A1D">
        <w:rPr>
          <w:rFonts w:ascii="Times New Roman" w:hAnsi="Times New Roman" w:cs="Times New Roman"/>
        </w:rPr>
        <w:t>Free Treatment: Both public and private hospitals are legally bound to provide free medical treatment to acid attack survivors, including medicines, bed, and reconstructive surgeries.</w:t>
      </w:r>
    </w:p>
    <w:p w14:paraId="50A036CE" w14:textId="77777777" w:rsidR="00124A1D" w:rsidRPr="00124A1D" w:rsidRDefault="00124A1D" w:rsidP="00124A1D">
      <w:pPr>
        <w:numPr>
          <w:ilvl w:val="0"/>
          <w:numId w:val="19"/>
        </w:numPr>
        <w:spacing w:line="360" w:lineRule="auto"/>
        <w:rPr>
          <w:rFonts w:ascii="Times New Roman" w:hAnsi="Times New Roman" w:cs="Times New Roman"/>
        </w:rPr>
      </w:pPr>
      <w:r w:rsidRPr="00124A1D">
        <w:rPr>
          <w:rFonts w:ascii="Times New Roman" w:hAnsi="Times New Roman" w:cs="Times New Roman"/>
        </w:rPr>
        <w:t>First-Aid Priority</w:t>
      </w:r>
      <w:r w:rsidRPr="00124A1D">
        <w:rPr>
          <w:rFonts w:ascii="Times New Roman" w:hAnsi="Times New Roman" w:cs="Times New Roman"/>
          <w:b/>
          <w:bCs/>
        </w:rPr>
        <w:t>:</w:t>
      </w:r>
      <w:r w:rsidRPr="00124A1D">
        <w:rPr>
          <w:rFonts w:ascii="Times New Roman" w:hAnsi="Times New Roman" w:cs="Times New Roman"/>
        </w:rPr>
        <w:t xml:space="preserve"> Hospitals cannot turn away victims citing a lack of specialized facilities. They must stabilize the victim and provide a Medical Certificate of the attack before any transfer.</w:t>
      </w:r>
    </w:p>
    <w:p w14:paraId="2D63581A" w14:textId="77777777" w:rsidR="00124A1D" w:rsidRDefault="00124A1D" w:rsidP="00124A1D">
      <w:pPr>
        <w:numPr>
          <w:ilvl w:val="0"/>
          <w:numId w:val="19"/>
        </w:numPr>
        <w:spacing w:line="360" w:lineRule="auto"/>
        <w:rPr>
          <w:rFonts w:ascii="Times New Roman" w:hAnsi="Times New Roman" w:cs="Times New Roman"/>
        </w:rPr>
      </w:pPr>
      <w:r w:rsidRPr="00124A1D">
        <w:rPr>
          <w:rFonts w:ascii="Times New Roman" w:hAnsi="Times New Roman" w:cs="Times New Roman"/>
        </w:rPr>
        <w:lastRenderedPageBreak/>
        <w:t>Penal Consequences</w:t>
      </w:r>
      <w:r w:rsidRPr="00124A1D">
        <w:rPr>
          <w:rFonts w:ascii="Times New Roman" w:hAnsi="Times New Roman" w:cs="Times New Roman"/>
          <w:b/>
          <w:bCs/>
        </w:rPr>
        <w:t>:</w:t>
      </w:r>
      <w:r w:rsidRPr="00124A1D">
        <w:rPr>
          <w:rFonts w:ascii="Times New Roman" w:hAnsi="Times New Roman" w:cs="Times New Roman"/>
        </w:rPr>
        <w:t xml:space="preserve"> Refusal to treat is now a punishable offense under Section 357C of the CrPC (now mirrored in the BNS).</w:t>
      </w:r>
    </w:p>
    <w:p w14:paraId="55BDCEDA" w14:textId="3C676897" w:rsidR="00124A1D" w:rsidRPr="004A2D11" w:rsidRDefault="00260CF3" w:rsidP="00124A1D">
      <w:pPr>
        <w:spacing w:line="360" w:lineRule="auto"/>
        <w:rPr>
          <w:rFonts w:ascii="Times New Roman" w:hAnsi="Times New Roman" w:cs="Times New Roman"/>
          <w:b/>
          <w:bCs/>
          <w:sz w:val="28"/>
          <w:szCs w:val="28"/>
        </w:rPr>
      </w:pPr>
      <w:r w:rsidRPr="004A2D11">
        <w:rPr>
          <w:rFonts w:ascii="Times New Roman" w:hAnsi="Times New Roman" w:cs="Times New Roman"/>
          <w:b/>
          <w:bCs/>
          <w:sz w:val="28"/>
          <w:szCs w:val="28"/>
        </w:rPr>
        <w:t>LEGISLATIVE TRANSFORMATION: THE CRIMINAL LAW ACT, 2013</w:t>
      </w:r>
    </w:p>
    <w:p w14:paraId="14718C3B" w14:textId="631D614A" w:rsidR="00260CF3" w:rsidRDefault="00260CF3" w:rsidP="00260CF3">
      <w:pPr>
        <w:spacing w:line="360" w:lineRule="auto"/>
        <w:rPr>
          <w:rFonts w:ascii="Times New Roman" w:hAnsi="Times New Roman" w:cs="Times New Roman"/>
        </w:rPr>
      </w:pPr>
      <w:r w:rsidRPr="00260CF3">
        <w:rPr>
          <w:rFonts w:ascii="Times New Roman" w:hAnsi="Times New Roman" w:cs="Times New Roman"/>
        </w:rPr>
        <w:t>The 2013 Amendment, often referred to as the Post-Damini/Nirbhaya reforms, marked a tectonic shift in Indian criminal jurisprudence. It was the first time the legislature formally recognized acid violence as a distinct, specialized category of crime, moving it out of the shadow of general "grievous hurt" provisions</w:t>
      </w:r>
      <w:r w:rsidRPr="00260CF3">
        <w:rPr>
          <w:rFonts w:ascii="Times New Roman" w:hAnsi="Times New Roman" w:cs="Times New Roman"/>
        </w:rPr>
        <w:t>.</w:t>
      </w:r>
    </w:p>
    <w:p w14:paraId="2E3BF376" w14:textId="77777777" w:rsidR="00260CF3" w:rsidRPr="00260CF3" w:rsidRDefault="00260CF3" w:rsidP="00260CF3">
      <w:pPr>
        <w:spacing w:line="360" w:lineRule="auto"/>
        <w:rPr>
          <w:rFonts w:ascii="Times New Roman" w:hAnsi="Times New Roman" w:cs="Times New Roman"/>
          <w:b/>
          <w:bCs/>
        </w:rPr>
      </w:pPr>
      <w:r>
        <w:rPr>
          <w:rFonts w:ascii="Times New Roman" w:hAnsi="Times New Roman" w:cs="Times New Roman"/>
        </w:rPr>
        <w:t>1.</w:t>
      </w:r>
      <w:r w:rsidRPr="00260CF3">
        <w:rPr>
          <w:rFonts w:ascii="Times New Roman" w:hAnsi="Times New Roman" w:cs="Times New Roman"/>
        </w:rPr>
        <w:t xml:space="preserve">1 </w:t>
      </w:r>
      <w:r w:rsidRPr="00260CF3">
        <w:rPr>
          <w:rFonts w:ascii="Times New Roman" w:hAnsi="Times New Roman" w:cs="Times New Roman"/>
        </w:rPr>
        <w:t>Codification of Sections 326A and 326B</w:t>
      </w:r>
    </w:p>
    <w:p w14:paraId="4CF7CF69"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introduction of these specific sections into the Indian Penal Code (IPC) addressed the "definition gap" that had long hampered the prosecution of attackers.</w:t>
      </w:r>
    </w:p>
    <w:p w14:paraId="59DCBBF2" w14:textId="77777777" w:rsidR="00260CF3" w:rsidRPr="00260CF3" w:rsidRDefault="00260CF3" w:rsidP="00260CF3">
      <w:pPr>
        <w:numPr>
          <w:ilvl w:val="0"/>
          <w:numId w:val="20"/>
        </w:numPr>
        <w:spacing w:line="360" w:lineRule="auto"/>
        <w:rPr>
          <w:rFonts w:ascii="Times New Roman" w:hAnsi="Times New Roman" w:cs="Times New Roman"/>
        </w:rPr>
      </w:pPr>
      <w:r w:rsidRPr="00260CF3">
        <w:rPr>
          <w:rFonts w:ascii="Times New Roman" w:hAnsi="Times New Roman" w:cs="Times New Roman"/>
        </w:rPr>
        <w:t>Section 326A (Voluntarily Causing Grievous Hurt by Use of Acid): This section criminalizes the act of throwing or administering acid with the intention of causing permanent or partial damage, deformity, or disfigurement. Crucially, the law defines "acid" broadly to include any substance which has acidic, corrosive, or burning nature capable of causing bodily injury.</w:t>
      </w:r>
    </w:p>
    <w:p w14:paraId="042313BA" w14:textId="00C4C964" w:rsidR="00260CF3" w:rsidRDefault="00260CF3" w:rsidP="00260CF3">
      <w:pPr>
        <w:numPr>
          <w:ilvl w:val="0"/>
          <w:numId w:val="20"/>
        </w:numPr>
        <w:spacing w:line="360" w:lineRule="auto"/>
        <w:rPr>
          <w:rFonts w:ascii="Times New Roman" w:hAnsi="Times New Roman" w:cs="Times New Roman"/>
        </w:rPr>
      </w:pPr>
      <w:r w:rsidRPr="00260CF3">
        <w:rPr>
          <w:rFonts w:ascii="Times New Roman" w:hAnsi="Times New Roman" w:cs="Times New Roman"/>
          <w:b/>
          <w:bCs/>
        </w:rPr>
        <w:t>S</w:t>
      </w:r>
      <w:r w:rsidRPr="00260CF3">
        <w:rPr>
          <w:rFonts w:ascii="Times New Roman" w:hAnsi="Times New Roman" w:cs="Times New Roman"/>
        </w:rPr>
        <w:t xml:space="preserve">ection 326B (Voluntarily Throwing or Attempting to Throw Acid): This is a </w:t>
      </w:r>
      <w:r w:rsidRPr="00260CF3">
        <w:rPr>
          <w:rFonts w:ascii="Times New Roman" w:hAnsi="Times New Roman" w:cs="Times New Roman"/>
        </w:rPr>
        <w:t>pre-emptive</w:t>
      </w:r>
      <w:r w:rsidRPr="00260CF3">
        <w:rPr>
          <w:rFonts w:ascii="Times New Roman" w:hAnsi="Times New Roman" w:cs="Times New Roman"/>
        </w:rPr>
        <w:t xml:space="preserve"> legal safeguard. It criminalizes the </w:t>
      </w:r>
      <w:r w:rsidRPr="00260CF3">
        <w:rPr>
          <w:rFonts w:ascii="Times New Roman" w:hAnsi="Times New Roman" w:cs="Times New Roman"/>
          <w:i/>
          <w:iCs/>
        </w:rPr>
        <w:t>attempt</w:t>
      </w:r>
      <w:r w:rsidRPr="00260CF3">
        <w:rPr>
          <w:rFonts w:ascii="Times New Roman" w:hAnsi="Times New Roman" w:cs="Times New Roman"/>
        </w:rPr>
        <w:t xml:space="preserve"> to throw acid, even if no actual physical injury is sustained. By penalizing the intent and the attempt, the law seeks to deter perpetrators before irreversible harm is inflicted.</w:t>
      </w:r>
    </w:p>
    <w:p w14:paraId="2A953985" w14:textId="77777777" w:rsidR="00260CF3" w:rsidRPr="00260CF3" w:rsidRDefault="00260CF3" w:rsidP="00260CF3">
      <w:pPr>
        <w:spacing w:line="360" w:lineRule="auto"/>
        <w:rPr>
          <w:rFonts w:ascii="Times New Roman" w:hAnsi="Times New Roman" w:cs="Times New Roman"/>
        </w:rPr>
      </w:pPr>
      <w:r>
        <w:rPr>
          <w:rFonts w:ascii="Times New Roman" w:hAnsi="Times New Roman" w:cs="Times New Roman"/>
        </w:rPr>
        <w:t xml:space="preserve">1.2 </w:t>
      </w:r>
      <w:r w:rsidRPr="00260CF3">
        <w:rPr>
          <w:rFonts w:ascii="Times New Roman" w:hAnsi="Times New Roman" w:cs="Times New Roman"/>
        </w:rPr>
        <w:t>Stringent Sentencing and Punishments</w:t>
      </w:r>
    </w:p>
    <w:p w14:paraId="39CC72F7"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2013 Act significantly escalated the cost of committing acid violence, ensuring that the punishment reflects the "social death" often forced upon survivors.</w:t>
      </w:r>
    </w:p>
    <w:p w14:paraId="73634ACA" w14:textId="77777777" w:rsidR="00260CF3" w:rsidRPr="00260CF3" w:rsidRDefault="00260CF3" w:rsidP="00260CF3">
      <w:pPr>
        <w:numPr>
          <w:ilvl w:val="0"/>
          <w:numId w:val="21"/>
        </w:numPr>
        <w:spacing w:line="360" w:lineRule="auto"/>
        <w:rPr>
          <w:rFonts w:ascii="Times New Roman" w:hAnsi="Times New Roman" w:cs="Times New Roman"/>
        </w:rPr>
      </w:pPr>
      <w:r w:rsidRPr="00260CF3">
        <w:rPr>
          <w:rFonts w:ascii="Times New Roman" w:hAnsi="Times New Roman" w:cs="Times New Roman"/>
        </w:rPr>
        <w:t>Mandatory Minimums: Under Section 326A, the punishment is imprisonment for a term which shall not be less than ten years, but which may extend to imprisonment for life, along with a fine.</w:t>
      </w:r>
    </w:p>
    <w:p w14:paraId="43391826" w14:textId="77777777" w:rsidR="00260CF3" w:rsidRPr="00260CF3" w:rsidRDefault="00260CF3" w:rsidP="00260CF3">
      <w:pPr>
        <w:numPr>
          <w:ilvl w:val="0"/>
          <w:numId w:val="21"/>
        </w:numPr>
        <w:spacing w:line="360" w:lineRule="auto"/>
        <w:rPr>
          <w:rFonts w:ascii="Times New Roman" w:hAnsi="Times New Roman" w:cs="Times New Roman"/>
        </w:rPr>
      </w:pPr>
      <w:r w:rsidRPr="00260CF3">
        <w:rPr>
          <w:rFonts w:ascii="Times New Roman" w:hAnsi="Times New Roman" w:cs="Times New Roman"/>
        </w:rPr>
        <w:t>Direct Restitution: The law stipulates that the fine imposed must be "just and reasonable" to meet the medical expenses of the treatment of the victim. Most importantly, the law mandates that this fine be paid directly to the victim to assist in their immediate rehabilitation.</w:t>
      </w:r>
    </w:p>
    <w:p w14:paraId="006051E2" w14:textId="504E984B" w:rsidR="00260CF3" w:rsidRDefault="00260CF3" w:rsidP="00260CF3">
      <w:pPr>
        <w:numPr>
          <w:ilvl w:val="0"/>
          <w:numId w:val="21"/>
        </w:numPr>
        <w:spacing w:line="360" w:lineRule="auto"/>
        <w:rPr>
          <w:rFonts w:ascii="Times New Roman" w:hAnsi="Times New Roman" w:cs="Times New Roman"/>
        </w:rPr>
      </w:pPr>
      <w:r w:rsidRPr="00260CF3">
        <w:rPr>
          <w:rFonts w:ascii="Times New Roman" w:hAnsi="Times New Roman" w:cs="Times New Roman"/>
        </w:rPr>
        <w:lastRenderedPageBreak/>
        <w:t>Non-Bailable Nature</w:t>
      </w:r>
      <w:r w:rsidRPr="00260CF3">
        <w:rPr>
          <w:rFonts w:ascii="Times New Roman" w:hAnsi="Times New Roman" w:cs="Times New Roman"/>
          <w:b/>
          <w:bCs/>
        </w:rPr>
        <w:t>:</w:t>
      </w:r>
      <w:r w:rsidRPr="00260CF3">
        <w:rPr>
          <w:rFonts w:ascii="Times New Roman" w:hAnsi="Times New Roman" w:cs="Times New Roman"/>
        </w:rPr>
        <w:t xml:space="preserve"> These offenses are classified as cognizable and non-bailable, ensuring that the accused cannot easily return to the community to intimidate the survivor during the trial.</w:t>
      </w:r>
    </w:p>
    <w:p w14:paraId="3AB71F44" w14:textId="5A6C4113" w:rsidR="00260CF3" w:rsidRPr="00260CF3" w:rsidRDefault="00260CF3" w:rsidP="00260CF3">
      <w:pPr>
        <w:spacing w:line="360" w:lineRule="auto"/>
        <w:rPr>
          <w:rFonts w:ascii="Times New Roman" w:hAnsi="Times New Roman" w:cs="Times New Roman"/>
          <w:b/>
          <w:bCs/>
        </w:rPr>
      </w:pPr>
      <w:r>
        <w:rPr>
          <w:rFonts w:ascii="Times New Roman" w:hAnsi="Times New Roman" w:cs="Times New Roman"/>
        </w:rPr>
        <w:t xml:space="preserve">1.3 </w:t>
      </w:r>
      <w:r w:rsidRPr="00260CF3">
        <w:rPr>
          <w:rFonts w:ascii="Times New Roman" w:hAnsi="Times New Roman" w:cs="Times New Roman"/>
        </w:rPr>
        <w:t>Legal Importance and Jurisprudential Shift</w:t>
      </w:r>
    </w:p>
    <w:p w14:paraId="1E374B72" w14:textId="69092E4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importance of the 2013 Amendment extends beyond mere sentencing; it represents a fundamental change in the State's approach to gender-based violence.</w:t>
      </w:r>
    </w:p>
    <w:p w14:paraId="4A5622CA" w14:textId="135B9236" w:rsidR="00260CF3" w:rsidRPr="00260CF3" w:rsidRDefault="00260CF3" w:rsidP="00260CF3">
      <w:pPr>
        <w:numPr>
          <w:ilvl w:val="0"/>
          <w:numId w:val="22"/>
        </w:numPr>
        <w:spacing w:line="360" w:lineRule="auto"/>
        <w:rPr>
          <w:rFonts w:ascii="Times New Roman" w:hAnsi="Times New Roman" w:cs="Times New Roman"/>
        </w:rPr>
      </w:pPr>
      <w:r w:rsidRPr="00260CF3">
        <w:rPr>
          <w:rFonts w:ascii="Times New Roman" w:hAnsi="Times New Roman" w:cs="Times New Roman"/>
        </w:rPr>
        <w:t>Recognition of Gendered Terror: By creating specific sections, the law acknowledges that acid attacks are frequently used as tools of patriarchal control and "hono</w:t>
      </w:r>
      <w:r>
        <w:rPr>
          <w:rFonts w:ascii="Times New Roman" w:hAnsi="Times New Roman" w:cs="Times New Roman"/>
        </w:rPr>
        <w:t>u</w:t>
      </w:r>
      <w:r w:rsidRPr="00260CF3">
        <w:rPr>
          <w:rFonts w:ascii="Times New Roman" w:hAnsi="Times New Roman" w:cs="Times New Roman"/>
        </w:rPr>
        <w:t>r-based" revenge.</w:t>
      </w:r>
    </w:p>
    <w:p w14:paraId="65817912" w14:textId="5C54B872" w:rsidR="00260CF3" w:rsidRPr="00260CF3" w:rsidRDefault="00260CF3" w:rsidP="00260CF3">
      <w:pPr>
        <w:numPr>
          <w:ilvl w:val="0"/>
          <w:numId w:val="22"/>
        </w:numPr>
        <w:spacing w:line="360" w:lineRule="auto"/>
        <w:rPr>
          <w:rFonts w:ascii="Times New Roman" w:hAnsi="Times New Roman" w:cs="Times New Roman"/>
        </w:rPr>
      </w:pPr>
      <w:r w:rsidRPr="00260CF3">
        <w:rPr>
          <w:rFonts w:ascii="Times New Roman" w:hAnsi="Times New Roman" w:cs="Times New Roman"/>
        </w:rPr>
        <w:t>Evidentiary Ease: Before these sections, prosecutors struggled to prove "grievous hurt" if the physical wounds healed partially. Now, the mere use of acid as a medium is enough to trigger the stringent provisions of 326A.</w:t>
      </w:r>
    </w:p>
    <w:p w14:paraId="330E91A3" w14:textId="46ABC029" w:rsidR="00260CF3" w:rsidRDefault="00260CF3" w:rsidP="00260CF3">
      <w:pPr>
        <w:numPr>
          <w:ilvl w:val="0"/>
          <w:numId w:val="22"/>
        </w:numPr>
        <w:spacing w:line="360" w:lineRule="auto"/>
        <w:rPr>
          <w:rFonts w:ascii="Times New Roman" w:hAnsi="Times New Roman" w:cs="Times New Roman"/>
        </w:rPr>
      </w:pPr>
      <w:r w:rsidRPr="00260CF3">
        <w:rPr>
          <w:rFonts w:ascii="Times New Roman" w:hAnsi="Times New Roman" w:cs="Times New Roman"/>
        </w:rPr>
        <w:t>Shift to Survivor-Centric Law: The inclusion of mandatory medical expenses within the sentencing phase marks a move toward "Restorative Justice," where the legal outcome prioritizes the survival and healing of the victim over the mere incarceration of the criminal.</w:t>
      </w:r>
    </w:p>
    <w:p w14:paraId="3086E9D5" w14:textId="75C38C64" w:rsidR="00260CF3" w:rsidRPr="00260CF3" w:rsidRDefault="00260CF3" w:rsidP="00260CF3">
      <w:pPr>
        <w:spacing w:line="360" w:lineRule="auto"/>
        <w:rPr>
          <w:rFonts w:ascii="Times New Roman" w:hAnsi="Times New Roman" w:cs="Times New Roman"/>
        </w:rPr>
      </w:pPr>
      <w:r>
        <w:rPr>
          <w:rFonts w:ascii="Times New Roman" w:hAnsi="Times New Roman" w:cs="Times New Roman"/>
        </w:rPr>
        <w:t xml:space="preserve">1.4 </w:t>
      </w:r>
      <w:r w:rsidRPr="00260CF3">
        <w:rPr>
          <w:rFonts w:ascii="Times New Roman" w:hAnsi="Times New Roman" w:cs="Times New Roman"/>
        </w:rPr>
        <w:t>Conclusion</w:t>
      </w:r>
    </w:p>
    <w:p w14:paraId="42C56593" w14:textId="34261CE4"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Criminal Law (Amendment) Act, 2013, effectively closed the "protection vacuum" that existed during the Laxmi v. Union of India proceedings. It provided the judiciary with the specific statutory teeth required to transform the Supreme Court's directives into a permanent legislative reality.</w:t>
      </w:r>
    </w:p>
    <w:p w14:paraId="305286E2" w14:textId="7A5B2955" w:rsidR="00260CF3" w:rsidRPr="00260CF3" w:rsidRDefault="00260CF3" w:rsidP="00260CF3">
      <w:pPr>
        <w:spacing w:line="360" w:lineRule="auto"/>
        <w:rPr>
          <w:rFonts w:ascii="Times New Roman" w:hAnsi="Times New Roman" w:cs="Times New Roman"/>
        </w:rPr>
      </w:pPr>
    </w:p>
    <w:p w14:paraId="3F8A43DC" w14:textId="50716034" w:rsidR="00260CF3" w:rsidRPr="00260CF3" w:rsidRDefault="00260CF3" w:rsidP="00260CF3">
      <w:pPr>
        <w:spacing w:line="360" w:lineRule="auto"/>
        <w:rPr>
          <w:rFonts w:ascii="Times New Roman" w:hAnsi="Times New Roman" w:cs="Times New Roman"/>
        </w:rPr>
      </w:pPr>
    </w:p>
    <w:p w14:paraId="6B5A2627" w14:textId="3848E621" w:rsidR="00260CF3" w:rsidRPr="00260CF3" w:rsidRDefault="00260CF3" w:rsidP="00260CF3">
      <w:pPr>
        <w:spacing w:line="360" w:lineRule="auto"/>
        <w:rPr>
          <w:rFonts w:ascii="Times New Roman" w:hAnsi="Times New Roman" w:cs="Times New Roman"/>
        </w:rPr>
      </w:pPr>
    </w:p>
    <w:p w14:paraId="631A5904" w14:textId="6DBD44D7" w:rsidR="00260CF3" w:rsidRPr="00124A1D" w:rsidRDefault="00260CF3" w:rsidP="00260CF3">
      <w:pPr>
        <w:spacing w:line="360" w:lineRule="auto"/>
        <w:rPr>
          <w:rFonts w:ascii="Times New Roman" w:hAnsi="Times New Roman" w:cs="Times New Roman"/>
        </w:rPr>
      </w:pPr>
    </w:p>
    <w:p w14:paraId="0374CFDA" w14:textId="10BB7819" w:rsidR="00124A1D" w:rsidRPr="00124A1D" w:rsidRDefault="00146EB0" w:rsidP="00124A1D">
      <w:pPr>
        <w:spacing w:line="360" w:lineRule="auto"/>
        <w:rPr>
          <w:rFonts w:ascii="Times New Roman" w:hAnsi="Times New Roman" w:cs="Times New Roman"/>
        </w:rPr>
      </w:pPr>
      <w:r w:rsidRPr="00260CF3">
        <w:rPr>
          <w:rFonts w:ascii="Times New Roman" w:hAnsi="Times New Roman" w:cs="Times New Roman"/>
        </w:rPr>
        <w:drawing>
          <wp:anchor distT="0" distB="0" distL="114300" distR="114300" simplePos="0" relativeHeight="251660288" behindDoc="0" locked="0" layoutInCell="1" allowOverlap="1" wp14:anchorId="1DB5FA07" wp14:editId="032421DE">
            <wp:simplePos x="0" y="0"/>
            <wp:positionH relativeFrom="column">
              <wp:posOffset>1066627</wp:posOffset>
            </wp:positionH>
            <wp:positionV relativeFrom="paragraph">
              <wp:posOffset>-1258108</wp:posOffset>
            </wp:positionV>
            <wp:extent cx="3303905" cy="2327910"/>
            <wp:effectExtent l="0" t="0" r="0" b="0"/>
            <wp:wrapSquare wrapText="bothSides"/>
            <wp:docPr id="50184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0367" name=""/>
                    <pic:cNvPicPr/>
                  </pic:nvPicPr>
                  <pic:blipFill>
                    <a:blip r:embed="rId9">
                      <a:extLst>
                        <a:ext uri="{28A0092B-C50C-407E-A947-70E740481C1C}">
                          <a14:useLocalDpi xmlns:a14="http://schemas.microsoft.com/office/drawing/2010/main" val="0"/>
                        </a:ext>
                      </a:extLst>
                    </a:blip>
                    <a:stretch>
                      <a:fillRect/>
                    </a:stretch>
                  </pic:blipFill>
                  <pic:spPr>
                    <a:xfrm>
                      <a:off x="0" y="0"/>
                      <a:ext cx="3303905" cy="2327910"/>
                    </a:xfrm>
                    <a:prstGeom prst="rect">
                      <a:avLst/>
                    </a:prstGeom>
                  </pic:spPr>
                </pic:pic>
              </a:graphicData>
            </a:graphic>
            <wp14:sizeRelH relativeFrom="margin">
              <wp14:pctWidth>0</wp14:pctWidth>
            </wp14:sizeRelH>
            <wp14:sizeRelV relativeFrom="margin">
              <wp14:pctHeight>0</wp14:pctHeight>
            </wp14:sizeRelV>
          </wp:anchor>
        </w:drawing>
      </w:r>
      <w:r w:rsidR="00124A1D">
        <w:rPr>
          <w:rFonts w:ascii="Times New Roman" w:hAnsi="Times New Roman" w:cs="Times New Roman"/>
        </w:rPr>
        <w:t xml:space="preserve"> </w:t>
      </w:r>
    </w:p>
    <w:p w14:paraId="2A5C0D94" w14:textId="68C634E5" w:rsidR="00124A1D" w:rsidRPr="00124A1D" w:rsidRDefault="00260CF3" w:rsidP="00260CF3">
      <w:pPr>
        <w:tabs>
          <w:tab w:val="left" w:pos="2100"/>
        </w:tabs>
        <w:spacing w:line="360" w:lineRule="auto"/>
        <w:rPr>
          <w:rFonts w:ascii="Times New Roman" w:hAnsi="Times New Roman" w:cs="Times New Roman"/>
        </w:rPr>
      </w:pPr>
      <w:r>
        <w:rPr>
          <w:rFonts w:ascii="Times New Roman" w:hAnsi="Times New Roman" w:cs="Times New Roman"/>
        </w:rPr>
        <w:tab/>
      </w:r>
    </w:p>
    <w:p w14:paraId="2F3BD4F5" w14:textId="082B8C54" w:rsidR="00124A1D" w:rsidRPr="00124A1D" w:rsidRDefault="00124A1D" w:rsidP="00124A1D">
      <w:pPr>
        <w:spacing w:line="360" w:lineRule="auto"/>
        <w:rPr>
          <w:rFonts w:ascii="Times New Roman" w:hAnsi="Times New Roman" w:cs="Times New Roman"/>
        </w:rPr>
      </w:pPr>
    </w:p>
    <w:p w14:paraId="3C1EAA30" w14:textId="27D7AA39" w:rsidR="00C108A0" w:rsidRPr="004A2D11" w:rsidRDefault="00260CF3" w:rsidP="00260CF3">
      <w:pPr>
        <w:spacing w:line="360" w:lineRule="auto"/>
        <w:rPr>
          <w:rFonts w:ascii="Times New Roman" w:hAnsi="Times New Roman" w:cs="Times New Roman"/>
          <w:b/>
          <w:bCs/>
          <w:sz w:val="28"/>
          <w:szCs w:val="28"/>
        </w:rPr>
      </w:pPr>
      <w:r w:rsidRPr="004A2D11">
        <w:rPr>
          <w:rFonts w:ascii="Times New Roman" w:hAnsi="Times New Roman" w:cs="Times New Roman"/>
          <w:b/>
          <w:bCs/>
          <w:sz w:val="28"/>
          <w:szCs w:val="28"/>
        </w:rPr>
        <w:lastRenderedPageBreak/>
        <w:t>THE ADMINISTRATIVE BLUEPRINT: PROCEDURAL AND INSTITUTIONAL REFORMS</w:t>
      </w:r>
    </w:p>
    <w:p w14:paraId="50A45DE1" w14:textId="3D993414" w:rsidR="00260CF3" w:rsidRDefault="00260CF3" w:rsidP="00260CF3">
      <w:pPr>
        <w:spacing w:line="360" w:lineRule="auto"/>
        <w:rPr>
          <w:rFonts w:ascii="Times New Roman" w:hAnsi="Times New Roman" w:cs="Times New Roman"/>
          <w:sz w:val="28"/>
          <w:szCs w:val="28"/>
        </w:rPr>
      </w:pPr>
      <w:r w:rsidRPr="00260CF3">
        <w:rPr>
          <w:rFonts w:ascii="Times New Roman" w:hAnsi="Times New Roman" w:cs="Times New Roman"/>
        </w:rPr>
        <w:t xml:space="preserve">While the 2013 Amendment provided the legal muscle, the true victory for survivors lay in the subsequent procedural and administrative overhauls. These reforms were designed to dismantle the bureaucratic hurdles that </w:t>
      </w:r>
      <w:proofErr w:type="gramStart"/>
      <w:r w:rsidR="00146EB0" w:rsidRPr="00260CF3">
        <w:rPr>
          <w:rFonts w:ascii="Times New Roman" w:hAnsi="Times New Roman" w:cs="Times New Roman"/>
        </w:rPr>
        <w:t>often</w:t>
      </w:r>
      <w:r w:rsidR="00146EB0">
        <w:rPr>
          <w:rFonts w:ascii="Times New Roman" w:hAnsi="Times New Roman" w:cs="Times New Roman"/>
        </w:rPr>
        <w:t xml:space="preserve"> </w:t>
      </w:r>
      <w:r w:rsidR="00146EB0" w:rsidRPr="00260CF3">
        <w:rPr>
          <w:rFonts w:ascii="Times New Roman" w:hAnsi="Times New Roman" w:cs="Times New Roman"/>
        </w:rPr>
        <w:t>re-</w:t>
      </w:r>
      <w:proofErr w:type="gramEnd"/>
      <w:r w:rsidRPr="00260CF3">
        <w:rPr>
          <w:rFonts w:ascii="Times New Roman" w:hAnsi="Times New Roman" w:cs="Times New Roman"/>
        </w:rPr>
        <w:t>traumatized survivors during their pursuit of justice</w:t>
      </w:r>
      <w:r w:rsidRPr="00260CF3">
        <w:rPr>
          <w:rFonts w:ascii="Times New Roman" w:hAnsi="Times New Roman" w:cs="Times New Roman"/>
          <w:sz w:val="28"/>
          <w:szCs w:val="28"/>
        </w:rPr>
        <w:t>.</w:t>
      </w:r>
    </w:p>
    <w:p w14:paraId="462A4DE4" w14:textId="77777777" w:rsidR="00260CF3" w:rsidRPr="00260CF3" w:rsidRDefault="00260CF3" w:rsidP="00260CF3">
      <w:pPr>
        <w:spacing w:line="360" w:lineRule="auto"/>
        <w:rPr>
          <w:rFonts w:ascii="Times New Roman" w:hAnsi="Times New Roman" w:cs="Times New Roman"/>
          <w:b/>
          <w:bCs/>
        </w:rPr>
      </w:pPr>
      <w:r>
        <w:rPr>
          <w:rFonts w:ascii="Times New Roman" w:hAnsi="Times New Roman" w:cs="Times New Roman"/>
        </w:rPr>
        <w:t>1.</w:t>
      </w:r>
      <w:r w:rsidRPr="00260CF3">
        <w:rPr>
          <w:rFonts w:ascii="Times New Roman" w:hAnsi="Times New Roman" w:cs="Times New Roman"/>
        </w:rPr>
        <w:t xml:space="preserve">1 </w:t>
      </w:r>
      <w:r w:rsidRPr="00260CF3">
        <w:rPr>
          <w:rFonts w:ascii="Times New Roman" w:hAnsi="Times New Roman" w:cs="Times New Roman"/>
        </w:rPr>
        <w:t>Institutionalizing Victim-Friendly Procedures</w:t>
      </w:r>
    </w:p>
    <w:p w14:paraId="5FFAEBE8"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post-Laxmi era introduced a "Zero-Tolerance" approach to procedural delays.</w:t>
      </w:r>
    </w:p>
    <w:p w14:paraId="38391972" w14:textId="77777777" w:rsidR="00260CF3" w:rsidRPr="00260CF3" w:rsidRDefault="00260CF3" w:rsidP="00260CF3">
      <w:pPr>
        <w:numPr>
          <w:ilvl w:val="0"/>
          <w:numId w:val="23"/>
        </w:numPr>
        <w:spacing w:line="360" w:lineRule="auto"/>
        <w:rPr>
          <w:rFonts w:ascii="Times New Roman" w:hAnsi="Times New Roman" w:cs="Times New Roman"/>
        </w:rPr>
      </w:pPr>
      <w:r w:rsidRPr="00260CF3">
        <w:rPr>
          <w:rFonts w:ascii="Times New Roman" w:hAnsi="Times New Roman" w:cs="Times New Roman"/>
        </w:rPr>
        <w:t>Recording of Statements: Under Section 164(5A) of the CrPC (now carried forward in modern codes), the statement of an acid attack survivor must be recorded by a Judicial Magistrate. If the survivor is temporarily or permanently mentally or physically disabled, the statement must be recorded at their residence or a place of their choice, in the presence of an interpreter or special educator.</w:t>
      </w:r>
    </w:p>
    <w:p w14:paraId="0191EF0D" w14:textId="77777777" w:rsidR="00260CF3" w:rsidRDefault="00260CF3" w:rsidP="00260CF3">
      <w:pPr>
        <w:numPr>
          <w:ilvl w:val="0"/>
          <w:numId w:val="23"/>
        </w:numPr>
        <w:spacing w:line="360" w:lineRule="auto"/>
        <w:rPr>
          <w:rFonts w:ascii="Times New Roman" w:hAnsi="Times New Roman" w:cs="Times New Roman"/>
        </w:rPr>
      </w:pPr>
      <w:r w:rsidRPr="00260CF3">
        <w:rPr>
          <w:rFonts w:ascii="Times New Roman" w:hAnsi="Times New Roman" w:cs="Times New Roman"/>
        </w:rPr>
        <w:t>Confidentiality and Dignity: The law now mandates that trials for acid violence should, as far as possible, be conducted by a woman judge and in-camera to protect the survivor from public scrutiny and social stigma.</w:t>
      </w:r>
    </w:p>
    <w:p w14:paraId="0A023464" w14:textId="77777777" w:rsidR="00146EB0" w:rsidRDefault="00146EB0" w:rsidP="00260CF3">
      <w:pPr>
        <w:spacing w:line="360" w:lineRule="auto"/>
        <w:rPr>
          <w:rFonts w:ascii="Times New Roman" w:hAnsi="Times New Roman" w:cs="Times New Roman"/>
        </w:rPr>
      </w:pPr>
    </w:p>
    <w:p w14:paraId="01FDAFF9" w14:textId="73547465" w:rsidR="00260CF3" w:rsidRPr="00260CF3" w:rsidRDefault="00260CF3" w:rsidP="00260CF3">
      <w:pPr>
        <w:spacing w:line="360" w:lineRule="auto"/>
        <w:rPr>
          <w:rFonts w:ascii="Times New Roman" w:hAnsi="Times New Roman" w:cs="Times New Roman"/>
        </w:rPr>
      </w:pPr>
      <w:r>
        <w:rPr>
          <w:rFonts w:ascii="Times New Roman" w:hAnsi="Times New Roman" w:cs="Times New Roman"/>
        </w:rPr>
        <w:t xml:space="preserve">1.2 </w:t>
      </w:r>
      <w:r w:rsidRPr="00260CF3">
        <w:rPr>
          <w:rFonts w:ascii="Times New Roman" w:hAnsi="Times New Roman" w:cs="Times New Roman"/>
        </w:rPr>
        <w:t>Universal Access to Free Legal Aid</w:t>
      </w:r>
    </w:p>
    <w:p w14:paraId="7C549941"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Recognizing that acid attacks often target those from marginalized socio-economic backgrounds, the State strengthened the role of NALSA (National Legal Services Authority).</w:t>
      </w:r>
    </w:p>
    <w:p w14:paraId="54883C7D" w14:textId="77777777" w:rsidR="00260CF3" w:rsidRPr="00260CF3" w:rsidRDefault="00260CF3" w:rsidP="00260CF3">
      <w:pPr>
        <w:numPr>
          <w:ilvl w:val="0"/>
          <w:numId w:val="24"/>
        </w:numPr>
        <w:spacing w:line="360" w:lineRule="auto"/>
        <w:rPr>
          <w:rFonts w:ascii="Times New Roman" w:hAnsi="Times New Roman" w:cs="Times New Roman"/>
        </w:rPr>
      </w:pPr>
      <w:r w:rsidRPr="00260CF3">
        <w:rPr>
          <w:rFonts w:ascii="Times New Roman" w:hAnsi="Times New Roman" w:cs="Times New Roman"/>
        </w:rPr>
        <w:t>Mandatory Legal Representation: Every survivor is entitled to free, competent legal counsel from the moment the FIR is filed. Legal Aid Clinics have been established in major hospitals to ensure that the survivor’s family is not overwhelmed by legal paperwork while dealing with medical emergencies.</w:t>
      </w:r>
    </w:p>
    <w:p w14:paraId="09856B25" w14:textId="77777777" w:rsidR="00260CF3" w:rsidRPr="00260CF3" w:rsidRDefault="00260CF3" w:rsidP="00260CF3">
      <w:pPr>
        <w:numPr>
          <w:ilvl w:val="0"/>
          <w:numId w:val="24"/>
        </w:numPr>
        <w:spacing w:line="360" w:lineRule="auto"/>
        <w:rPr>
          <w:rFonts w:ascii="Times New Roman" w:hAnsi="Times New Roman" w:cs="Times New Roman"/>
        </w:rPr>
      </w:pPr>
      <w:r w:rsidRPr="00260CF3">
        <w:rPr>
          <w:rFonts w:ascii="Times New Roman" w:hAnsi="Times New Roman" w:cs="Times New Roman"/>
        </w:rPr>
        <w:t>Victim Advocacy: Legal aid is no longer just about the courtroom; it includes assisting the survivor in claiming the mandatory ₹3 Lakh compensation from the State Victim Compensation Fund.</w:t>
      </w:r>
    </w:p>
    <w:p w14:paraId="0EE76449" w14:textId="77777777" w:rsidR="00146EB0" w:rsidRDefault="00146EB0" w:rsidP="00260CF3">
      <w:pPr>
        <w:spacing w:line="360" w:lineRule="auto"/>
        <w:rPr>
          <w:rFonts w:ascii="Times New Roman" w:hAnsi="Times New Roman" w:cs="Times New Roman"/>
        </w:rPr>
      </w:pPr>
    </w:p>
    <w:p w14:paraId="583E73B9" w14:textId="396FBE61" w:rsidR="00260CF3" w:rsidRPr="00260CF3" w:rsidRDefault="00260CF3" w:rsidP="00260CF3">
      <w:pPr>
        <w:spacing w:line="360" w:lineRule="auto"/>
        <w:rPr>
          <w:rFonts w:ascii="Times New Roman" w:hAnsi="Times New Roman" w:cs="Times New Roman"/>
        </w:rPr>
      </w:pPr>
      <w:r>
        <w:rPr>
          <w:rFonts w:ascii="Times New Roman" w:hAnsi="Times New Roman" w:cs="Times New Roman"/>
        </w:rPr>
        <w:lastRenderedPageBreak/>
        <w:t xml:space="preserve">1.3 </w:t>
      </w:r>
      <w:r w:rsidRPr="00260CF3">
        <w:rPr>
          <w:rFonts w:ascii="Times New Roman" w:hAnsi="Times New Roman" w:cs="Times New Roman"/>
        </w:rPr>
        <w:t>Standardized Medical Protocols</w:t>
      </w:r>
    </w:p>
    <w:p w14:paraId="6EEA74B8"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 medical response was elevated from a "service" to a "statutory duty."</w:t>
      </w:r>
    </w:p>
    <w:p w14:paraId="338CA1FE" w14:textId="77777777" w:rsidR="00260CF3" w:rsidRPr="00260CF3" w:rsidRDefault="00260CF3" w:rsidP="00260CF3">
      <w:pPr>
        <w:numPr>
          <w:ilvl w:val="0"/>
          <w:numId w:val="25"/>
        </w:numPr>
        <w:spacing w:line="360" w:lineRule="auto"/>
        <w:rPr>
          <w:rFonts w:ascii="Times New Roman" w:hAnsi="Times New Roman" w:cs="Times New Roman"/>
        </w:rPr>
      </w:pPr>
      <w:r w:rsidRPr="00260CF3">
        <w:rPr>
          <w:rFonts w:ascii="Times New Roman" w:hAnsi="Times New Roman" w:cs="Times New Roman"/>
        </w:rPr>
        <w:t xml:space="preserve">The 'No-Refusal' Policy: Administrative directives now state that no hospital, public or private, can demand an advance payment or </w:t>
      </w:r>
      <w:proofErr w:type="gramStart"/>
      <w:r w:rsidRPr="00260CF3">
        <w:rPr>
          <w:rFonts w:ascii="Times New Roman" w:hAnsi="Times New Roman" w:cs="Times New Roman"/>
        </w:rPr>
        <w:t>a police</w:t>
      </w:r>
      <w:proofErr w:type="gramEnd"/>
      <w:r w:rsidRPr="00260CF3">
        <w:rPr>
          <w:rFonts w:ascii="Times New Roman" w:hAnsi="Times New Roman" w:cs="Times New Roman"/>
        </w:rPr>
        <w:t xml:space="preserve"> "No Objection Certificate" (NOC) before treating a survivor.</w:t>
      </w:r>
    </w:p>
    <w:p w14:paraId="352F5D86" w14:textId="77777777" w:rsidR="00260CF3" w:rsidRDefault="00260CF3" w:rsidP="00260CF3">
      <w:pPr>
        <w:numPr>
          <w:ilvl w:val="0"/>
          <w:numId w:val="25"/>
        </w:numPr>
        <w:spacing w:line="360" w:lineRule="auto"/>
        <w:rPr>
          <w:rFonts w:ascii="Times New Roman" w:hAnsi="Times New Roman" w:cs="Times New Roman"/>
        </w:rPr>
      </w:pPr>
      <w:r w:rsidRPr="00260CF3">
        <w:rPr>
          <w:rFonts w:ascii="Times New Roman" w:hAnsi="Times New Roman" w:cs="Times New Roman"/>
        </w:rPr>
        <w:t>The Golden Hour Protocol: Medical protocols were standardized to focus on immediate irrigation and specialized burn care. Hospitals are now required to maintain a dedicated "Burn Unit" log and provide all follow-up surgeries, including specialized ophthalmic and plastic surgeries, at no cost to the survivor.</w:t>
      </w:r>
    </w:p>
    <w:p w14:paraId="1AFBE30D" w14:textId="77777777" w:rsidR="00260CF3" w:rsidRPr="00260CF3" w:rsidRDefault="00260CF3" w:rsidP="00260CF3">
      <w:pPr>
        <w:spacing w:line="360" w:lineRule="auto"/>
        <w:rPr>
          <w:rFonts w:ascii="Times New Roman" w:hAnsi="Times New Roman" w:cs="Times New Roman"/>
        </w:rPr>
      </w:pPr>
      <w:r>
        <w:rPr>
          <w:rFonts w:ascii="Times New Roman" w:hAnsi="Times New Roman" w:cs="Times New Roman"/>
        </w:rPr>
        <w:t xml:space="preserve">1.4 </w:t>
      </w:r>
      <w:r w:rsidRPr="00260CF3">
        <w:rPr>
          <w:rFonts w:ascii="Times New Roman" w:hAnsi="Times New Roman" w:cs="Times New Roman"/>
        </w:rPr>
        <w:t>Enforcing Police Accountability</w:t>
      </w:r>
    </w:p>
    <w:p w14:paraId="4C4227D6" w14:textId="77777777"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A significant administrative shift was the introduction of penal consequences for police negligence.</w:t>
      </w:r>
    </w:p>
    <w:p w14:paraId="20FF2CD6" w14:textId="77777777" w:rsidR="00260CF3" w:rsidRPr="00260CF3" w:rsidRDefault="00260CF3" w:rsidP="00260CF3">
      <w:pPr>
        <w:numPr>
          <w:ilvl w:val="0"/>
          <w:numId w:val="26"/>
        </w:numPr>
        <w:spacing w:line="360" w:lineRule="auto"/>
        <w:rPr>
          <w:rFonts w:ascii="Times New Roman" w:hAnsi="Times New Roman" w:cs="Times New Roman"/>
        </w:rPr>
      </w:pPr>
      <w:r w:rsidRPr="00260CF3">
        <w:rPr>
          <w:rFonts w:ascii="Times New Roman" w:hAnsi="Times New Roman" w:cs="Times New Roman"/>
        </w:rPr>
        <w:t>Section 166A of the IPC: This section was introduced to hold public servants accountable. If a police officer fails to record any information given to them in relation to an acid attack, they can be punished with rigorous imprisonment.</w:t>
      </w:r>
    </w:p>
    <w:p w14:paraId="7867DD63" w14:textId="77777777" w:rsidR="00260CF3" w:rsidRDefault="00260CF3" w:rsidP="00260CF3">
      <w:pPr>
        <w:numPr>
          <w:ilvl w:val="0"/>
          <w:numId w:val="26"/>
        </w:numPr>
        <w:spacing w:line="360" w:lineRule="auto"/>
        <w:rPr>
          <w:rFonts w:ascii="Times New Roman" w:hAnsi="Times New Roman" w:cs="Times New Roman"/>
        </w:rPr>
      </w:pPr>
      <w:r w:rsidRPr="00260CF3">
        <w:rPr>
          <w:rFonts w:ascii="Times New Roman" w:hAnsi="Times New Roman" w:cs="Times New Roman"/>
        </w:rPr>
        <w:t>Time-Bound Investigations: Administrative guidelines now mandate that the investigation into an acid attack must be completed, and the chargesheet filed, within a strict timeframe (usually 60 days) to prevent the loss of forensic evidence and to ensure a speedy trial.</w:t>
      </w:r>
    </w:p>
    <w:p w14:paraId="23FDBEC3" w14:textId="1E511611" w:rsidR="00260CF3" w:rsidRPr="00260CF3" w:rsidRDefault="00260CF3" w:rsidP="00260CF3">
      <w:pPr>
        <w:spacing w:line="360" w:lineRule="auto"/>
        <w:rPr>
          <w:rFonts w:ascii="Times New Roman" w:hAnsi="Times New Roman" w:cs="Times New Roman"/>
        </w:rPr>
      </w:pPr>
      <w:r>
        <w:rPr>
          <w:rFonts w:ascii="Times New Roman" w:hAnsi="Times New Roman" w:cs="Times New Roman"/>
        </w:rPr>
        <w:t xml:space="preserve">1.5 </w:t>
      </w:r>
      <w:r w:rsidRPr="00260CF3">
        <w:rPr>
          <w:rFonts w:ascii="Times New Roman" w:hAnsi="Times New Roman" w:cs="Times New Roman"/>
        </w:rPr>
        <w:t>Conclusion</w:t>
      </w:r>
    </w:p>
    <w:p w14:paraId="588C0F29" w14:textId="0241EF40" w:rsidR="00260CF3" w:rsidRPr="00260CF3" w:rsidRDefault="00260CF3" w:rsidP="00260CF3">
      <w:pPr>
        <w:spacing w:line="360" w:lineRule="auto"/>
        <w:rPr>
          <w:rFonts w:ascii="Times New Roman" w:hAnsi="Times New Roman" w:cs="Times New Roman"/>
        </w:rPr>
      </w:pPr>
      <w:r w:rsidRPr="00260CF3">
        <w:rPr>
          <w:rFonts w:ascii="Times New Roman" w:hAnsi="Times New Roman" w:cs="Times New Roman"/>
        </w:rPr>
        <w:t>These procedural reforms represent the shift from "Law on Paper" to "Justice in Practice." By focusing on police accountability and medical protocols, the State has finally acknowledged that the recovery of an acid attack survivor is as much a matter of administrative efficiency as it is of medical science.</w:t>
      </w:r>
    </w:p>
    <w:p w14:paraId="5831C092" w14:textId="36842AC4" w:rsidR="00260CF3" w:rsidRPr="00260CF3" w:rsidRDefault="00146EB0" w:rsidP="00260CF3">
      <w:pPr>
        <w:spacing w:line="360" w:lineRule="auto"/>
        <w:rPr>
          <w:rFonts w:ascii="Times New Roman" w:hAnsi="Times New Roman" w:cs="Times New Roman"/>
        </w:rPr>
      </w:pPr>
      <w:r w:rsidRPr="004A2D11">
        <w:rPr>
          <w:rFonts w:ascii="Times New Roman" w:hAnsi="Times New Roman" w:cs="Times New Roman"/>
        </w:rPr>
        <w:drawing>
          <wp:anchor distT="0" distB="0" distL="114300" distR="114300" simplePos="0" relativeHeight="251663360" behindDoc="0" locked="0" layoutInCell="1" allowOverlap="1" wp14:anchorId="1A9EB6BC" wp14:editId="0EC07485">
            <wp:simplePos x="0" y="0"/>
            <wp:positionH relativeFrom="column">
              <wp:posOffset>504190</wp:posOffset>
            </wp:positionH>
            <wp:positionV relativeFrom="page">
              <wp:posOffset>8256732</wp:posOffset>
            </wp:positionV>
            <wp:extent cx="4336415" cy="2043430"/>
            <wp:effectExtent l="0" t="0" r="6985" b="0"/>
            <wp:wrapSquare wrapText="bothSides"/>
            <wp:docPr id="7266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359" name=""/>
                    <pic:cNvPicPr/>
                  </pic:nvPicPr>
                  <pic:blipFill>
                    <a:blip r:embed="rId10">
                      <a:extLst>
                        <a:ext uri="{28A0092B-C50C-407E-A947-70E740481C1C}">
                          <a14:useLocalDpi xmlns:a14="http://schemas.microsoft.com/office/drawing/2010/main" val="0"/>
                        </a:ext>
                      </a:extLst>
                    </a:blip>
                    <a:stretch>
                      <a:fillRect/>
                    </a:stretch>
                  </pic:blipFill>
                  <pic:spPr>
                    <a:xfrm>
                      <a:off x="0" y="0"/>
                      <a:ext cx="4336415" cy="2043430"/>
                    </a:xfrm>
                    <a:prstGeom prst="rect">
                      <a:avLst/>
                    </a:prstGeom>
                  </pic:spPr>
                </pic:pic>
              </a:graphicData>
            </a:graphic>
            <wp14:sizeRelH relativeFrom="margin">
              <wp14:pctWidth>0</wp14:pctWidth>
            </wp14:sizeRelH>
            <wp14:sizeRelV relativeFrom="margin">
              <wp14:pctHeight>0</wp14:pctHeight>
            </wp14:sizeRelV>
          </wp:anchor>
        </w:drawing>
      </w:r>
    </w:p>
    <w:p w14:paraId="11DC51B4" w14:textId="0886ACC2" w:rsidR="00260CF3" w:rsidRPr="00260CF3" w:rsidRDefault="00260CF3" w:rsidP="00260CF3">
      <w:pPr>
        <w:spacing w:line="360" w:lineRule="auto"/>
        <w:rPr>
          <w:rFonts w:ascii="Times New Roman" w:hAnsi="Times New Roman" w:cs="Times New Roman"/>
        </w:rPr>
      </w:pPr>
    </w:p>
    <w:p w14:paraId="2E678A74" w14:textId="5CFFC099" w:rsidR="00260CF3" w:rsidRPr="00260CF3" w:rsidRDefault="00260CF3" w:rsidP="00260CF3">
      <w:pPr>
        <w:spacing w:line="360" w:lineRule="auto"/>
        <w:rPr>
          <w:rFonts w:ascii="Times New Roman" w:hAnsi="Times New Roman" w:cs="Times New Roman"/>
        </w:rPr>
      </w:pPr>
    </w:p>
    <w:p w14:paraId="41E09A72" w14:textId="7D7CAB7E" w:rsidR="00F80DF6" w:rsidRPr="004A2D11" w:rsidRDefault="003836E7" w:rsidP="00F80DF6">
      <w:pPr>
        <w:rPr>
          <w:rFonts w:ascii="Times New Roman" w:hAnsi="Times New Roman" w:cs="Times New Roman"/>
          <w:b/>
          <w:bCs/>
          <w:sz w:val="28"/>
          <w:szCs w:val="28"/>
        </w:rPr>
      </w:pPr>
      <w:r w:rsidRPr="004A2D11">
        <w:rPr>
          <w:rFonts w:ascii="Times New Roman" w:hAnsi="Times New Roman" w:cs="Times New Roman"/>
          <w:b/>
          <w:bCs/>
          <w:sz w:val="28"/>
          <w:szCs w:val="28"/>
        </w:rPr>
        <w:lastRenderedPageBreak/>
        <w:t>SOCIO-LEGAL TRANSFORMATION: IMPACT AND PERSISTENT CHALLENGES</w:t>
      </w:r>
    </w:p>
    <w:p w14:paraId="3B335377" w14:textId="02BE07DD" w:rsidR="003836E7" w:rsidRDefault="003836E7" w:rsidP="003836E7">
      <w:pPr>
        <w:spacing w:line="360" w:lineRule="auto"/>
        <w:rPr>
          <w:rFonts w:ascii="Times New Roman" w:hAnsi="Times New Roman" w:cs="Times New Roman"/>
          <w:sz w:val="28"/>
          <w:szCs w:val="28"/>
        </w:rPr>
      </w:pPr>
      <w:r w:rsidRPr="003836E7">
        <w:rPr>
          <w:rFonts w:ascii="Times New Roman" w:hAnsi="Times New Roman" w:cs="Times New Roman"/>
        </w:rPr>
        <w:t xml:space="preserve">The journey of the Laxmi Agarwal petition transcended the courtroom, sparking a national dialogue that fundamentally altered the social and legal landscape of India. This section examines how the "Laxmi Effect" </w:t>
      </w:r>
      <w:r w:rsidRPr="003836E7">
        <w:rPr>
          <w:rFonts w:ascii="Times New Roman" w:hAnsi="Times New Roman" w:cs="Times New Roman"/>
        </w:rPr>
        <w:t>catalysed</w:t>
      </w:r>
      <w:r w:rsidRPr="003836E7">
        <w:rPr>
          <w:rFonts w:ascii="Times New Roman" w:hAnsi="Times New Roman" w:cs="Times New Roman"/>
        </w:rPr>
        <w:t xml:space="preserve"> a shift from societal silence to proactive advocacy</w:t>
      </w:r>
      <w:r w:rsidRPr="003836E7">
        <w:rPr>
          <w:rFonts w:ascii="Times New Roman" w:hAnsi="Times New Roman" w:cs="Times New Roman"/>
          <w:sz w:val="28"/>
          <w:szCs w:val="28"/>
        </w:rPr>
        <w:t>.</w:t>
      </w:r>
    </w:p>
    <w:p w14:paraId="0B10F940" w14:textId="4DD95DB5" w:rsidR="003836E7" w:rsidRPr="003836E7" w:rsidRDefault="003836E7" w:rsidP="003836E7">
      <w:pPr>
        <w:spacing w:line="360" w:lineRule="auto"/>
        <w:rPr>
          <w:rFonts w:ascii="Times New Roman" w:hAnsi="Times New Roman" w:cs="Times New Roman"/>
          <w:b/>
          <w:bCs/>
        </w:rPr>
      </w:pPr>
      <w:r>
        <w:rPr>
          <w:rFonts w:ascii="Times New Roman" w:hAnsi="Times New Roman" w:cs="Times New Roman"/>
        </w:rPr>
        <w:t xml:space="preserve">1.1 </w:t>
      </w:r>
      <w:r w:rsidRPr="003836E7">
        <w:rPr>
          <w:rFonts w:ascii="Times New Roman" w:hAnsi="Times New Roman" w:cs="Times New Roman"/>
        </w:rPr>
        <w:t>The Surge in Public Awareness and Sensitivity</w:t>
      </w:r>
    </w:p>
    <w:p w14:paraId="2536C054" w14:textId="38FA5C2B" w:rsidR="003836E7" w:rsidRPr="003836E7" w:rsidRDefault="003836E7" w:rsidP="003836E7">
      <w:pPr>
        <w:spacing w:line="360" w:lineRule="auto"/>
        <w:rPr>
          <w:rFonts w:ascii="Times New Roman" w:hAnsi="Times New Roman" w:cs="Times New Roman"/>
        </w:rPr>
      </w:pPr>
      <w:r w:rsidRPr="003836E7">
        <w:rPr>
          <w:rFonts w:ascii="Times New Roman" w:hAnsi="Times New Roman" w:cs="Times New Roman"/>
        </w:rPr>
        <w:t>Perhaps the most immediate impact was the shattering of the "stigma of the veil."</w:t>
      </w:r>
    </w:p>
    <w:p w14:paraId="407D1335" w14:textId="27D9E264" w:rsidR="003836E7" w:rsidRPr="003836E7" w:rsidRDefault="003836E7" w:rsidP="003836E7">
      <w:pPr>
        <w:numPr>
          <w:ilvl w:val="0"/>
          <w:numId w:val="27"/>
        </w:numPr>
        <w:spacing w:line="360" w:lineRule="auto"/>
        <w:rPr>
          <w:rFonts w:ascii="Times New Roman" w:hAnsi="Times New Roman" w:cs="Times New Roman"/>
        </w:rPr>
      </w:pPr>
      <w:r w:rsidRPr="003836E7">
        <w:rPr>
          <w:rFonts w:ascii="Times New Roman" w:hAnsi="Times New Roman" w:cs="Times New Roman"/>
        </w:rPr>
        <w:t>Visibility as Resistance: The public presence of survivors like Laxmi Agarwal challenged the traditional narrative that an acid attack survivor should remain hidden. This led to a nationwide "Stop Acid Attacks" movement, which successfully reframed the issue from a private tragedy to a public human rights violation.</w:t>
      </w:r>
    </w:p>
    <w:p w14:paraId="1956B70A" w14:textId="598F9C09" w:rsidR="003836E7" w:rsidRDefault="003836E7" w:rsidP="003836E7">
      <w:pPr>
        <w:numPr>
          <w:ilvl w:val="0"/>
          <w:numId w:val="27"/>
        </w:numPr>
        <w:spacing w:line="360" w:lineRule="auto"/>
        <w:rPr>
          <w:rFonts w:ascii="Times New Roman" w:hAnsi="Times New Roman" w:cs="Times New Roman"/>
        </w:rPr>
      </w:pPr>
      <w:r w:rsidRPr="003836E7">
        <w:rPr>
          <w:rFonts w:ascii="Times New Roman" w:hAnsi="Times New Roman" w:cs="Times New Roman"/>
        </w:rPr>
        <w:t>Educational Integration: Academic institutions and corporate bodies began incorporating sensitivity training regarding gender-based violence. This "civil society awakening" ensured that survivors were increasingly viewed with empathy rather than pity, fostering an environment where they could seek employment and reintegrate into mainstream society.</w:t>
      </w:r>
    </w:p>
    <w:p w14:paraId="18819C1F" w14:textId="77777777" w:rsidR="003836E7" w:rsidRPr="003836E7" w:rsidRDefault="003836E7" w:rsidP="003836E7">
      <w:pPr>
        <w:spacing w:line="360" w:lineRule="auto"/>
        <w:rPr>
          <w:rFonts w:ascii="Times New Roman" w:hAnsi="Times New Roman" w:cs="Times New Roman"/>
        </w:rPr>
      </w:pPr>
      <w:r>
        <w:rPr>
          <w:rFonts w:ascii="Times New Roman" w:hAnsi="Times New Roman" w:cs="Times New Roman"/>
        </w:rPr>
        <w:t xml:space="preserve">1.2 </w:t>
      </w:r>
      <w:r w:rsidRPr="003836E7">
        <w:rPr>
          <w:rFonts w:ascii="Times New Roman" w:hAnsi="Times New Roman" w:cs="Times New Roman"/>
        </w:rPr>
        <w:t>The Synergistic Role of NGOs and Media</w:t>
      </w:r>
    </w:p>
    <w:p w14:paraId="3F4F00C4" w14:textId="77777777" w:rsidR="003836E7" w:rsidRPr="003836E7" w:rsidRDefault="003836E7" w:rsidP="003836E7">
      <w:pPr>
        <w:spacing w:line="360" w:lineRule="auto"/>
        <w:rPr>
          <w:rFonts w:ascii="Times New Roman" w:hAnsi="Times New Roman" w:cs="Times New Roman"/>
        </w:rPr>
      </w:pPr>
      <w:r w:rsidRPr="003836E7">
        <w:rPr>
          <w:rFonts w:ascii="Times New Roman" w:hAnsi="Times New Roman" w:cs="Times New Roman"/>
        </w:rPr>
        <w:t>The movement gained its momentum through a powerful collaboration between grassroots activists and mainstream media.</w:t>
      </w:r>
    </w:p>
    <w:p w14:paraId="54DD3F2F" w14:textId="77777777" w:rsidR="003836E7" w:rsidRPr="003836E7" w:rsidRDefault="003836E7" w:rsidP="003836E7">
      <w:pPr>
        <w:numPr>
          <w:ilvl w:val="0"/>
          <w:numId w:val="28"/>
        </w:numPr>
        <w:spacing w:line="360" w:lineRule="auto"/>
        <w:rPr>
          <w:rFonts w:ascii="Times New Roman" w:hAnsi="Times New Roman" w:cs="Times New Roman"/>
        </w:rPr>
      </w:pPr>
      <w:r w:rsidRPr="003836E7">
        <w:rPr>
          <w:rFonts w:ascii="Times New Roman" w:hAnsi="Times New Roman" w:cs="Times New Roman"/>
        </w:rPr>
        <w:t xml:space="preserve">NGOs as Navigators: Organizations such as </w:t>
      </w:r>
      <w:proofErr w:type="spellStart"/>
      <w:r w:rsidRPr="003836E7">
        <w:rPr>
          <w:rFonts w:ascii="Times New Roman" w:hAnsi="Times New Roman" w:cs="Times New Roman"/>
          <w:i/>
          <w:iCs/>
        </w:rPr>
        <w:t>Chhanv</w:t>
      </w:r>
      <w:proofErr w:type="spellEnd"/>
      <w:r w:rsidRPr="003836E7">
        <w:rPr>
          <w:rFonts w:ascii="Times New Roman" w:hAnsi="Times New Roman" w:cs="Times New Roman"/>
          <w:i/>
          <w:iCs/>
        </w:rPr>
        <w:t xml:space="preserve"> Foundation</w:t>
      </w:r>
      <w:r w:rsidRPr="003836E7">
        <w:rPr>
          <w:rFonts w:ascii="Times New Roman" w:hAnsi="Times New Roman" w:cs="Times New Roman"/>
        </w:rPr>
        <w:t xml:space="preserve"> and </w:t>
      </w:r>
      <w:proofErr w:type="spellStart"/>
      <w:r w:rsidRPr="003836E7">
        <w:rPr>
          <w:rFonts w:ascii="Times New Roman" w:hAnsi="Times New Roman" w:cs="Times New Roman"/>
          <w:i/>
          <w:iCs/>
        </w:rPr>
        <w:t>Sheroeshangini</w:t>
      </w:r>
      <w:proofErr w:type="spellEnd"/>
      <w:r w:rsidRPr="003836E7">
        <w:rPr>
          <w:rFonts w:ascii="Times New Roman" w:hAnsi="Times New Roman" w:cs="Times New Roman"/>
        </w:rPr>
        <w:t xml:space="preserve"> played a pivotal role in bridging the gap between the law and the survivor. They acted as legal navigators, helping victims access the ₹3 Lakh compensation and specialized medical care that the Supreme Court had mandated.</w:t>
      </w:r>
    </w:p>
    <w:p w14:paraId="46CDE210" w14:textId="77777777" w:rsidR="003836E7" w:rsidRDefault="003836E7" w:rsidP="003836E7">
      <w:pPr>
        <w:numPr>
          <w:ilvl w:val="0"/>
          <w:numId w:val="28"/>
        </w:numPr>
        <w:spacing w:line="360" w:lineRule="auto"/>
        <w:rPr>
          <w:rFonts w:ascii="Times New Roman" w:hAnsi="Times New Roman" w:cs="Times New Roman"/>
        </w:rPr>
      </w:pPr>
      <w:r w:rsidRPr="003836E7">
        <w:rPr>
          <w:rFonts w:ascii="Times New Roman" w:hAnsi="Times New Roman" w:cs="Times New Roman"/>
        </w:rPr>
        <w:t xml:space="preserve">Media Advocacy: Documentary filmmaking and investigative journalism (e.g., the film </w:t>
      </w:r>
      <w:proofErr w:type="spellStart"/>
      <w:r w:rsidRPr="003836E7">
        <w:rPr>
          <w:rFonts w:ascii="Times New Roman" w:hAnsi="Times New Roman" w:cs="Times New Roman"/>
          <w:i/>
          <w:iCs/>
        </w:rPr>
        <w:t>Chhapaak</w:t>
      </w:r>
      <w:proofErr w:type="spellEnd"/>
      <w:r w:rsidRPr="003836E7">
        <w:rPr>
          <w:rFonts w:ascii="Times New Roman" w:hAnsi="Times New Roman" w:cs="Times New Roman"/>
        </w:rPr>
        <w:t>) brought the technicalities of the Supreme Court directives into living rooms across India. By highlighting the ease with which "cleaning acid" could still be bought, the media acted as a watchdog, holding local administrations accountable for the lack of ground-level enforcement.</w:t>
      </w:r>
    </w:p>
    <w:p w14:paraId="6F95A7D2" w14:textId="77777777" w:rsidR="003836E7" w:rsidRDefault="003836E7" w:rsidP="003836E7">
      <w:pPr>
        <w:spacing w:line="360" w:lineRule="auto"/>
        <w:rPr>
          <w:rFonts w:ascii="Times New Roman" w:hAnsi="Times New Roman" w:cs="Times New Roman"/>
        </w:rPr>
      </w:pPr>
    </w:p>
    <w:p w14:paraId="7FE62C5F" w14:textId="627CFA27" w:rsidR="003836E7" w:rsidRPr="003836E7" w:rsidRDefault="003836E7" w:rsidP="003836E7">
      <w:pPr>
        <w:spacing w:line="360" w:lineRule="auto"/>
        <w:rPr>
          <w:rFonts w:ascii="Times New Roman" w:hAnsi="Times New Roman" w:cs="Times New Roman"/>
        </w:rPr>
      </w:pPr>
      <w:r>
        <w:rPr>
          <w:rFonts w:ascii="Times New Roman" w:hAnsi="Times New Roman" w:cs="Times New Roman"/>
        </w:rPr>
        <w:lastRenderedPageBreak/>
        <w:t>1.</w:t>
      </w:r>
      <w:r w:rsidRPr="003836E7">
        <w:rPr>
          <w:rFonts w:ascii="Times New Roman" w:hAnsi="Times New Roman" w:cs="Times New Roman"/>
        </w:rPr>
        <w:t xml:space="preserve">3 </w:t>
      </w:r>
      <w:r w:rsidRPr="003836E7">
        <w:rPr>
          <w:rFonts w:ascii="Times New Roman" w:hAnsi="Times New Roman" w:cs="Times New Roman"/>
        </w:rPr>
        <w:t>Systemic Changes in the Legal Infrastructure</w:t>
      </w:r>
    </w:p>
    <w:p w14:paraId="3C412EE6" w14:textId="77777777" w:rsidR="003836E7" w:rsidRPr="003836E7" w:rsidRDefault="003836E7" w:rsidP="003836E7">
      <w:pPr>
        <w:spacing w:line="360" w:lineRule="auto"/>
        <w:rPr>
          <w:rFonts w:ascii="Times New Roman" w:hAnsi="Times New Roman" w:cs="Times New Roman"/>
        </w:rPr>
      </w:pPr>
      <w:r w:rsidRPr="003836E7">
        <w:rPr>
          <w:rFonts w:ascii="Times New Roman" w:hAnsi="Times New Roman" w:cs="Times New Roman"/>
        </w:rPr>
        <w:t>The legal impact was not limited to the IPC; it forced a "sensitization overhaul" of the entire judicial machinery.</w:t>
      </w:r>
    </w:p>
    <w:p w14:paraId="2BB10718" w14:textId="77777777" w:rsidR="003836E7" w:rsidRPr="003836E7" w:rsidRDefault="003836E7" w:rsidP="003836E7">
      <w:pPr>
        <w:numPr>
          <w:ilvl w:val="0"/>
          <w:numId w:val="29"/>
        </w:numPr>
        <w:spacing w:line="360" w:lineRule="auto"/>
        <w:rPr>
          <w:rFonts w:ascii="Times New Roman" w:hAnsi="Times New Roman" w:cs="Times New Roman"/>
        </w:rPr>
      </w:pPr>
      <w:r w:rsidRPr="003836E7">
        <w:rPr>
          <w:rFonts w:ascii="Times New Roman" w:hAnsi="Times New Roman" w:cs="Times New Roman"/>
        </w:rPr>
        <w:t>Judicial Empathy: There has been a marked shift in how judges handle acid violence cases, with a greater emphasis on "speedy trials" and "restorative justice." The courts now frequently exercise their power to monitor the progress of medical treatments.</w:t>
      </w:r>
    </w:p>
    <w:p w14:paraId="4169FFE1" w14:textId="77777777" w:rsidR="003836E7" w:rsidRDefault="003836E7" w:rsidP="003836E7">
      <w:pPr>
        <w:numPr>
          <w:ilvl w:val="0"/>
          <w:numId w:val="29"/>
        </w:numPr>
        <w:spacing w:line="360" w:lineRule="auto"/>
        <w:rPr>
          <w:rFonts w:ascii="Times New Roman" w:hAnsi="Times New Roman" w:cs="Times New Roman"/>
        </w:rPr>
      </w:pPr>
      <w:r w:rsidRPr="003836E7">
        <w:rPr>
          <w:rFonts w:ascii="Times New Roman" w:hAnsi="Times New Roman" w:cs="Times New Roman"/>
        </w:rPr>
        <w:t>Forensic and Investigative Focus: Police departments in many states have established specialized units trained in the forensic collection of chemical evidence, ensuring that the "corrosive nature" of the weapon is legally established early in the investigation.</w:t>
      </w:r>
    </w:p>
    <w:p w14:paraId="7001E556" w14:textId="77777777" w:rsidR="003836E7" w:rsidRPr="003836E7" w:rsidRDefault="003836E7" w:rsidP="003836E7">
      <w:pPr>
        <w:spacing w:line="360" w:lineRule="auto"/>
        <w:rPr>
          <w:rFonts w:ascii="Times New Roman" w:hAnsi="Times New Roman" w:cs="Times New Roman"/>
        </w:rPr>
      </w:pPr>
      <w:r>
        <w:rPr>
          <w:rFonts w:ascii="Times New Roman" w:hAnsi="Times New Roman" w:cs="Times New Roman"/>
        </w:rPr>
        <w:t>1.</w:t>
      </w:r>
      <w:r w:rsidRPr="003836E7">
        <w:rPr>
          <w:rFonts w:ascii="Times New Roman" w:hAnsi="Times New Roman" w:cs="Times New Roman"/>
        </w:rPr>
        <w:t xml:space="preserve">4 </w:t>
      </w:r>
      <w:r w:rsidRPr="003836E7">
        <w:rPr>
          <w:rFonts w:ascii="Times New Roman" w:hAnsi="Times New Roman" w:cs="Times New Roman"/>
        </w:rPr>
        <w:t>The Persistence of Implementation Challenges</w:t>
      </w:r>
    </w:p>
    <w:p w14:paraId="13C804DD" w14:textId="77777777" w:rsidR="003836E7" w:rsidRPr="003836E7" w:rsidRDefault="003836E7" w:rsidP="003836E7">
      <w:pPr>
        <w:spacing w:line="360" w:lineRule="auto"/>
        <w:rPr>
          <w:rFonts w:ascii="Times New Roman" w:hAnsi="Times New Roman" w:cs="Times New Roman"/>
        </w:rPr>
      </w:pPr>
      <w:r w:rsidRPr="003836E7">
        <w:rPr>
          <w:rFonts w:ascii="Times New Roman" w:hAnsi="Times New Roman" w:cs="Times New Roman"/>
        </w:rPr>
        <w:t>Despite the legal victories, significant hurdles remain in the actualization of these reforms.</w:t>
      </w:r>
    </w:p>
    <w:p w14:paraId="7B6F460F" w14:textId="77777777" w:rsidR="003836E7" w:rsidRPr="003836E7" w:rsidRDefault="003836E7" w:rsidP="003836E7">
      <w:pPr>
        <w:numPr>
          <w:ilvl w:val="0"/>
          <w:numId w:val="30"/>
        </w:numPr>
        <w:spacing w:line="360" w:lineRule="auto"/>
        <w:rPr>
          <w:rFonts w:ascii="Times New Roman" w:hAnsi="Times New Roman" w:cs="Times New Roman"/>
        </w:rPr>
      </w:pPr>
      <w:r w:rsidRPr="003836E7">
        <w:rPr>
          <w:rFonts w:ascii="Times New Roman" w:hAnsi="Times New Roman" w:cs="Times New Roman"/>
        </w:rPr>
        <w:t>The "Grey Market" for Acid: While retail shops are regulated, the "informal economy" and industrial leakages mean that acid remains accessible in many semi-urban and rural areas. Enforcement of the "Logbook" requirement by local SDMs remains inconsistent.</w:t>
      </w:r>
    </w:p>
    <w:p w14:paraId="76DF9AFE" w14:textId="77777777" w:rsidR="003836E7" w:rsidRPr="003836E7" w:rsidRDefault="003836E7" w:rsidP="003836E7">
      <w:pPr>
        <w:numPr>
          <w:ilvl w:val="0"/>
          <w:numId w:val="30"/>
        </w:numPr>
        <w:spacing w:line="360" w:lineRule="auto"/>
        <w:rPr>
          <w:rFonts w:ascii="Times New Roman" w:hAnsi="Times New Roman" w:cs="Times New Roman"/>
        </w:rPr>
      </w:pPr>
      <w:r w:rsidRPr="003836E7">
        <w:rPr>
          <w:rFonts w:ascii="Times New Roman" w:hAnsi="Times New Roman" w:cs="Times New Roman"/>
        </w:rPr>
        <w:t>The Compensation Lag: While the Supreme Court mandated ₹3 Lakhs, survivors often face "bureaucratic fatigue," where the release of funds is delayed by red tape, forcing families to take high-interest loans for emergency surgeries.</w:t>
      </w:r>
    </w:p>
    <w:p w14:paraId="7B49F1B0" w14:textId="77777777" w:rsidR="003836E7" w:rsidRDefault="003836E7" w:rsidP="003836E7">
      <w:pPr>
        <w:numPr>
          <w:ilvl w:val="0"/>
          <w:numId w:val="30"/>
        </w:numPr>
        <w:spacing w:line="360" w:lineRule="auto"/>
        <w:rPr>
          <w:rFonts w:ascii="Times New Roman" w:hAnsi="Times New Roman" w:cs="Times New Roman"/>
        </w:rPr>
      </w:pPr>
      <w:r w:rsidRPr="003836E7">
        <w:rPr>
          <w:rFonts w:ascii="Times New Roman" w:hAnsi="Times New Roman" w:cs="Times New Roman"/>
        </w:rPr>
        <w:t>Social Reintegration Barriers: Despite legal mandates for "free treatment," many private hospitals still hesitate to take on long-term reconstructive cases, citing a lack of clarity on government reimbursement.</w:t>
      </w:r>
    </w:p>
    <w:p w14:paraId="0BB61ABD" w14:textId="77777777" w:rsidR="003836E7" w:rsidRPr="003836E7" w:rsidRDefault="003836E7" w:rsidP="003836E7">
      <w:pPr>
        <w:spacing w:line="360" w:lineRule="auto"/>
        <w:rPr>
          <w:rFonts w:ascii="Times New Roman" w:hAnsi="Times New Roman" w:cs="Times New Roman"/>
        </w:rPr>
      </w:pPr>
      <w:r>
        <w:rPr>
          <w:rFonts w:ascii="Times New Roman" w:hAnsi="Times New Roman" w:cs="Times New Roman"/>
        </w:rPr>
        <w:t>1.</w:t>
      </w:r>
      <w:r w:rsidRPr="003836E7">
        <w:rPr>
          <w:rFonts w:ascii="Times New Roman" w:hAnsi="Times New Roman" w:cs="Times New Roman"/>
        </w:rPr>
        <w:t xml:space="preserve">5 </w:t>
      </w:r>
      <w:r w:rsidRPr="003836E7">
        <w:rPr>
          <w:rFonts w:ascii="Times New Roman" w:hAnsi="Times New Roman" w:cs="Times New Roman"/>
        </w:rPr>
        <w:t>Conclusion</w:t>
      </w:r>
    </w:p>
    <w:p w14:paraId="642C847F" w14:textId="77777777" w:rsidR="003836E7" w:rsidRPr="003836E7" w:rsidRDefault="003836E7" w:rsidP="003836E7">
      <w:pPr>
        <w:spacing w:line="360" w:lineRule="auto"/>
        <w:rPr>
          <w:rFonts w:ascii="Times New Roman" w:hAnsi="Times New Roman" w:cs="Times New Roman"/>
        </w:rPr>
      </w:pPr>
      <w:r w:rsidRPr="003836E7">
        <w:rPr>
          <w:rFonts w:ascii="Times New Roman" w:hAnsi="Times New Roman" w:cs="Times New Roman"/>
        </w:rPr>
        <w:t>The socio-legal impact of the Laxmi case is a testament to the power of Public Interest Litigation. It proved that while laws can be changed in a day, the dismantling of social stigma and the enforcement of administrative accountability is an ongoing battle. The legal system has provided the "bones" of justice, but it is the continued vigilance of NGOs and the media that provides the "sinew" to keep the movement alive.</w:t>
      </w:r>
    </w:p>
    <w:p w14:paraId="74EB31E1" w14:textId="1AE3F30D" w:rsidR="003836E7" w:rsidRPr="003836E7" w:rsidRDefault="003836E7" w:rsidP="003836E7">
      <w:pPr>
        <w:spacing w:line="360" w:lineRule="auto"/>
        <w:rPr>
          <w:rFonts w:ascii="Times New Roman" w:hAnsi="Times New Roman" w:cs="Times New Roman"/>
        </w:rPr>
      </w:pPr>
    </w:p>
    <w:p w14:paraId="72DD5412" w14:textId="77777777" w:rsidR="00146EB0" w:rsidRDefault="00146EB0" w:rsidP="003836E7">
      <w:pPr>
        <w:spacing w:line="360" w:lineRule="auto"/>
        <w:rPr>
          <w:rFonts w:ascii="Times New Roman" w:hAnsi="Times New Roman" w:cs="Times New Roman"/>
          <w:b/>
          <w:bCs/>
          <w:sz w:val="28"/>
          <w:szCs w:val="28"/>
        </w:rPr>
      </w:pPr>
    </w:p>
    <w:p w14:paraId="09B599C0" w14:textId="07696F3E" w:rsidR="003836E7" w:rsidRPr="003836E7" w:rsidRDefault="003C508D" w:rsidP="003836E7">
      <w:pPr>
        <w:spacing w:line="360" w:lineRule="auto"/>
        <w:rPr>
          <w:rFonts w:ascii="Times New Roman" w:hAnsi="Times New Roman" w:cs="Times New Roman"/>
          <w:b/>
          <w:bCs/>
          <w:sz w:val="28"/>
          <w:szCs w:val="28"/>
        </w:rPr>
      </w:pPr>
      <w:r w:rsidRPr="004A2D11">
        <w:rPr>
          <w:rFonts w:ascii="Times New Roman" w:hAnsi="Times New Roman" w:cs="Times New Roman"/>
          <w:b/>
          <w:bCs/>
          <w:sz w:val="28"/>
          <w:szCs w:val="28"/>
        </w:rPr>
        <w:lastRenderedPageBreak/>
        <w:t>THE JUDICIARY AS A CATALYST FOR SOCIAL REFORM</w:t>
      </w:r>
    </w:p>
    <w:p w14:paraId="0AE1383F" w14:textId="7D378C3E" w:rsidR="003C508D" w:rsidRDefault="003C508D" w:rsidP="003C508D">
      <w:pPr>
        <w:spacing w:line="360" w:lineRule="auto"/>
        <w:rPr>
          <w:rFonts w:ascii="Times New Roman" w:hAnsi="Times New Roman" w:cs="Times New Roman"/>
        </w:rPr>
      </w:pPr>
      <w:r w:rsidRPr="003C508D">
        <w:rPr>
          <w:rFonts w:ascii="Times New Roman" w:hAnsi="Times New Roman" w:cs="Times New Roman"/>
        </w:rPr>
        <w:t xml:space="preserve">The Indian Judiciary has transitioned from being a mere "interpreter of statutes" to a "sentinel on the qui </w:t>
      </w:r>
      <w:proofErr w:type="spellStart"/>
      <w:r w:rsidRPr="003C508D">
        <w:rPr>
          <w:rFonts w:ascii="Times New Roman" w:hAnsi="Times New Roman" w:cs="Times New Roman"/>
        </w:rPr>
        <w:t>vive</w:t>
      </w:r>
      <w:proofErr w:type="spellEnd"/>
      <w:r w:rsidRPr="003C508D">
        <w:rPr>
          <w:rFonts w:ascii="Times New Roman" w:hAnsi="Times New Roman" w:cs="Times New Roman"/>
        </w:rPr>
        <w:t xml:space="preserve">," actively participating in the nation's social and moral progress. In cases like </w:t>
      </w:r>
      <w:r w:rsidRPr="003C508D">
        <w:rPr>
          <w:rFonts w:ascii="Times New Roman" w:hAnsi="Times New Roman" w:cs="Times New Roman"/>
          <w:i/>
          <w:iCs/>
        </w:rPr>
        <w:t>Laxmi v. Union of India</w:t>
      </w:r>
      <w:r w:rsidRPr="003C508D">
        <w:rPr>
          <w:rFonts w:ascii="Times New Roman" w:hAnsi="Times New Roman" w:cs="Times New Roman"/>
        </w:rPr>
        <w:t>, the Court’s role moved beyond traditional adjudication into the realm of social engineering, using the power of the law to repair systemic societal failures</w:t>
      </w:r>
      <w:r>
        <w:rPr>
          <w:rFonts w:ascii="Times New Roman" w:hAnsi="Times New Roman" w:cs="Times New Roman"/>
        </w:rPr>
        <w:t>.</w:t>
      </w:r>
    </w:p>
    <w:p w14:paraId="7A43CF82" w14:textId="77777777" w:rsidR="003C508D" w:rsidRPr="003C508D" w:rsidRDefault="003C508D" w:rsidP="003C508D">
      <w:pPr>
        <w:spacing w:line="360" w:lineRule="auto"/>
        <w:rPr>
          <w:rFonts w:ascii="Times New Roman" w:hAnsi="Times New Roman" w:cs="Times New Roman"/>
          <w:b/>
          <w:bCs/>
        </w:rPr>
      </w:pPr>
      <w:r>
        <w:rPr>
          <w:rFonts w:ascii="Times New Roman" w:hAnsi="Times New Roman" w:cs="Times New Roman"/>
        </w:rPr>
        <w:t xml:space="preserve">1.1 </w:t>
      </w:r>
      <w:r w:rsidRPr="003C508D">
        <w:rPr>
          <w:rFonts w:ascii="Times New Roman" w:hAnsi="Times New Roman" w:cs="Times New Roman"/>
        </w:rPr>
        <w:t>Judicial Activism and the "Social Engineering" Mandate</w:t>
      </w:r>
    </w:p>
    <w:p w14:paraId="167CB088"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Judicial activism in India is rooted in the philosophy that the law must be a living instrument capable of addressing the needs of a developing society.</w:t>
      </w:r>
    </w:p>
    <w:p w14:paraId="488D0016" w14:textId="77777777" w:rsidR="003C508D" w:rsidRPr="003C508D" w:rsidRDefault="003C508D" w:rsidP="003C508D">
      <w:pPr>
        <w:numPr>
          <w:ilvl w:val="0"/>
          <w:numId w:val="31"/>
        </w:numPr>
        <w:tabs>
          <w:tab w:val="num" w:pos="720"/>
        </w:tabs>
        <w:spacing w:line="360" w:lineRule="auto"/>
        <w:rPr>
          <w:rFonts w:ascii="Times New Roman" w:hAnsi="Times New Roman" w:cs="Times New Roman"/>
        </w:rPr>
      </w:pPr>
      <w:r w:rsidRPr="003C508D">
        <w:rPr>
          <w:rFonts w:ascii="Times New Roman" w:hAnsi="Times New Roman" w:cs="Times New Roman"/>
        </w:rPr>
        <w:t>Proactive Oversight: When the legislature (Parliament) fails to act on a pressing social evil—such as the unregulated sale of acid—the Judiciary steps in to fill the "legislative vacuum."</w:t>
      </w:r>
    </w:p>
    <w:p w14:paraId="64492C0C" w14:textId="77777777" w:rsidR="003C508D" w:rsidRDefault="003C508D" w:rsidP="003C508D">
      <w:pPr>
        <w:numPr>
          <w:ilvl w:val="0"/>
          <w:numId w:val="31"/>
        </w:numPr>
        <w:tabs>
          <w:tab w:val="num" w:pos="720"/>
        </w:tabs>
        <w:spacing w:line="360" w:lineRule="auto"/>
        <w:rPr>
          <w:rFonts w:ascii="Times New Roman" w:hAnsi="Times New Roman" w:cs="Times New Roman"/>
        </w:rPr>
      </w:pPr>
      <w:r w:rsidRPr="003C508D">
        <w:rPr>
          <w:rFonts w:ascii="Times New Roman" w:hAnsi="Times New Roman" w:cs="Times New Roman"/>
        </w:rPr>
        <w:t>Directives as Law: Through "judicial legislation," the Supreme Court creates binding guidelines (under Article 141) that have the force of law until Parliament enacts specific statutes. This ensures that the protection of vulnerable citizens is not held hostage by political or bureaucratic delays.</w:t>
      </w:r>
    </w:p>
    <w:p w14:paraId="14B60EBC"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1.</w:t>
      </w:r>
      <w:r w:rsidRPr="003C508D">
        <w:rPr>
          <w:rFonts w:ascii="Times New Roman" w:hAnsi="Times New Roman" w:cs="Times New Roman"/>
        </w:rPr>
        <w:t xml:space="preserve">2 </w:t>
      </w:r>
      <w:r w:rsidRPr="003C508D">
        <w:rPr>
          <w:rFonts w:ascii="Times New Roman" w:hAnsi="Times New Roman" w:cs="Times New Roman"/>
        </w:rPr>
        <w:t>Judicial Intervention in Gender Justice</w:t>
      </w:r>
    </w:p>
    <w:p w14:paraId="27600044"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The Indian courts have been at the forefront of dismantling patriarchal structures that perpetuate violence against women.</w:t>
      </w:r>
    </w:p>
    <w:p w14:paraId="28F6EC7F" w14:textId="77777777" w:rsidR="003C508D" w:rsidRPr="003C508D" w:rsidRDefault="003C508D" w:rsidP="003C508D">
      <w:pPr>
        <w:numPr>
          <w:ilvl w:val="0"/>
          <w:numId w:val="32"/>
        </w:numPr>
        <w:spacing w:line="360" w:lineRule="auto"/>
        <w:rPr>
          <w:rFonts w:ascii="Times New Roman" w:hAnsi="Times New Roman" w:cs="Times New Roman"/>
        </w:rPr>
      </w:pPr>
      <w:r w:rsidRPr="003C508D">
        <w:rPr>
          <w:rFonts w:ascii="Times New Roman" w:hAnsi="Times New Roman" w:cs="Times New Roman"/>
        </w:rPr>
        <w:t xml:space="preserve">The Vishaka to Laxmi Pipeline: Just as the </w:t>
      </w:r>
      <w:r w:rsidRPr="003C508D">
        <w:rPr>
          <w:rFonts w:ascii="Times New Roman" w:hAnsi="Times New Roman" w:cs="Times New Roman"/>
          <w:i/>
          <w:iCs/>
        </w:rPr>
        <w:t>Vishaka</w:t>
      </w:r>
      <w:r w:rsidRPr="003C508D">
        <w:rPr>
          <w:rFonts w:ascii="Times New Roman" w:hAnsi="Times New Roman" w:cs="Times New Roman"/>
        </w:rPr>
        <w:t xml:space="preserve"> guidelines created a framework for sexual harassment, the </w:t>
      </w:r>
      <w:r w:rsidRPr="003C508D">
        <w:rPr>
          <w:rFonts w:ascii="Times New Roman" w:hAnsi="Times New Roman" w:cs="Times New Roman"/>
          <w:i/>
          <w:iCs/>
        </w:rPr>
        <w:t>Laxmi</w:t>
      </w:r>
      <w:r w:rsidRPr="003C508D">
        <w:rPr>
          <w:rFonts w:ascii="Times New Roman" w:hAnsi="Times New Roman" w:cs="Times New Roman"/>
        </w:rPr>
        <w:t xml:space="preserve"> judgment created a framework for bodily integrity. The courts have consistently ruled that "gender justice" is an integral part of constitutional morality.</w:t>
      </w:r>
    </w:p>
    <w:p w14:paraId="23DB9C08" w14:textId="61290722" w:rsidR="003C508D" w:rsidRDefault="003C508D" w:rsidP="003C508D">
      <w:pPr>
        <w:numPr>
          <w:ilvl w:val="0"/>
          <w:numId w:val="32"/>
        </w:numPr>
        <w:spacing w:line="360" w:lineRule="auto"/>
        <w:rPr>
          <w:rFonts w:ascii="Times New Roman" w:hAnsi="Times New Roman" w:cs="Times New Roman"/>
        </w:rPr>
      </w:pPr>
      <w:r w:rsidRPr="003C508D">
        <w:rPr>
          <w:rFonts w:ascii="Times New Roman" w:hAnsi="Times New Roman" w:cs="Times New Roman"/>
        </w:rPr>
        <w:t>Redefining Violence: By recognizing acid attacks as a unique form of gender-based terror, the judiciary forced the state to acknowledge that physical disfigurement is not just a crime against the body, but an attempt to erase a woman's social existence</w:t>
      </w:r>
      <w:r>
        <w:rPr>
          <w:rFonts w:ascii="Times New Roman" w:hAnsi="Times New Roman" w:cs="Times New Roman"/>
        </w:rPr>
        <w:t>.</w:t>
      </w:r>
    </w:p>
    <w:p w14:paraId="63CFE75B"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 xml:space="preserve">1.3 </w:t>
      </w:r>
      <w:r w:rsidRPr="003C508D">
        <w:rPr>
          <w:rFonts w:ascii="Times New Roman" w:hAnsi="Times New Roman" w:cs="Times New Roman"/>
        </w:rPr>
        <w:t>The Expansion of Fundamental Rights (The "Living Constitution")</w:t>
      </w:r>
    </w:p>
    <w:p w14:paraId="39EB6EF1"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The judiciary’s greatest contribution to social reform is its expansive interpretation of Article 21 (Right to Life).</w:t>
      </w:r>
    </w:p>
    <w:p w14:paraId="180BE813" w14:textId="77777777" w:rsidR="003C508D" w:rsidRPr="003C508D" w:rsidRDefault="003C508D" w:rsidP="003C508D">
      <w:pPr>
        <w:numPr>
          <w:ilvl w:val="0"/>
          <w:numId w:val="33"/>
        </w:numPr>
        <w:spacing w:line="360" w:lineRule="auto"/>
        <w:rPr>
          <w:rFonts w:ascii="Times New Roman" w:hAnsi="Times New Roman" w:cs="Times New Roman"/>
        </w:rPr>
      </w:pPr>
      <w:r w:rsidRPr="003C508D">
        <w:rPr>
          <w:rFonts w:ascii="Times New Roman" w:hAnsi="Times New Roman" w:cs="Times New Roman"/>
        </w:rPr>
        <w:lastRenderedPageBreak/>
        <w:t>The Quality of Life: The Courts have ruled that the "Right to Life" is not merely animal existence but the "Right to Live with Dignity." This expansion has brought under its ambit the right to health, the right to a clean environment, and the right to state-funded medical rehabilitation for survivors of violence.</w:t>
      </w:r>
    </w:p>
    <w:p w14:paraId="1BD2D02F" w14:textId="77777777" w:rsidR="003C508D" w:rsidRDefault="003C508D" w:rsidP="003C508D">
      <w:pPr>
        <w:numPr>
          <w:ilvl w:val="0"/>
          <w:numId w:val="33"/>
        </w:numPr>
        <w:spacing w:line="360" w:lineRule="auto"/>
        <w:rPr>
          <w:rFonts w:ascii="Times New Roman" w:hAnsi="Times New Roman" w:cs="Times New Roman"/>
        </w:rPr>
      </w:pPr>
      <w:r w:rsidRPr="003C508D">
        <w:rPr>
          <w:rFonts w:ascii="Times New Roman" w:hAnsi="Times New Roman" w:cs="Times New Roman"/>
        </w:rPr>
        <w:t>Interconnected Rights: By linking Article 14 (Equality) with Article 21 (Dignity), the courts have established that a state which fails to regulate lethal chemicals is a state that treats the lives of its women as "lesser," thereby violating the core of the democratic promise.</w:t>
      </w:r>
    </w:p>
    <w:p w14:paraId="6874B099" w14:textId="7BB4AAEB" w:rsidR="003C508D" w:rsidRPr="003C508D" w:rsidRDefault="003C508D" w:rsidP="003C508D">
      <w:pPr>
        <w:spacing w:line="360" w:lineRule="auto"/>
        <w:rPr>
          <w:rFonts w:ascii="Times New Roman" w:hAnsi="Times New Roman" w:cs="Times New Roman"/>
        </w:rPr>
      </w:pPr>
      <w:r>
        <w:rPr>
          <w:rFonts w:ascii="Times New Roman" w:hAnsi="Times New Roman" w:cs="Times New Roman"/>
        </w:rPr>
        <w:t xml:space="preserve">1.4 </w:t>
      </w:r>
      <w:r w:rsidRPr="003C508D">
        <w:rPr>
          <w:rFonts w:ascii="Times New Roman" w:hAnsi="Times New Roman" w:cs="Times New Roman"/>
        </w:rPr>
        <w:t>The Power of Public Interest Litigation (PIL)</w:t>
      </w:r>
    </w:p>
    <w:p w14:paraId="5FA7D457"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The PIL remains the most potent tool in the hands of the Indian judiciary for achieving social justice.</w:t>
      </w:r>
    </w:p>
    <w:p w14:paraId="448A09FD" w14:textId="77777777" w:rsidR="003C508D" w:rsidRPr="003C508D" w:rsidRDefault="003C508D" w:rsidP="003C508D">
      <w:pPr>
        <w:numPr>
          <w:ilvl w:val="0"/>
          <w:numId w:val="34"/>
        </w:numPr>
        <w:spacing w:line="360" w:lineRule="auto"/>
        <w:rPr>
          <w:rFonts w:ascii="Times New Roman" w:hAnsi="Times New Roman" w:cs="Times New Roman"/>
        </w:rPr>
      </w:pPr>
      <w:r w:rsidRPr="003C508D">
        <w:rPr>
          <w:rFonts w:ascii="Times New Roman" w:hAnsi="Times New Roman" w:cs="Times New Roman"/>
        </w:rPr>
        <w:t xml:space="preserve">Democratizing Justice: PILs like the one filed by Laxmi Agarwal allowed the "voiceless" to knock on the doors of the highest court. It relaxed the traditional rule of </w:t>
      </w:r>
      <w:r w:rsidRPr="003C508D">
        <w:rPr>
          <w:rFonts w:ascii="Times New Roman" w:hAnsi="Times New Roman" w:cs="Times New Roman"/>
          <w:i/>
          <w:iCs/>
        </w:rPr>
        <w:t>locus standi</w:t>
      </w:r>
      <w:r w:rsidRPr="003C508D">
        <w:rPr>
          <w:rFonts w:ascii="Times New Roman" w:hAnsi="Times New Roman" w:cs="Times New Roman"/>
        </w:rPr>
        <w:t>, allowing activists and survivors to seek systemic changes rather than just individual relief.</w:t>
      </w:r>
    </w:p>
    <w:p w14:paraId="7EADF677" w14:textId="77777777" w:rsidR="003C508D" w:rsidRDefault="003C508D" w:rsidP="003C508D">
      <w:pPr>
        <w:numPr>
          <w:ilvl w:val="0"/>
          <w:numId w:val="34"/>
        </w:numPr>
        <w:spacing w:line="360" w:lineRule="auto"/>
        <w:rPr>
          <w:rFonts w:ascii="Times New Roman" w:hAnsi="Times New Roman" w:cs="Times New Roman"/>
        </w:rPr>
      </w:pPr>
      <w:r w:rsidRPr="003C508D">
        <w:rPr>
          <w:rFonts w:ascii="Times New Roman" w:hAnsi="Times New Roman" w:cs="Times New Roman"/>
        </w:rPr>
        <w:t>Continuous Mandamus: Through PILs, the court exercises "continuous mandamus," where it keeps a case open for years to monitor whether the government is actually implementing its orders regarding acid sales and compensation.</w:t>
      </w:r>
    </w:p>
    <w:p w14:paraId="5A538438"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 xml:space="preserve">1.5 </w:t>
      </w:r>
      <w:r w:rsidRPr="003C508D">
        <w:rPr>
          <w:rFonts w:ascii="Times New Roman" w:hAnsi="Times New Roman" w:cs="Times New Roman"/>
        </w:rPr>
        <w:t>Conclusion</w:t>
      </w:r>
    </w:p>
    <w:p w14:paraId="064F0246" w14:textId="6B512AFF" w:rsidR="00146EB0" w:rsidRDefault="003C508D" w:rsidP="00146EB0">
      <w:pPr>
        <w:spacing w:line="360" w:lineRule="auto"/>
        <w:rPr>
          <w:rFonts w:ascii="Times New Roman" w:hAnsi="Times New Roman" w:cs="Times New Roman"/>
        </w:rPr>
      </w:pPr>
      <w:r w:rsidRPr="003C508D">
        <w:rPr>
          <w:rFonts w:ascii="Times New Roman" w:hAnsi="Times New Roman" w:cs="Times New Roman"/>
        </w:rPr>
        <w:t xml:space="preserve">The role of the judiciary in the </w:t>
      </w:r>
      <w:r w:rsidRPr="003C508D">
        <w:rPr>
          <w:rFonts w:ascii="Times New Roman" w:hAnsi="Times New Roman" w:cs="Times New Roman"/>
          <w:i/>
          <w:iCs/>
        </w:rPr>
        <w:t>Laxmi</w:t>
      </w:r>
      <w:r w:rsidRPr="003C508D">
        <w:rPr>
          <w:rFonts w:ascii="Times New Roman" w:hAnsi="Times New Roman" w:cs="Times New Roman"/>
        </w:rPr>
        <w:t xml:space="preserve"> case serves as a masterclass in social reform. It proves that when the law is applied with empathy and constitutional foresight, it can act as a shield for the weak and a sword against systemic apathy. The judiciary remains the ultimate guardian of the "unwritten social contract" between the State and its citizens.</w:t>
      </w:r>
    </w:p>
    <w:p w14:paraId="18FE34C0" w14:textId="6BFF40C7" w:rsidR="00146EB0" w:rsidRDefault="00C07656" w:rsidP="003C508D">
      <w:pPr>
        <w:spacing w:line="360" w:lineRule="auto"/>
        <w:rPr>
          <w:rFonts w:ascii="Times New Roman" w:hAnsi="Times New Roman" w:cs="Times New Roman"/>
          <w:b/>
          <w:bCs/>
          <w:sz w:val="28"/>
          <w:szCs w:val="28"/>
        </w:rPr>
      </w:pPr>
      <w:r w:rsidRPr="00C07656">
        <w:rPr>
          <w:rFonts w:ascii="Times New Roman" w:hAnsi="Times New Roman" w:cs="Times New Roman"/>
          <w:b/>
          <w:bCs/>
          <w:sz w:val="28"/>
          <w:szCs w:val="28"/>
        </w:rPr>
        <w:drawing>
          <wp:anchor distT="0" distB="0" distL="114300" distR="114300" simplePos="0" relativeHeight="251664384" behindDoc="0" locked="0" layoutInCell="1" allowOverlap="1" wp14:anchorId="13EA8C67" wp14:editId="7845E682">
            <wp:simplePos x="0" y="0"/>
            <wp:positionH relativeFrom="column">
              <wp:posOffset>1080308</wp:posOffset>
            </wp:positionH>
            <wp:positionV relativeFrom="page">
              <wp:posOffset>7821642</wp:posOffset>
            </wp:positionV>
            <wp:extent cx="3061335" cy="2538730"/>
            <wp:effectExtent l="0" t="0" r="5715" b="0"/>
            <wp:wrapSquare wrapText="bothSides"/>
            <wp:docPr id="133341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4110" name=""/>
                    <pic:cNvPicPr/>
                  </pic:nvPicPr>
                  <pic:blipFill>
                    <a:blip r:embed="rId11">
                      <a:extLst>
                        <a:ext uri="{28A0092B-C50C-407E-A947-70E740481C1C}">
                          <a14:useLocalDpi xmlns:a14="http://schemas.microsoft.com/office/drawing/2010/main" val="0"/>
                        </a:ext>
                      </a:extLst>
                    </a:blip>
                    <a:stretch>
                      <a:fillRect/>
                    </a:stretch>
                  </pic:blipFill>
                  <pic:spPr>
                    <a:xfrm>
                      <a:off x="0" y="0"/>
                      <a:ext cx="3061335" cy="2538730"/>
                    </a:xfrm>
                    <a:prstGeom prst="rect">
                      <a:avLst/>
                    </a:prstGeom>
                  </pic:spPr>
                </pic:pic>
              </a:graphicData>
            </a:graphic>
            <wp14:sizeRelH relativeFrom="margin">
              <wp14:pctWidth>0</wp14:pctWidth>
            </wp14:sizeRelH>
            <wp14:sizeRelV relativeFrom="margin">
              <wp14:pctHeight>0</wp14:pctHeight>
            </wp14:sizeRelV>
          </wp:anchor>
        </w:drawing>
      </w:r>
    </w:p>
    <w:p w14:paraId="02AD1B78" w14:textId="2301B63E" w:rsidR="00146EB0" w:rsidRDefault="00146EB0" w:rsidP="003C508D">
      <w:pPr>
        <w:spacing w:line="360" w:lineRule="auto"/>
        <w:rPr>
          <w:rFonts w:ascii="Times New Roman" w:hAnsi="Times New Roman" w:cs="Times New Roman"/>
          <w:b/>
          <w:bCs/>
          <w:sz w:val="28"/>
          <w:szCs w:val="28"/>
        </w:rPr>
      </w:pPr>
    </w:p>
    <w:p w14:paraId="10A357B9" w14:textId="10AE7669" w:rsidR="00146EB0" w:rsidRDefault="00146EB0" w:rsidP="003C508D">
      <w:pPr>
        <w:spacing w:line="360" w:lineRule="auto"/>
        <w:rPr>
          <w:rFonts w:ascii="Times New Roman" w:hAnsi="Times New Roman" w:cs="Times New Roman"/>
          <w:b/>
          <w:bCs/>
          <w:sz w:val="28"/>
          <w:szCs w:val="28"/>
        </w:rPr>
      </w:pPr>
    </w:p>
    <w:p w14:paraId="0AA6073F" w14:textId="0EB75FC4" w:rsidR="00146EB0" w:rsidRDefault="00146EB0" w:rsidP="003C508D">
      <w:pPr>
        <w:spacing w:line="360" w:lineRule="auto"/>
        <w:rPr>
          <w:rFonts w:ascii="Times New Roman" w:hAnsi="Times New Roman" w:cs="Times New Roman"/>
          <w:b/>
          <w:bCs/>
          <w:sz w:val="28"/>
          <w:szCs w:val="28"/>
        </w:rPr>
      </w:pPr>
    </w:p>
    <w:p w14:paraId="72128E2B" w14:textId="2696386C" w:rsidR="003C508D" w:rsidRPr="00146EB0" w:rsidRDefault="003C508D" w:rsidP="003C508D">
      <w:pPr>
        <w:spacing w:line="360" w:lineRule="auto"/>
        <w:rPr>
          <w:rFonts w:ascii="Times New Roman" w:hAnsi="Times New Roman" w:cs="Times New Roman"/>
          <w:b/>
          <w:bCs/>
          <w:sz w:val="28"/>
          <w:szCs w:val="28"/>
        </w:rPr>
      </w:pPr>
      <w:r w:rsidRPr="00146EB0">
        <w:rPr>
          <w:rFonts w:ascii="Times New Roman" w:hAnsi="Times New Roman" w:cs="Times New Roman"/>
          <w:b/>
          <w:bCs/>
          <w:sz w:val="28"/>
          <w:szCs w:val="28"/>
        </w:rPr>
        <w:lastRenderedPageBreak/>
        <w:t>VICTIM COMPENSATION AND REHABILITATION: BEYOND THE VERDICT</w:t>
      </w:r>
    </w:p>
    <w:p w14:paraId="2291BB8B" w14:textId="07C232DE" w:rsidR="003C508D" w:rsidRDefault="003C508D" w:rsidP="003C508D">
      <w:pPr>
        <w:spacing w:line="360" w:lineRule="auto"/>
        <w:rPr>
          <w:rFonts w:ascii="Times New Roman" w:hAnsi="Times New Roman" w:cs="Times New Roman"/>
        </w:rPr>
      </w:pPr>
      <w:r w:rsidRPr="003C508D">
        <w:rPr>
          <w:rFonts w:ascii="Times New Roman" w:hAnsi="Times New Roman" w:cs="Times New Roman"/>
        </w:rPr>
        <w:t>The landmark litigation led by Laxmi Agarwal fundamentally shifted the legal focus from "punishing the offender" to "restoring the survivor." The Supreme Court recognized that for a survivor of acid violence, justice is not merely a prison sentence for the attacker, but a lifetime of medical, financial, and social support.</w:t>
      </w:r>
    </w:p>
    <w:p w14:paraId="7B488A1B"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 xml:space="preserve">1.1 </w:t>
      </w:r>
      <w:r w:rsidRPr="003C508D">
        <w:rPr>
          <w:rFonts w:ascii="Times New Roman" w:hAnsi="Times New Roman" w:cs="Times New Roman"/>
        </w:rPr>
        <w:t>Government Compensation Schemes: The Statutory Mandate</w:t>
      </w:r>
    </w:p>
    <w:p w14:paraId="28E72998"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Prior to 2013, compensation was discretionary and often negligible. Today, under the State Victim Compensation Scheme (Section 357A CrPC / Section 396 BNSS), every state is mandated to maintain a dedicated fund.</w:t>
      </w:r>
    </w:p>
    <w:p w14:paraId="47336264" w14:textId="77777777" w:rsidR="003C508D" w:rsidRPr="003C508D" w:rsidRDefault="003C508D" w:rsidP="003C508D">
      <w:pPr>
        <w:numPr>
          <w:ilvl w:val="0"/>
          <w:numId w:val="35"/>
        </w:numPr>
        <w:spacing w:line="360" w:lineRule="auto"/>
        <w:rPr>
          <w:rFonts w:ascii="Times New Roman" w:hAnsi="Times New Roman" w:cs="Times New Roman"/>
        </w:rPr>
      </w:pPr>
      <w:r w:rsidRPr="003C508D">
        <w:rPr>
          <w:rFonts w:ascii="Times New Roman" w:hAnsi="Times New Roman" w:cs="Times New Roman"/>
        </w:rPr>
        <w:t>The Central Victim Compensation Fund (CVCF): To remove regional disparities, the Central Government established a corpus to support states in providing timely financial aid. This ensures that even in states with lower budgets, the survivor's right to compensation is not compromised.</w:t>
      </w:r>
    </w:p>
    <w:p w14:paraId="19527CAF" w14:textId="77777777" w:rsidR="003C508D" w:rsidRDefault="003C508D" w:rsidP="003C508D">
      <w:pPr>
        <w:numPr>
          <w:ilvl w:val="0"/>
          <w:numId w:val="35"/>
        </w:numPr>
        <w:spacing w:line="360" w:lineRule="auto"/>
        <w:rPr>
          <w:rFonts w:ascii="Times New Roman" w:hAnsi="Times New Roman" w:cs="Times New Roman"/>
        </w:rPr>
      </w:pPr>
      <w:r w:rsidRPr="003C508D">
        <w:rPr>
          <w:rFonts w:ascii="Times New Roman" w:hAnsi="Times New Roman" w:cs="Times New Roman"/>
        </w:rPr>
        <w:t>Non-Adversarial Nature: Crucially, this compensation is an "ex-gratia" right. It does not depend on the arrest or conviction of the accused. It is an acknowledgment of the State’s failure to protect the citizen’s bodily integrity.</w:t>
      </w:r>
    </w:p>
    <w:p w14:paraId="1279A71A"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 xml:space="preserve">1.2 </w:t>
      </w:r>
      <w:r w:rsidRPr="003C508D">
        <w:rPr>
          <w:rFonts w:ascii="Times New Roman" w:hAnsi="Times New Roman" w:cs="Times New Roman"/>
        </w:rPr>
        <w:t>The ₹3 Lakh Rule: A Judicial Minimum</w:t>
      </w:r>
    </w:p>
    <w:p w14:paraId="600C3B3A"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In its 2013 directive, the Supreme Court established a "floor" for compensation, which has since been the benchmark for justice:</w:t>
      </w:r>
    </w:p>
    <w:p w14:paraId="50491568" w14:textId="77777777" w:rsidR="003C508D" w:rsidRPr="003C508D" w:rsidRDefault="003C508D" w:rsidP="003C508D">
      <w:pPr>
        <w:numPr>
          <w:ilvl w:val="0"/>
          <w:numId w:val="36"/>
        </w:numPr>
        <w:spacing w:line="360" w:lineRule="auto"/>
        <w:rPr>
          <w:rFonts w:ascii="Times New Roman" w:hAnsi="Times New Roman" w:cs="Times New Roman"/>
        </w:rPr>
      </w:pPr>
      <w:r w:rsidRPr="003C508D">
        <w:rPr>
          <w:rFonts w:ascii="Times New Roman" w:hAnsi="Times New Roman" w:cs="Times New Roman"/>
        </w:rPr>
        <w:t>Quantum of Relief: The Court mandated a minimum of ₹3 Lakhs for acid attack survivors. This amount was categorized into two parts: ₹1 Lakh to be paid within 15 days of the incident (for immediate medical needs) and the remaining ₹2 Lakhs within two months.</w:t>
      </w:r>
    </w:p>
    <w:p w14:paraId="1EC721DB" w14:textId="77777777" w:rsidR="003C508D" w:rsidRDefault="003C508D" w:rsidP="003C508D">
      <w:pPr>
        <w:numPr>
          <w:ilvl w:val="0"/>
          <w:numId w:val="36"/>
        </w:numPr>
        <w:spacing w:line="360" w:lineRule="auto"/>
        <w:rPr>
          <w:rFonts w:ascii="Times New Roman" w:hAnsi="Times New Roman" w:cs="Times New Roman"/>
        </w:rPr>
      </w:pPr>
      <w:r w:rsidRPr="003C508D">
        <w:rPr>
          <w:rFonts w:ascii="Times New Roman" w:hAnsi="Times New Roman" w:cs="Times New Roman"/>
        </w:rPr>
        <w:t>Inflation and Scalability: While ₹3 Lakhs is the minimum, several states (like Haryana and Delhi) have increased this amount to ₹5 Lakhs or more, recognizing that the long-term costs of skin grafts and eye surgeries far exceed the initial judicial estimate.</w:t>
      </w:r>
    </w:p>
    <w:p w14:paraId="670C7189" w14:textId="77777777" w:rsidR="00146EB0" w:rsidRDefault="00146EB0" w:rsidP="003C508D">
      <w:pPr>
        <w:spacing w:line="360" w:lineRule="auto"/>
        <w:rPr>
          <w:rFonts w:ascii="Times New Roman" w:hAnsi="Times New Roman" w:cs="Times New Roman"/>
        </w:rPr>
      </w:pPr>
    </w:p>
    <w:p w14:paraId="6723E572" w14:textId="1E70C398" w:rsidR="003C508D" w:rsidRPr="003C508D" w:rsidRDefault="003C508D" w:rsidP="003C508D">
      <w:pPr>
        <w:spacing w:line="360" w:lineRule="auto"/>
        <w:rPr>
          <w:rFonts w:ascii="Times New Roman" w:hAnsi="Times New Roman" w:cs="Times New Roman"/>
        </w:rPr>
      </w:pPr>
      <w:r>
        <w:rPr>
          <w:rFonts w:ascii="Times New Roman" w:hAnsi="Times New Roman" w:cs="Times New Roman"/>
        </w:rPr>
        <w:lastRenderedPageBreak/>
        <w:t xml:space="preserve">1.3 </w:t>
      </w:r>
      <w:r w:rsidRPr="003C508D">
        <w:rPr>
          <w:rFonts w:ascii="Times New Roman" w:hAnsi="Times New Roman" w:cs="Times New Roman"/>
        </w:rPr>
        <w:t>Medical Rehabilitation and the 'No-Refusal' Policy</w:t>
      </w:r>
    </w:p>
    <w:p w14:paraId="672623C6"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 xml:space="preserve">Medical recovery is the most </w:t>
      </w:r>
      <w:proofErr w:type="spellStart"/>
      <w:r w:rsidRPr="003C508D">
        <w:rPr>
          <w:rFonts w:ascii="Times New Roman" w:hAnsi="Times New Roman" w:cs="Times New Roman"/>
        </w:rPr>
        <w:t>grueling</w:t>
      </w:r>
      <w:proofErr w:type="spellEnd"/>
      <w:r w:rsidRPr="003C508D">
        <w:rPr>
          <w:rFonts w:ascii="Times New Roman" w:hAnsi="Times New Roman" w:cs="Times New Roman"/>
        </w:rPr>
        <w:t xml:space="preserve"> aspect of a survivor’s journey. The judiciary issued strict protocols to ensure the right to health:</w:t>
      </w:r>
    </w:p>
    <w:p w14:paraId="3D374935" w14:textId="77777777" w:rsidR="003C508D" w:rsidRPr="003C508D" w:rsidRDefault="003C508D" w:rsidP="003C508D">
      <w:pPr>
        <w:numPr>
          <w:ilvl w:val="0"/>
          <w:numId w:val="37"/>
        </w:numPr>
        <w:spacing w:line="360" w:lineRule="auto"/>
        <w:rPr>
          <w:rFonts w:ascii="Times New Roman" w:hAnsi="Times New Roman" w:cs="Times New Roman"/>
        </w:rPr>
      </w:pPr>
      <w:r w:rsidRPr="003C508D">
        <w:rPr>
          <w:rFonts w:ascii="Times New Roman" w:hAnsi="Times New Roman" w:cs="Times New Roman"/>
        </w:rPr>
        <w:t xml:space="preserve">Free Tertiary Care: The State is obligated to provide free medical treatment, including specialized plastic surgeries and psychological </w:t>
      </w:r>
      <w:proofErr w:type="spellStart"/>
      <w:r w:rsidRPr="003C508D">
        <w:rPr>
          <w:rFonts w:ascii="Times New Roman" w:hAnsi="Times New Roman" w:cs="Times New Roman"/>
        </w:rPr>
        <w:t>counseling</w:t>
      </w:r>
      <w:proofErr w:type="spellEnd"/>
      <w:r w:rsidRPr="003C508D">
        <w:rPr>
          <w:rFonts w:ascii="Times New Roman" w:hAnsi="Times New Roman" w:cs="Times New Roman"/>
        </w:rPr>
        <w:t>, in government hospitals.</w:t>
      </w:r>
    </w:p>
    <w:p w14:paraId="0D004DC6" w14:textId="77777777" w:rsidR="003C508D" w:rsidRDefault="003C508D" w:rsidP="003C508D">
      <w:pPr>
        <w:numPr>
          <w:ilvl w:val="0"/>
          <w:numId w:val="37"/>
        </w:numPr>
        <w:spacing w:line="360" w:lineRule="auto"/>
        <w:rPr>
          <w:rFonts w:ascii="Times New Roman" w:hAnsi="Times New Roman" w:cs="Times New Roman"/>
        </w:rPr>
      </w:pPr>
      <w:r w:rsidRPr="003C508D">
        <w:rPr>
          <w:rFonts w:ascii="Times New Roman" w:hAnsi="Times New Roman" w:cs="Times New Roman"/>
        </w:rPr>
        <w:t>The Private Hospital Mandate: In a historic move, the Court ruled that private hospitals are equally bound to provide free first-aid and stabilization. Refusal to treat an acid attack survivor is a criminal offense, ensuring that the "Golden Hour" of treatment is never lost to financial negotiations.</w:t>
      </w:r>
    </w:p>
    <w:p w14:paraId="2D4703B3" w14:textId="77777777" w:rsidR="003C508D" w:rsidRPr="003C508D" w:rsidRDefault="003C508D" w:rsidP="003C508D">
      <w:pPr>
        <w:spacing w:line="360" w:lineRule="auto"/>
        <w:rPr>
          <w:rFonts w:ascii="Times New Roman" w:hAnsi="Times New Roman" w:cs="Times New Roman"/>
        </w:rPr>
      </w:pPr>
      <w:r>
        <w:rPr>
          <w:rFonts w:ascii="Times New Roman" w:hAnsi="Times New Roman" w:cs="Times New Roman"/>
        </w:rPr>
        <w:t>1.</w:t>
      </w:r>
      <w:r w:rsidRPr="003C508D">
        <w:rPr>
          <w:rFonts w:ascii="Times New Roman" w:hAnsi="Times New Roman" w:cs="Times New Roman"/>
        </w:rPr>
        <w:t xml:space="preserve">4 </w:t>
      </w:r>
      <w:r w:rsidRPr="003C508D">
        <w:rPr>
          <w:rFonts w:ascii="Times New Roman" w:hAnsi="Times New Roman" w:cs="Times New Roman"/>
        </w:rPr>
        <w:t>Social Reintegration: The Final Frontier</w:t>
      </w:r>
    </w:p>
    <w:p w14:paraId="1865C55E" w14:textId="77777777" w:rsidR="003C508D" w:rsidRPr="003C508D" w:rsidRDefault="003C508D" w:rsidP="003C508D">
      <w:pPr>
        <w:spacing w:line="360" w:lineRule="auto"/>
        <w:rPr>
          <w:rFonts w:ascii="Times New Roman" w:hAnsi="Times New Roman" w:cs="Times New Roman"/>
        </w:rPr>
      </w:pPr>
      <w:r w:rsidRPr="003C508D">
        <w:rPr>
          <w:rFonts w:ascii="Times New Roman" w:hAnsi="Times New Roman" w:cs="Times New Roman"/>
        </w:rPr>
        <w:t>While financial and medical aid are documented, the "social rehabilitation" of survivors remains a significant implementation challenge.</w:t>
      </w:r>
    </w:p>
    <w:p w14:paraId="13516ABD" w14:textId="77777777" w:rsidR="003C508D" w:rsidRPr="003C508D" w:rsidRDefault="003C508D" w:rsidP="003C508D">
      <w:pPr>
        <w:numPr>
          <w:ilvl w:val="0"/>
          <w:numId w:val="38"/>
        </w:numPr>
        <w:spacing w:line="360" w:lineRule="auto"/>
        <w:rPr>
          <w:rFonts w:ascii="Times New Roman" w:hAnsi="Times New Roman" w:cs="Times New Roman"/>
        </w:rPr>
      </w:pPr>
      <w:r w:rsidRPr="003C508D">
        <w:rPr>
          <w:rFonts w:ascii="Times New Roman" w:hAnsi="Times New Roman" w:cs="Times New Roman"/>
        </w:rPr>
        <w:t>Employment Barriers: Despite being qualified, survivors often face discrimination in the private sector due to physical disfigurement. The demand for horizontal reservation in government jobs for acid attack survivors (under the Rights of Persons with Disabilities Act, 2016) is a critical step toward economic independence.</w:t>
      </w:r>
    </w:p>
    <w:p w14:paraId="357881FE" w14:textId="77777777" w:rsidR="003C508D" w:rsidRPr="003C508D" w:rsidRDefault="003C508D" w:rsidP="003C508D">
      <w:pPr>
        <w:numPr>
          <w:ilvl w:val="0"/>
          <w:numId w:val="38"/>
        </w:numPr>
        <w:spacing w:line="360" w:lineRule="auto"/>
        <w:rPr>
          <w:rFonts w:ascii="Times New Roman" w:hAnsi="Times New Roman" w:cs="Times New Roman"/>
        </w:rPr>
      </w:pPr>
      <w:r w:rsidRPr="003C508D">
        <w:rPr>
          <w:rFonts w:ascii="Times New Roman" w:hAnsi="Times New Roman" w:cs="Times New Roman"/>
        </w:rPr>
        <w:t>Psychosocial Stigma: The transition from "victim" to "survivor" is hindered by societal attitudes. NGOs have led the way by creating "Shero" spaces—cafes and boutiques run entirely by survivors—proving that physical scars do not diminish professional capability or social worth.</w:t>
      </w:r>
    </w:p>
    <w:p w14:paraId="6B1FC2FD" w14:textId="77777777" w:rsidR="003C508D" w:rsidRDefault="003C508D" w:rsidP="003C508D">
      <w:pPr>
        <w:numPr>
          <w:ilvl w:val="0"/>
          <w:numId w:val="38"/>
        </w:numPr>
        <w:spacing w:line="360" w:lineRule="auto"/>
        <w:rPr>
          <w:rFonts w:ascii="Times New Roman" w:hAnsi="Times New Roman" w:cs="Times New Roman"/>
        </w:rPr>
      </w:pPr>
      <w:r w:rsidRPr="003C508D">
        <w:rPr>
          <w:rFonts w:ascii="Times New Roman" w:hAnsi="Times New Roman" w:cs="Times New Roman"/>
        </w:rPr>
        <w:t>The Digital Divide: Accessing government schemes often requires complex digital documentation which many survivors, especially from rural backgrounds, find difficult to navigate without external legal aid.</w:t>
      </w:r>
    </w:p>
    <w:p w14:paraId="4661FDE9"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1.5 </w:t>
      </w:r>
      <w:r w:rsidRPr="00D416BC">
        <w:rPr>
          <w:rFonts w:ascii="Times New Roman" w:hAnsi="Times New Roman" w:cs="Times New Roman"/>
        </w:rPr>
        <w:t>Conclusion</w:t>
      </w:r>
    </w:p>
    <w:p w14:paraId="3856AEE8" w14:textId="77777777" w:rsidR="00D416BC" w:rsidRDefault="00D416BC" w:rsidP="00D416BC">
      <w:pPr>
        <w:spacing w:line="360" w:lineRule="auto"/>
        <w:rPr>
          <w:rFonts w:ascii="Times New Roman" w:hAnsi="Times New Roman" w:cs="Times New Roman"/>
        </w:rPr>
      </w:pPr>
      <w:r w:rsidRPr="00D416BC">
        <w:rPr>
          <w:rFonts w:ascii="Times New Roman" w:hAnsi="Times New Roman" w:cs="Times New Roman"/>
        </w:rPr>
        <w:t>Compensation and rehabilitation form the "restorative" half of the legal system. The ₹3 Lakh rule was a beginning, not an end. True rehabilitation is achieved only when the State ensures that a survivor’s physical recovery is matched by their economic and social empowerment.</w:t>
      </w:r>
    </w:p>
    <w:p w14:paraId="1F648B71" w14:textId="77777777" w:rsidR="00D416BC" w:rsidRPr="00D416BC" w:rsidRDefault="00D416BC" w:rsidP="00D416BC">
      <w:pPr>
        <w:spacing w:line="360" w:lineRule="auto"/>
        <w:rPr>
          <w:rFonts w:ascii="Times New Roman" w:hAnsi="Times New Roman" w:cs="Times New Roman"/>
        </w:rPr>
      </w:pPr>
    </w:p>
    <w:p w14:paraId="67370ED9" w14:textId="2C1D09B1" w:rsidR="003C508D" w:rsidRDefault="00D416BC" w:rsidP="003C508D">
      <w:pPr>
        <w:spacing w:line="360" w:lineRule="auto"/>
        <w:rPr>
          <w:rFonts w:ascii="Times New Roman" w:hAnsi="Times New Roman" w:cs="Times New Roman"/>
          <w:b/>
          <w:bCs/>
          <w:sz w:val="28"/>
          <w:szCs w:val="28"/>
        </w:rPr>
      </w:pPr>
      <w:r w:rsidRPr="00D416BC">
        <w:rPr>
          <w:rFonts w:ascii="Times New Roman" w:hAnsi="Times New Roman" w:cs="Times New Roman"/>
          <w:b/>
          <w:bCs/>
          <w:sz w:val="28"/>
          <w:szCs w:val="28"/>
        </w:rPr>
        <w:lastRenderedPageBreak/>
        <w:t>A HUMAN RIGHTS IMPERATIVE: DIGNITY AND BODILY INTEGRITY</w:t>
      </w:r>
    </w:p>
    <w:p w14:paraId="114586FB" w14:textId="77777777" w:rsidR="00D416BC" w:rsidRDefault="00D416BC" w:rsidP="00D416BC">
      <w:pPr>
        <w:spacing w:line="360" w:lineRule="auto"/>
        <w:rPr>
          <w:rFonts w:ascii="Times New Roman" w:hAnsi="Times New Roman" w:cs="Times New Roman"/>
        </w:rPr>
      </w:pPr>
      <w:r w:rsidRPr="00D416BC">
        <w:rPr>
          <w:rFonts w:ascii="Times New Roman" w:hAnsi="Times New Roman" w:cs="Times New Roman"/>
        </w:rPr>
        <w:t>Acid violence is not merely a criminal act; it is a fundamental violation of human rights that strikes at the core of individual liberty and gender equality. From a human rights perspective, an acid attack is considered one of the most "heinous forms of torture" because its intent is to permanently mark, disfigure, and socially isolate the survivor.</w:t>
      </w:r>
    </w:p>
    <w:p w14:paraId="327E13CE"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1.1 </w:t>
      </w:r>
      <w:r w:rsidRPr="00D416BC">
        <w:rPr>
          <w:rFonts w:ascii="Times New Roman" w:hAnsi="Times New Roman" w:cs="Times New Roman"/>
        </w:rPr>
        <w:t>Acid Attacks as a Violation of Fundamental Human Rights</w:t>
      </w:r>
    </w:p>
    <w:p w14:paraId="29CAA0BA"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At its most basic level, acid violence violates the Right to Life and Security of Person, as enshrined in Article 3 of the Universal Declaration of Human Rights (UDHR).</w:t>
      </w:r>
    </w:p>
    <w:p w14:paraId="5D84BFB5" w14:textId="77777777" w:rsidR="00D416BC" w:rsidRPr="00D416BC" w:rsidRDefault="00D416BC" w:rsidP="00D416BC">
      <w:pPr>
        <w:numPr>
          <w:ilvl w:val="0"/>
          <w:numId w:val="39"/>
        </w:numPr>
        <w:spacing w:line="360" w:lineRule="auto"/>
        <w:rPr>
          <w:rFonts w:ascii="Times New Roman" w:hAnsi="Times New Roman" w:cs="Times New Roman"/>
        </w:rPr>
      </w:pPr>
      <w:r w:rsidRPr="00D416BC">
        <w:rPr>
          <w:rFonts w:ascii="Times New Roman" w:hAnsi="Times New Roman" w:cs="Times New Roman"/>
        </w:rPr>
        <w:t>Torture and Degrading Treatment: International law, including the Convention Against Torture (CAT), classifies acts that cause severe physical and mental suffering as "torture." Acid attacks, by their very nature, inflict excruciating pain and permanent disability, categorizing them as a form of cruel, inhuman, and degrading treatment.</w:t>
      </w:r>
    </w:p>
    <w:p w14:paraId="48BB6F2D" w14:textId="77777777" w:rsidR="00D416BC" w:rsidRPr="00D416BC" w:rsidRDefault="00D416BC" w:rsidP="00D416BC">
      <w:pPr>
        <w:numPr>
          <w:ilvl w:val="0"/>
          <w:numId w:val="39"/>
        </w:numPr>
        <w:spacing w:line="360" w:lineRule="auto"/>
        <w:rPr>
          <w:rFonts w:ascii="Times New Roman" w:hAnsi="Times New Roman" w:cs="Times New Roman"/>
        </w:rPr>
      </w:pPr>
      <w:r w:rsidRPr="00D416BC">
        <w:rPr>
          <w:rFonts w:ascii="Times New Roman" w:hAnsi="Times New Roman" w:cs="Times New Roman"/>
        </w:rPr>
        <w:t>The Right to Health: Under the International Covenant on Economic, Social and Cultural Rights (ICESCR), everyone has the right to the highest attainable standard of physical and mental health. Acid violence directly strips a survivor of this right, necessitating lifelong medical intervention that the State is obligated to facilitate.</w:t>
      </w:r>
    </w:p>
    <w:p w14:paraId="7F6B5E07"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1.2 </w:t>
      </w:r>
      <w:r w:rsidRPr="00D416BC">
        <w:rPr>
          <w:rFonts w:ascii="Times New Roman" w:hAnsi="Times New Roman" w:cs="Times New Roman"/>
        </w:rPr>
        <w:t>Article 21 and the Right to Dignity in India</w:t>
      </w:r>
    </w:p>
    <w:p w14:paraId="55033BD0"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In the Indian constitutional framework, Article 21 is the primary vehicle for human rights protection.</w:t>
      </w:r>
    </w:p>
    <w:p w14:paraId="781A6B68" w14:textId="77777777" w:rsidR="00D416BC" w:rsidRPr="00D416BC" w:rsidRDefault="00D416BC" w:rsidP="00D416BC">
      <w:pPr>
        <w:numPr>
          <w:ilvl w:val="0"/>
          <w:numId w:val="40"/>
        </w:numPr>
        <w:spacing w:line="360" w:lineRule="auto"/>
        <w:rPr>
          <w:rFonts w:ascii="Times New Roman" w:hAnsi="Times New Roman" w:cs="Times New Roman"/>
        </w:rPr>
      </w:pPr>
      <w:r w:rsidRPr="00D416BC">
        <w:rPr>
          <w:rFonts w:ascii="Times New Roman" w:hAnsi="Times New Roman" w:cs="Times New Roman"/>
        </w:rPr>
        <w:t>Beyond Biological Survival: The Supreme Court of India has consistently held that the "Right to Life" is not just the right to breathe; it is the Right to Live with Human Dignity. An acid attack is a deliberate attempt to strip a person of their "social face" and identity, making it a direct assault on constitutional dignity.</w:t>
      </w:r>
    </w:p>
    <w:p w14:paraId="2897749C" w14:textId="77777777" w:rsidR="00D416BC" w:rsidRDefault="00D416BC" w:rsidP="00D416BC">
      <w:pPr>
        <w:numPr>
          <w:ilvl w:val="0"/>
          <w:numId w:val="40"/>
        </w:numPr>
        <w:spacing w:line="360" w:lineRule="auto"/>
        <w:rPr>
          <w:rFonts w:ascii="Times New Roman" w:hAnsi="Times New Roman" w:cs="Times New Roman"/>
        </w:rPr>
      </w:pPr>
      <w:r w:rsidRPr="00D416BC">
        <w:rPr>
          <w:rFonts w:ascii="Times New Roman" w:hAnsi="Times New Roman" w:cs="Times New Roman"/>
        </w:rPr>
        <w:t>Bodily Integrity: The judiciary views the human body as inviolable. Any state failure to regulate the instruments of such violence (like concentrated acid) is seen as a failure of the "Positive Obligation" of the State to protect the bodily integrity of its citizens.</w:t>
      </w:r>
    </w:p>
    <w:p w14:paraId="34F5FD0F" w14:textId="77777777" w:rsidR="00D416BC" w:rsidRDefault="00D416BC" w:rsidP="00D416BC">
      <w:pPr>
        <w:spacing w:line="360" w:lineRule="auto"/>
        <w:rPr>
          <w:rFonts w:ascii="Times New Roman" w:hAnsi="Times New Roman" w:cs="Times New Roman"/>
        </w:rPr>
      </w:pPr>
    </w:p>
    <w:p w14:paraId="4C1DD425"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lastRenderedPageBreak/>
        <w:t xml:space="preserve">1.3 </w:t>
      </w:r>
      <w:r w:rsidRPr="00D416BC">
        <w:rPr>
          <w:rFonts w:ascii="Times New Roman" w:hAnsi="Times New Roman" w:cs="Times New Roman"/>
        </w:rPr>
        <w:t>The Women’s Rights Framework and CEDAW</w:t>
      </w:r>
    </w:p>
    <w:p w14:paraId="2F607798"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Acid violence is overwhelmingly a gendered crime, often used as a tool of patriarchal control to "punish" women who reject marriage proposals or social norms.</w:t>
      </w:r>
    </w:p>
    <w:p w14:paraId="22D8C821" w14:textId="77777777" w:rsidR="00D416BC" w:rsidRPr="00D416BC" w:rsidRDefault="00D416BC" w:rsidP="00D416BC">
      <w:pPr>
        <w:numPr>
          <w:ilvl w:val="0"/>
          <w:numId w:val="41"/>
        </w:numPr>
        <w:spacing w:line="360" w:lineRule="auto"/>
        <w:rPr>
          <w:rFonts w:ascii="Times New Roman" w:hAnsi="Times New Roman" w:cs="Times New Roman"/>
        </w:rPr>
      </w:pPr>
      <w:r w:rsidRPr="00D416BC">
        <w:rPr>
          <w:rFonts w:ascii="Times New Roman" w:hAnsi="Times New Roman" w:cs="Times New Roman"/>
        </w:rPr>
        <w:t>CEDAW Standards: The Convention on the Elimination of All Forms of Discrimination Against Women (CEDAW), to which India is a signatory, identifies gender-based violence as a form of discrimination that inhibits women's ability to enjoy rights and freedoms on a basis of equality with men.</w:t>
      </w:r>
    </w:p>
    <w:p w14:paraId="71825F85" w14:textId="77777777" w:rsidR="00D416BC" w:rsidRDefault="00D416BC" w:rsidP="00D416BC">
      <w:pPr>
        <w:numPr>
          <w:ilvl w:val="0"/>
          <w:numId w:val="41"/>
        </w:numPr>
        <w:spacing w:line="360" w:lineRule="auto"/>
        <w:rPr>
          <w:rFonts w:ascii="Times New Roman" w:hAnsi="Times New Roman" w:cs="Times New Roman"/>
        </w:rPr>
      </w:pPr>
      <w:r w:rsidRPr="00D416BC">
        <w:rPr>
          <w:rFonts w:ascii="Times New Roman" w:hAnsi="Times New Roman" w:cs="Times New Roman"/>
        </w:rPr>
        <w:t>General Recommendation No. 19: This specific CEDAW recommendation explicitly mentions acid attacks as a practice that impairs a woman's physical and mental integrity. It mandates that States take proactive measures—including legal, administrative, and protective services—to eliminate such "traditional practices" that justify violence as a form of control.</w:t>
      </w:r>
    </w:p>
    <w:p w14:paraId="2932A002" w14:textId="77777777" w:rsidR="00146EB0" w:rsidRDefault="00146EB0" w:rsidP="00D416BC">
      <w:pPr>
        <w:spacing w:line="360" w:lineRule="auto"/>
        <w:rPr>
          <w:rFonts w:ascii="Times New Roman" w:hAnsi="Times New Roman" w:cs="Times New Roman"/>
        </w:rPr>
      </w:pPr>
    </w:p>
    <w:p w14:paraId="5D6B0E44" w14:textId="014CBBEA"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1.4 </w:t>
      </w:r>
      <w:r w:rsidRPr="00D416BC">
        <w:rPr>
          <w:rFonts w:ascii="Times New Roman" w:hAnsi="Times New Roman" w:cs="Times New Roman"/>
        </w:rPr>
        <w:t>State Responsibility and Due Diligence</w:t>
      </w:r>
    </w:p>
    <w:p w14:paraId="6F0F25EF"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Under international human rights law, the State is held to a standard of "Due Diligence." This means the State can be held responsible for the acts of private individuals (the attackers) if it fails to:</w:t>
      </w:r>
    </w:p>
    <w:p w14:paraId="332F3CDC" w14:textId="77777777" w:rsidR="00D416BC" w:rsidRPr="00D416BC" w:rsidRDefault="00D416BC" w:rsidP="00D416BC">
      <w:pPr>
        <w:numPr>
          <w:ilvl w:val="0"/>
          <w:numId w:val="42"/>
        </w:numPr>
        <w:spacing w:line="360" w:lineRule="auto"/>
        <w:rPr>
          <w:rFonts w:ascii="Times New Roman" w:hAnsi="Times New Roman" w:cs="Times New Roman"/>
        </w:rPr>
      </w:pPr>
      <w:r w:rsidRPr="00D416BC">
        <w:rPr>
          <w:rFonts w:ascii="Times New Roman" w:hAnsi="Times New Roman" w:cs="Times New Roman"/>
        </w:rPr>
        <w:t>Prevent: By failing to regulate the sale of corrosive chemicals.</w:t>
      </w:r>
    </w:p>
    <w:p w14:paraId="363E814A" w14:textId="77777777" w:rsidR="00D416BC" w:rsidRPr="00D416BC" w:rsidRDefault="00D416BC" w:rsidP="00D416BC">
      <w:pPr>
        <w:numPr>
          <w:ilvl w:val="0"/>
          <w:numId w:val="42"/>
        </w:numPr>
        <w:spacing w:line="360" w:lineRule="auto"/>
        <w:rPr>
          <w:rFonts w:ascii="Times New Roman" w:hAnsi="Times New Roman" w:cs="Times New Roman"/>
        </w:rPr>
      </w:pPr>
      <w:r w:rsidRPr="00D416BC">
        <w:rPr>
          <w:rFonts w:ascii="Times New Roman" w:hAnsi="Times New Roman" w:cs="Times New Roman"/>
        </w:rPr>
        <w:t>Investigate: By allowing police apathy or procedural delays to compromise justice.</w:t>
      </w:r>
    </w:p>
    <w:p w14:paraId="16F2C4A9" w14:textId="77777777" w:rsidR="00D416BC" w:rsidRPr="00D416BC" w:rsidRDefault="00D416BC" w:rsidP="00D416BC">
      <w:pPr>
        <w:numPr>
          <w:ilvl w:val="0"/>
          <w:numId w:val="42"/>
        </w:numPr>
        <w:spacing w:line="360" w:lineRule="auto"/>
        <w:rPr>
          <w:rFonts w:ascii="Times New Roman" w:hAnsi="Times New Roman" w:cs="Times New Roman"/>
        </w:rPr>
      </w:pPr>
      <w:r w:rsidRPr="00D416BC">
        <w:rPr>
          <w:rFonts w:ascii="Times New Roman" w:hAnsi="Times New Roman" w:cs="Times New Roman"/>
        </w:rPr>
        <w:t>Punish: By having weak sentencing laws that do not act as a deterrent.</w:t>
      </w:r>
    </w:p>
    <w:p w14:paraId="7A6F3386" w14:textId="77777777" w:rsidR="00D416BC" w:rsidRDefault="00D416BC" w:rsidP="00D416BC">
      <w:pPr>
        <w:numPr>
          <w:ilvl w:val="0"/>
          <w:numId w:val="42"/>
        </w:numPr>
        <w:spacing w:line="360" w:lineRule="auto"/>
        <w:rPr>
          <w:rFonts w:ascii="Times New Roman" w:hAnsi="Times New Roman" w:cs="Times New Roman"/>
        </w:rPr>
      </w:pPr>
      <w:r w:rsidRPr="00D416BC">
        <w:rPr>
          <w:rFonts w:ascii="Times New Roman" w:hAnsi="Times New Roman" w:cs="Times New Roman"/>
        </w:rPr>
        <w:t>Repair: By failing to provide the medical and financial means for a survivor to reintegrate into society.</w:t>
      </w:r>
    </w:p>
    <w:p w14:paraId="6B58F462"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1.5 </w:t>
      </w:r>
      <w:r w:rsidRPr="00D416BC">
        <w:rPr>
          <w:rFonts w:ascii="Times New Roman" w:hAnsi="Times New Roman" w:cs="Times New Roman"/>
        </w:rPr>
        <w:t>Conclusion</w:t>
      </w:r>
    </w:p>
    <w:p w14:paraId="4EA44651"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The shift in perspective from "crime" to "human rights violation" is critical. It moves the survivor from being a passive recipient of charity to a claimant of rights. The Laxmi Agarwal case was the catalyst that forced the Indian State to acknowledge its international obligations and uphold the sanctity of the human person above all else.</w:t>
      </w:r>
    </w:p>
    <w:p w14:paraId="7A199D26" w14:textId="0F2A6EDD" w:rsidR="00D416BC" w:rsidRPr="00D416BC" w:rsidRDefault="00D416BC" w:rsidP="00D416BC">
      <w:pPr>
        <w:spacing w:line="360" w:lineRule="auto"/>
        <w:rPr>
          <w:rFonts w:ascii="Times New Roman" w:hAnsi="Times New Roman" w:cs="Times New Roman"/>
        </w:rPr>
      </w:pPr>
    </w:p>
    <w:p w14:paraId="210B847F" w14:textId="2DA2A6BE" w:rsidR="00D416BC" w:rsidRDefault="00D416BC" w:rsidP="00D416BC">
      <w:pPr>
        <w:spacing w:line="360" w:lineRule="auto"/>
        <w:rPr>
          <w:rFonts w:ascii="Times New Roman" w:hAnsi="Times New Roman" w:cs="Times New Roman"/>
          <w:b/>
          <w:bCs/>
          <w:sz w:val="28"/>
          <w:szCs w:val="28"/>
        </w:rPr>
      </w:pPr>
      <w:r w:rsidRPr="00D416BC">
        <w:rPr>
          <w:rFonts w:ascii="Times New Roman" w:hAnsi="Times New Roman" w:cs="Times New Roman"/>
          <w:b/>
          <w:bCs/>
          <w:sz w:val="28"/>
          <w:szCs w:val="28"/>
        </w:rPr>
        <w:lastRenderedPageBreak/>
        <w:t>CATALYST FOR CHANGE: MEDIA AND CIVIL SOCIETY</w:t>
      </w:r>
    </w:p>
    <w:p w14:paraId="1F2CC7E3" w14:textId="4966F012" w:rsidR="00D416BC" w:rsidRDefault="00D416BC" w:rsidP="00D416BC">
      <w:pPr>
        <w:spacing w:line="360" w:lineRule="auto"/>
        <w:rPr>
          <w:rFonts w:ascii="Times New Roman" w:hAnsi="Times New Roman" w:cs="Times New Roman"/>
        </w:rPr>
      </w:pPr>
      <w:r w:rsidRPr="00D416BC">
        <w:rPr>
          <w:rFonts w:ascii="Times New Roman" w:hAnsi="Times New Roman" w:cs="Times New Roman"/>
        </w:rPr>
        <w:t>T</w:t>
      </w:r>
      <w:r w:rsidRPr="00D416BC">
        <w:rPr>
          <w:rFonts w:ascii="Times New Roman" w:hAnsi="Times New Roman" w:cs="Times New Roman"/>
        </w:rPr>
        <w:t>he transformation of acid violence from a hidden social "shame" to a prioritized legislative agenda was not an accidental evolution. It was the result of a concerted, high-pressure campaign led by a vibrant civil society and a persistent media landscape. While the courts provided the legal remedy, the media and NGOs provided the social momentum.</w:t>
      </w:r>
    </w:p>
    <w:p w14:paraId="6A1BCFF7"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1.1 </w:t>
      </w:r>
      <w:r w:rsidRPr="00D416BC">
        <w:rPr>
          <w:rFonts w:ascii="Times New Roman" w:hAnsi="Times New Roman" w:cs="Times New Roman"/>
        </w:rPr>
        <w:t>Media Coverage: From Sensationalism to Sensitivity</w:t>
      </w:r>
    </w:p>
    <w:p w14:paraId="4806215A"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The media played a dual role in the Laxmi case—initially as a reporter of facts and eventually as a champion of reform.</w:t>
      </w:r>
    </w:p>
    <w:p w14:paraId="2E3A65BE" w14:textId="77777777" w:rsidR="00D416BC" w:rsidRPr="00D416BC" w:rsidRDefault="00D416BC" w:rsidP="00D416BC">
      <w:pPr>
        <w:numPr>
          <w:ilvl w:val="0"/>
          <w:numId w:val="44"/>
        </w:numPr>
        <w:spacing w:line="360" w:lineRule="auto"/>
        <w:rPr>
          <w:rFonts w:ascii="Times New Roman" w:hAnsi="Times New Roman" w:cs="Times New Roman"/>
        </w:rPr>
      </w:pPr>
      <w:r w:rsidRPr="00D416BC">
        <w:rPr>
          <w:rFonts w:ascii="Times New Roman" w:hAnsi="Times New Roman" w:cs="Times New Roman"/>
        </w:rPr>
        <w:t xml:space="preserve">The Power of Visual Narrative: Early media coverage broke the silence by giving survivors a platform to speak. By featuring survivors on mainstream news channels and in documentaries, the media challenged the "invisibility" </w:t>
      </w:r>
      <w:proofErr w:type="gramStart"/>
      <w:r w:rsidRPr="00D416BC">
        <w:rPr>
          <w:rFonts w:ascii="Times New Roman" w:hAnsi="Times New Roman" w:cs="Times New Roman"/>
        </w:rPr>
        <w:t>that attackers</w:t>
      </w:r>
      <w:proofErr w:type="gramEnd"/>
      <w:r w:rsidRPr="00D416BC">
        <w:rPr>
          <w:rFonts w:ascii="Times New Roman" w:hAnsi="Times New Roman" w:cs="Times New Roman"/>
        </w:rPr>
        <w:t xml:space="preserve"> sought to impose.</w:t>
      </w:r>
    </w:p>
    <w:p w14:paraId="115E0105" w14:textId="77777777" w:rsidR="00D416BC" w:rsidRPr="00D416BC" w:rsidRDefault="00D416BC" w:rsidP="00D416BC">
      <w:pPr>
        <w:numPr>
          <w:ilvl w:val="0"/>
          <w:numId w:val="44"/>
        </w:numPr>
        <w:spacing w:line="360" w:lineRule="auto"/>
        <w:rPr>
          <w:rFonts w:ascii="Times New Roman" w:hAnsi="Times New Roman" w:cs="Times New Roman"/>
        </w:rPr>
      </w:pPr>
      <w:r w:rsidRPr="00D416BC">
        <w:rPr>
          <w:rFonts w:ascii="Times New Roman" w:hAnsi="Times New Roman" w:cs="Times New Roman"/>
        </w:rPr>
        <w:t xml:space="preserve">Investigative Journalism: Crucial to the PIL’s success was investigative reporting that exposed the "ease of access" to acid. Journalists conducted sting operations showing that a </w:t>
      </w:r>
      <w:proofErr w:type="spellStart"/>
      <w:r w:rsidRPr="00D416BC">
        <w:rPr>
          <w:rFonts w:ascii="Times New Roman" w:hAnsi="Times New Roman" w:cs="Times New Roman"/>
        </w:rPr>
        <w:t>liter</w:t>
      </w:r>
      <w:proofErr w:type="spellEnd"/>
      <w:r w:rsidRPr="00D416BC">
        <w:rPr>
          <w:rFonts w:ascii="Times New Roman" w:hAnsi="Times New Roman" w:cs="Times New Roman"/>
        </w:rPr>
        <w:t xml:space="preserve"> of concentrated acid could be bought for less than the price of a soda, with no questions asked. This evidence was instrumental in proving the State's negligence in the Supreme Court.</w:t>
      </w:r>
    </w:p>
    <w:p w14:paraId="5E59CBDF" w14:textId="77777777" w:rsidR="00D416BC" w:rsidRDefault="00D416BC" w:rsidP="00D416BC">
      <w:pPr>
        <w:numPr>
          <w:ilvl w:val="0"/>
          <w:numId w:val="44"/>
        </w:numPr>
        <w:spacing w:line="360" w:lineRule="auto"/>
        <w:rPr>
          <w:rFonts w:ascii="Times New Roman" w:hAnsi="Times New Roman" w:cs="Times New Roman"/>
        </w:rPr>
      </w:pPr>
      <w:r w:rsidRPr="00D416BC">
        <w:rPr>
          <w:rFonts w:ascii="Times New Roman" w:hAnsi="Times New Roman" w:cs="Times New Roman"/>
        </w:rPr>
        <w:t xml:space="preserve">Mainstream Cinema and Digital Media: Films like </w:t>
      </w:r>
      <w:proofErr w:type="spellStart"/>
      <w:r w:rsidRPr="00D416BC">
        <w:rPr>
          <w:rFonts w:ascii="Times New Roman" w:hAnsi="Times New Roman" w:cs="Times New Roman"/>
          <w:i/>
          <w:iCs/>
        </w:rPr>
        <w:t>Chhapaak</w:t>
      </w:r>
      <w:proofErr w:type="spellEnd"/>
      <w:r w:rsidRPr="00D416BC">
        <w:rPr>
          <w:rFonts w:ascii="Times New Roman" w:hAnsi="Times New Roman" w:cs="Times New Roman"/>
        </w:rPr>
        <w:t xml:space="preserve"> and social media campaigns under hashtags like #StopAcidSale brought the legal nuances of the Supreme Court directives into common household discussions, ensuring that the judgment didn't just remain a "lawyer’s document."</w:t>
      </w:r>
    </w:p>
    <w:p w14:paraId="5DBC4C86" w14:textId="77777777" w:rsidR="00D416BC" w:rsidRPr="00D416BC" w:rsidRDefault="00D416BC" w:rsidP="00D416BC">
      <w:pPr>
        <w:spacing w:line="360" w:lineRule="auto"/>
        <w:rPr>
          <w:rFonts w:ascii="Times New Roman" w:hAnsi="Times New Roman" w:cs="Times New Roman"/>
        </w:rPr>
      </w:pPr>
      <w:r>
        <w:rPr>
          <w:rFonts w:ascii="Times New Roman" w:hAnsi="Times New Roman" w:cs="Times New Roman"/>
        </w:rPr>
        <w:t xml:space="preserve">1.2 </w:t>
      </w:r>
      <w:r w:rsidRPr="00D416BC">
        <w:rPr>
          <w:rFonts w:ascii="Times New Roman" w:hAnsi="Times New Roman" w:cs="Times New Roman"/>
        </w:rPr>
        <w:t>The Strategic Role of NGOs and Activism</w:t>
      </w:r>
    </w:p>
    <w:p w14:paraId="1BD0A233" w14:textId="77777777" w:rsidR="00D416BC" w:rsidRPr="00D416BC" w:rsidRDefault="00D416BC" w:rsidP="00D416BC">
      <w:pPr>
        <w:spacing w:line="360" w:lineRule="auto"/>
        <w:rPr>
          <w:rFonts w:ascii="Times New Roman" w:hAnsi="Times New Roman" w:cs="Times New Roman"/>
        </w:rPr>
      </w:pPr>
      <w:r w:rsidRPr="00D416BC">
        <w:rPr>
          <w:rFonts w:ascii="Times New Roman" w:hAnsi="Times New Roman" w:cs="Times New Roman"/>
        </w:rPr>
        <w:t>Non-Governmental Organizations (NGOs) acted as the backbone of the movement, providing the logistics for a national campaign.</w:t>
      </w:r>
    </w:p>
    <w:p w14:paraId="2DEB391F" w14:textId="77777777" w:rsidR="00D416BC" w:rsidRPr="00D416BC" w:rsidRDefault="00D416BC" w:rsidP="00D416BC">
      <w:pPr>
        <w:numPr>
          <w:ilvl w:val="0"/>
          <w:numId w:val="45"/>
        </w:numPr>
        <w:spacing w:line="360" w:lineRule="auto"/>
        <w:rPr>
          <w:rFonts w:ascii="Times New Roman" w:hAnsi="Times New Roman" w:cs="Times New Roman"/>
        </w:rPr>
      </w:pPr>
      <w:proofErr w:type="spellStart"/>
      <w:r w:rsidRPr="00D416BC">
        <w:rPr>
          <w:rFonts w:ascii="Times New Roman" w:hAnsi="Times New Roman" w:cs="Times New Roman"/>
        </w:rPr>
        <w:t>Chhanv</w:t>
      </w:r>
      <w:proofErr w:type="spellEnd"/>
      <w:r w:rsidRPr="00D416BC">
        <w:rPr>
          <w:rFonts w:ascii="Times New Roman" w:hAnsi="Times New Roman" w:cs="Times New Roman"/>
        </w:rPr>
        <w:t xml:space="preserve"> Foundation and the 'Stop Acid Attacks' Movement: NGOs were the first to organize survivors into a cohesive political voice. They moved beyond traditional "charity" to focus on "empowerment." The establishment of spaces like </w:t>
      </w:r>
      <w:r w:rsidRPr="00D416BC">
        <w:rPr>
          <w:rFonts w:ascii="Times New Roman" w:hAnsi="Times New Roman" w:cs="Times New Roman"/>
          <w:i/>
          <w:iCs/>
        </w:rPr>
        <w:t>Sheroes Hangout</w:t>
      </w:r>
      <w:r w:rsidRPr="00D416BC">
        <w:rPr>
          <w:rFonts w:ascii="Times New Roman" w:hAnsi="Times New Roman" w:cs="Times New Roman"/>
        </w:rPr>
        <w:t>—cafes run by survivors—was a revolutionary step in social reintegration.</w:t>
      </w:r>
    </w:p>
    <w:p w14:paraId="33FB35C0" w14:textId="77777777" w:rsidR="00D416BC" w:rsidRPr="00D416BC" w:rsidRDefault="00D416BC" w:rsidP="00D416BC">
      <w:pPr>
        <w:numPr>
          <w:ilvl w:val="0"/>
          <w:numId w:val="45"/>
        </w:numPr>
        <w:spacing w:line="360" w:lineRule="auto"/>
        <w:rPr>
          <w:rFonts w:ascii="Times New Roman" w:hAnsi="Times New Roman" w:cs="Times New Roman"/>
        </w:rPr>
      </w:pPr>
      <w:r w:rsidRPr="00D416BC">
        <w:rPr>
          <w:rFonts w:ascii="Times New Roman" w:hAnsi="Times New Roman" w:cs="Times New Roman"/>
        </w:rPr>
        <w:t xml:space="preserve">Legal and Psychological Navigators: NGOs played a critical role in "legal literacy." They assisted survivors in filing FIRs, navigating the complex bureaucracy of the ₹3 </w:t>
      </w:r>
      <w:r w:rsidRPr="00D416BC">
        <w:rPr>
          <w:rFonts w:ascii="Times New Roman" w:hAnsi="Times New Roman" w:cs="Times New Roman"/>
        </w:rPr>
        <w:lastRenderedPageBreak/>
        <w:t>Lakh compensation scheme, and connecting them with pro-bono surgeons for reconstructive procedures.</w:t>
      </w:r>
    </w:p>
    <w:p w14:paraId="4749D846" w14:textId="77777777" w:rsidR="00D416BC" w:rsidRDefault="00D416BC" w:rsidP="00D416BC">
      <w:pPr>
        <w:numPr>
          <w:ilvl w:val="0"/>
          <w:numId w:val="45"/>
        </w:numPr>
        <w:spacing w:line="360" w:lineRule="auto"/>
        <w:rPr>
          <w:rFonts w:ascii="Times New Roman" w:hAnsi="Times New Roman" w:cs="Times New Roman"/>
        </w:rPr>
      </w:pPr>
      <w:r w:rsidRPr="00D416BC">
        <w:rPr>
          <w:rFonts w:ascii="Times New Roman" w:hAnsi="Times New Roman" w:cs="Times New Roman"/>
        </w:rPr>
        <w:t xml:space="preserve">Policy Advocacy: Organizations like the </w:t>
      </w:r>
      <w:r w:rsidRPr="00D416BC">
        <w:rPr>
          <w:rFonts w:ascii="Times New Roman" w:hAnsi="Times New Roman" w:cs="Times New Roman"/>
          <w:i/>
          <w:iCs/>
        </w:rPr>
        <w:t>Human Rights Law Network (HRLN)</w:t>
      </w:r>
      <w:r w:rsidRPr="00D416BC">
        <w:rPr>
          <w:rFonts w:ascii="Times New Roman" w:hAnsi="Times New Roman" w:cs="Times New Roman"/>
        </w:rPr>
        <w:t xml:space="preserve"> provided the technical legal expertise needed to draft the PIL and sustain the "Continuous Mandamus" that kept the case alive in court for years.</w:t>
      </w:r>
    </w:p>
    <w:p w14:paraId="3F5C3FA0" w14:textId="77777777" w:rsidR="00F16AB2" w:rsidRPr="00F16AB2" w:rsidRDefault="00D416BC" w:rsidP="00F16AB2">
      <w:pPr>
        <w:spacing w:line="360" w:lineRule="auto"/>
        <w:rPr>
          <w:rFonts w:ascii="Times New Roman" w:hAnsi="Times New Roman" w:cs="Times New Roman"/>
        </w:rPr>
      </w:pPr>
      <w:r>
        <w:rPr>
          <w:rFonts w:ascii="Times New Roman" w:hAnsi="Times New Roman" w:cs="Times New Roman"/>
        </w:rPr>
        <w:t xml:space="preserve">1.3 </w:t>
      </w:r>
      <w:r w:rsidR="00F16AB2" w:rsidRPr="00F16AB2">
        <w:rPr>
          <w:rFonts w:ascii="Times New Roman" w:hAnsi="Times New Roman" w:cs="Times New Roman"/>
        </w:rPr>
        <w:t>Generating Public Pressure on the Government</w:t>
      </w:r>
    </w:p>
    <w:p w14:paraId="5101AEB9" w14:textId="77777777"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The synergy between media and civil society created an environment where government inaction became politically costly.</w:t>
      </w:r>
    </w:p>
    <w:p w14:paraId="4898C1A1" w14:textId="77777777" w:rsidR="00F16AB2" w:rsidRPr="00F16AB2" w:rsidRDefault="00F16AB2" w:rsidP="00F16AB2">
      <w:pPr>
        <w:numPr>
          <w:ilvl w:val="0"/>
          <w:numId w:val="46"/>
        </w:numPr>
        <w:spacing w:line="360" w:lineRule="auto"/>
        <w:rPr>
          <w:rFonts w:ascii="Times New Roman" w:hAnsi="Times New Roman" w:cs="Times New Roman"/>
        </w:rPr>
      </w:pPr>
      <w:r w:rsidRPr="00F16AB2">
        <w:rPr>
          <w:rFonts w:ascii="Times New Roman" w:hAnsi="Times New Roman" w:cs="Times New Roman"/>
        </w:rPr>
        <w:t>The "Nirbhaya" Momentum: The 2013 legislative reforms were accelerated by massive public protests. The media’s relentless focus on the lack of safety for women forced the Justice Verma Committee to include specific recommendations for acid violence in their landmark report.</w:t>
      </w:r>
    </w:p>
    <w:p w14:paraId="27490FD6" w14:textId="77777777" w:rsidR="00F16AB2" w:rsidRDefault="00F16AB2" w:rsidP="00F16AB2">
      <w:pPr>
        <w:numPr>
          <w:ilvl w:val="0"/>
          <w:numId w:val="46"/>
        </w:numPr>
        <w:spacing w:line="360" w:lineRule="auto"/>
        <w:rPr>
          <w:rFonts w:ascii="Times New Roman" w:hAnsi="Times New Roman" w:cs="Times New Roman"/>
        </w:rPr>
      </w:pPr>
      <w:r w:rsidRPr="00F16AB2">
        <w:rPr>
          <w:rFonts w:ascii="Times New Roman" w:hAnsi="Times New Roman" w:cs="Times New Roman"/>
        </w:rPr>
        <w:t>Digital Activism: Online petitions on platforms like Change.org garnered hundreds of thousands of signatures, demanding stricter retail regulations. This digital "public square" ensured that the Ministry of Home Affairs was under constant pressure to issue advisories to all State Governments regarding the implementation of the Supreme Court's guidelines.</w:t>
      </w:r>
    </w:p>
    <w:p w14:paraId="0E04948E" w14:textId="77777777" w:rsidR="00146EB0" w:rsidRDefault="00146EB0" w:rsidP="00F16AB2">
      <w:pPr>
        <w:spacing w:line="360" w:lineRule="auto"/>
        <w:rPr>
          <w:rFonts w:ascii="Times New Roman" w:hAnsi="Times New Roman" w:cs="Times New Roman"/>
        </w:rPr>
      </w:pPr>
    </w:p>
    <w:p w14:paraId="56AAD137" w14:textId="2EF527CC" w:rsidR="00F16AB2" w:rsidRPr="00F16AB2" w:rsidRDefault="00F16AB2" w:rsidP="00F16AB2">
      <w:pPr>
        <w:spacing w:line="360" w:lineRule="auto"/>
        <w:rPr>
          <w:rFonts w:ascii="Times New Roman" w:hAnsi="Times New Roman" w:cs="Times New Roman"/>
        </w:rPr>
      </w:pPr>
      <w:r>
        <w:rPr>
          <w:rFonts w:ascii="Times New Roman" w:hAnsi="Times New Roman" w:cs="Times New Roman"/>
        </w:rPr>
        <w:t xml:space="preserve">1.5 </w:t>
      </w:r>
      <w:r w:rsidRPr="00F16AB2">
        <w:rPr>
          <w:rFonts w:ascii="Times New Roman" w:hAnsi="Times New Roman" w:cs="Times New Roman"/>
        </w:rPr>
        <w:t>Conclusion: The Watchdog Function</w:t>
      </w:r>
    </w:p>
    <w:p w14:paraId="7229220B" w14:textId="77777777"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The role of media and civil society did not end with the judgment. Today, they serve as the "informal monitors" of the law. When a hospital refuses treatment or a local shop continues to sell unregulated acid, it is often a local NGO or a social media report that triggers administrative action. They have transformed the survivor from a "victim of circumstance" to a "protagonist of social justice."</w:t>
      </w:r>
    </w:p>
    <w:p w14:paraId="3A1C46E8" w14:textId="2F0BE287" w:rsidR="00F16AB2" w:rsidRPr="00F16AB2" w:rsidRDefault="00F16AB2" w:rsidP="00F16AB2">
      <w:pPr>
        <w:spacing w:line="360" w:lineRule="auto"/>
        <w:rPr>
          <w:rFonts w:ascii="Times New Roman" w:hAnsi="Times New Roman" w:cs="Times New Roman"/>
        </w:rPr>
      </w:pPr>
    </w:p>
    <w:p w14:paraId="5784E72A" w14:textId="77777777" w:rsidR="00146EB0" w:rsidRDefault="00146EB0" w:rsidP="003C508D">
      <w:pPr>
        <w:spacing w:line="360" w:lineRule="auto"/>
        <w:rPr>
          <w:rFonts w:ascii="Times New Roman" w:hAnsi="Times New Roman" w:cs="Times New Roman"/>
          <w:b/>
          <w:bCs/>
          <w:sz w:val="28"/>
          <w:szCs w:val="28"/>
        </w:rPr>
      </w:pPr>
    </w:p>
    <w:p w14:paraId="76872AD7" w14:textId="77777777" w:rsidR="00146EB0" w:rsidRDefault="00146EB0" w:rsidP="003C508D">
      <w:pPr>
        <w:spacing w:line="360" w:lineRule="auto"/>
        <w:rPr>
          <w:rFonts w:ascii="Times New Roman" w:hAnsi="Times New Roman" w:cs="Times New Roman"/>
          <w:b/>
          <w:bCs/>
          <w:sz w:val="28"/>
          <w:szCs w:val="28"/>
        </w:rPr>
      </w:pPr>
    </w:p>
    <w:p w14:paraId="215B8163" w14:textId="20A50A41" w:rsidR="00D416BC" w:rsidRPr="003C508D" w:rsidRDefault="00F16AB2" w:rsidP="003C508D">
      <w:pPr>
        <w:spacing w:line="360" w:lineRule="auto"/>
        <w:rPr>
          <w:rFonts w:ascii="Times New Roman" w:hAnsi="Times New Roman" w:cs="Times New Roman"/>
          <w:b/>
          <w:bCs/>
          <w:sz w:val="28"/>
          <w:szCs w:val="28"/>
        </w:rPr>
      </w:pPr>
      <w:r>
        <w:rPr>
          <w:rFonts w:ascii="Times New Roman" w:hAnsi="Times New Roman" w:cs="Times New Roman"/>
          <w:b/>
          <w:bCs/>
          <w:sz w:val="28"/>
          <w:szCs w:val="28"/>
        </w:rPr>
        <w:t>CONCLUSION AND STRATEGIC RECOMMENDATIONS</w:t>
      </w:r>
    </w:p>
    <w:p w14:paraId="5430650D" w14:textId="2A964DD9" w:rsidR="003C508D" w:rsidRDefault="00F16AB2" w:rsidP="00F16AB2">
      <w:pPr>
        <w:spacing w:line="360" w:lineRule="auto"/>
        <w:rPr>
          <w:rFonts w:ascii="Times New Roman" w:hAnsi="Times New Roman" w:cs="Times New Roman"/>
        </w:rPr>
      </w:pPr>
      <w:r w:rsidRPr="00F16AB2">
        <w:rPr>
          <w:rFonts w:ascii="Times New Roman" w:hAnsi="Times New Roman" w:cs="Times New Roman"/>
        </w:rPr>
        <w:lastRenderedPageBreak/>
        <w:t xml:space="preserve">The case of </w:t>
      </w:r>
      <w:r w:rsidRPr="00F16AB2">
        <w:rPr>
          <w:rFonts w:ascii="Times New Roman" w:hAnsi="Times New Roman" w:cs="Times New Roman"/>
          <w:i/>
          <w:iCs/>
        </w:rPr>
        <w:t>Laxmi v. Union of India</w:t>
      </w:r>
      <w:r w:rsidRPr="00F16AB2">
        <w:rPr>
          <w:rFonts w:ascii="Times New Roman" w:hAnsi="Times New Roman" w:cs="Times New Roman"/>
        </w:rPr>
        <w:t xml:space="preserve"> serves as a transformative milestone in the Indian legal journey, evolving from a singular petition for justice into a nationwide blueprint for human rights. It has redefined the boundaries of state liability and established that the protection of a citizen’s bodily integrity is the highest duty of a constitutional democracy</w:t>
      </w:r>
      <w:r>
        <w:rPr>
          <w:rFonts w:ascii="Times New Roman" w:hAnsi="Times New Roman" w:cs="Times New Roman"/>
        </w:rPr>
        <w:t>.</w:t>
      </w:r>
    </w:p>
    <w:p w14:paraId="060C12DF" w14:textId="77777777" w:rsidR="00F16AB2" w:rsidRPr="00F16AB2" w:rsidRDefault="00F16AB2" w:rsidP="00F16AB2">
      <w:pPr>
        <w:spacing w:line="360" w:lineRule="auto"/>
        <w:rPr>
          <w:rFonts w:ascii="Times New Roman" w:hAnsi="Times New Roman" w:cs="Times New Roman"/>
        </w:rPr>
      </w:pPr>
      <w:r>
        <w:rPr>
          <w:rFonts w:ascii="Times New Roman" w:hAnsi="Times New Roman" w:cs="Times New Roman"/>
        </w:rPr>
        <w:t xml:space="preserve">1.1 </w:t>
      </w:r>
      <w:r w:rsidRPr="00F16AB2">
        <w:rPr>
          <w:rFonts w:ascii="Times New Roman" w:hAnsi="Times New Roman" w:cs="Times New Roman"/>
        </w:rPr>
        <w:t>Summary of Findings</w:t>
      </w:r>
    </w:p>
    <w:p w14:paraId="183CA75E" w14:textId="77777777"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This report has traced the evolution of acid attack laws from a state of legislative silence to a comprehensive socio-legal framework. The key findings include:</w:t>
      </w:r>
    </w:p>
    <w:p w14:paraId="69ED7705" w14:textId="77777777" w:rsidR="00F16AB2" w:rsidRPr="00F16AB2" w:rsidRDefault="00F16AB2" w:rsidP="00F16AB2">
      <w:pPr>
        <w:numPr>
          <w:ilvl w:val="0"/>
          <w:numId w:val="47"/>
        </w:numPr>
        <w:spacing w:line="360" w:lineRule="auto"/>
        <w:rPr>
          <w:rFonts w:ascii="Times New Roman" w:hAnsi="Times New Roman" w:cs="Times New Roman"/>
        </w:rPr>
      </w:pPr>
      <w:r w:rsidRPr="00F16AB2">
        <w:rPr>
          <w:rFonts w:ascii="Times New Roman" w:hAnsi="Times New Roman" w:cs="Times New Roman"/>
        </w:rPr>
        <w:t>The Legislative Shift: The introduction of Sections 326A and 326B of the IPC (now mirrored in the BNS) successfully recognized acid violence as a distinct and specialized crime.</w:t>
      </w:r>
    </w:p>
    <w:p w14:paraId="55FBEBA8" w14:textId="7CCFA02D" w:rsidR="00F16AB2" w:rsidRPr="00F16AB2" w:rsidRDefault="00F16AB2" w:rsidP="00F16AB2">
      <w:pPr>
        <w:numPr>
          <w:ilvl w:val="0"/>
          <w:numId w:val="47"/>
        </w:numPr>
        <w:spacing w:line="360" w:lineRule="auto"/>
        <w:rPr>
          <w:rFonts w:ascii="Times New Roman" w:hAnsi="Times New Roman" w:cs="Times New Roman"/>
        </w:rPr>
      </w:pPr>
      <w:r w:rsidRPr="00F16AB2">
        <w:rPr>
          <w:rFonts w:ascii="Times New Roman" w:hAnsi="Times New Roman" w:cs="Times New Roman"/>
        </w:rPr>
        <w:t xml:space="preserve">The Judicial Mandate: The Supreme Court’s "Golden Triangle" of directives—comprising retail regulation, mandatory compensation, and the "no-refusal" medical policy—provided the first structural </w:t>
      </w:r>
      <w:r w:rsidRPr="00F16AB2">
        <w:rPr>
          <w:rFonts w:ascii="Times New Roman" w:hAnsi="Times New Roman" w:cs="Times New Roman"/>
        </w:rPr>
        <w:t>defence</w:t>
      </w:r>
      <w:r w:rsidRPr="00F16AB2">
        <w:rPr>
          <w:rFonts w:ascii="Times New Roman" w:hAnsi="Times New Roman" w:cs="Times New Roman"/>
        </w:rPr>
        <w:t xml:space="preserve"> for survivors.</w:t>
      </w:r>
    </w:p>
    <w:p w14:paraId="3C8C7B00" w14:textId="77777777" w:rsidR="00F16AB2" w:rsidRDefault="00F16AB2" w:rsidP="00F16AB2">
      <w:pPr>
        <w:numPr>
          <w:ilvl w:val="0"/>
          <w:numId w:val="47"/>
        </w:numPr>
        <w:spacing w:line="360" w:lineRule="auto"/>
        <w:rPr>
          <w:rFonts w:ascii="Times New Roman" w:hAnsi="Times New Roman" w:cs="Times New Roman"/>
        </w:rPr>
      </w:pPr>
      <w:r w:rsidRPr="00F16AB2">
        <w:rPr>
          <w:rFonts w:ascii="Times New Roman" w:hAnsi="Times New Roman" w:cs="Times New Roman"/>
        </w:rPr>
        <w:t>The Implementation Gap</w:t>
      </w:r>
      <w:r w:rsidRPr="00F16AB2">
        <w:rPr>
          <w:rFonts w:ascii="Times New Roman" w:hAnsi="Times New Roman" w:cs="Times New Roman"/>
          <w:b/>
          <w:bCs/>
        </w:rPr>
        <w:t>:</w:t>
      </w:r>
      <w:r w:rsidRPr="00F16AB2">
        <w:rPr>
          <w:rFonts w:ascii="Times New Roman" w:hAnsi="Times New Roman" w:cs="Times New Roman"/>
        </w:rPr>
        <w:t xml:space="preserve"> Despite robust laws, the persistent challenges of "grey market" acid sales and bureaucratic delays in compensation continue to hinder the full realization of justice.</w:t>
      </w:r>
    </w:p>
    <w:p w14:paraId="65C771B4" w14:textId="77777777" w:rsidR="00F16AB2" w:rsidRPr="00F16AB2" w:rsidRDefault="00F16AB2" w:rsidP="00F16AB2">
      <w:pPr>
        <w:spacing w:line="360" w:lineRule="auto"/>
        <w:rPr>
          <w:rFonts w:ascii="Times New Roman" w:hAnsi="Times New Roman" w:cs="Times New Roman"/>
        </w:rPr>
      </w:pPr>
      <w:r>
        <w:rPr>
          <w:rFonts w:ascii="Times New Roman" w:hAnsi="Times New Roman" w:cs="Times New Roman"/>
        </w:rPr>
        <w:t xml:space="preserve">1.2 </w:t>
      </w:r>
      <w:r w:rsidRPr="00F16AB2">
        <w:rPr>
          <w:rFonts w:ascii="Times New Roman" w:hAnsi="Times New Roman" w:cs="Times New Roman"/>
        </w:rPr>
        <w:t>Importance of the Case</w:t>
      </w:r>
    </w:p>
    <w:p w14:paraId="2F61F19D" w14:textId="77777777"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The Laxmi case is significant not just for its legal outcomes, but for its jurisprudential impact. It pioneered the concept of "Continuous Mandamus," where the court remains a vigilant guardian long after the initial verdict. It shifted the narrative of gender-based violence from "private injury" to a "public human rights violation," forcing the State to acknowledge its role in enabling violence through a lack of regulation.</w:t>
      </w:r>
    </w:p>
    <w:p w14:paraId="5B7EEB1A" w14:textId="06CFE77A" w:rsidR="00F16AB2" w:rsidRPr="00F16AB2" w:rsidRDefault="00F16AB2" w:rsidP="00F16AB2">
      <w:pPr>
        <w:spacing w:line="360" w:lineRule="auto"/>
        <w:rPr>
          <w:rFonts w:ascii="Times New Roman" w:hAnsi="Times New Roman" w:cs="Times New Roman"/>
        </w:rPr>
      </w:pPr>
      <w:r>
        <w:rPr>
          <w:rFonts w:ascii="Times New Roman" w:hAnsi="Times New Roman" w:cs="Times New Roman"/>
        </w:rPr>
        <w:t>1.3</w:t>
      </w:r>
      <w:r w:rsidRPr="00F16AB2">
        <w:rPr>
          <w:rFonts w:ascii="Times New Roman" w:hAnsi="Times New Roman" w:cs="Times New Roman"/>
        </w:rPr>
        <w:t xml:space="preserve"> Strategic Suggestions for Reform</w:t>
      </w:r>
    </w:p>
    <w:p w14:paraId="2F0E20D5" w14:textId="77777777"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To move from "protection on paper" to "safety on the ground," the following reforms are proposed:</w:t>
      </w:r>
    </w:p>
    <w:p w14:paraId="4C0E63CB" w14:textId="77777777" w:rsidR="00F16AB2" w:rsidRPr="00F16AB2" w:rsidRDefault="00F16AB2" w:rsidP="00F16AB2">
      <w:pPr>
        <w:numPr>
          <w:ilvl w:val="0"/>
          <w:numId w:val="48"/>
        </w:numPr>
        <w:spacing w:line="360" w:lineRule="auto"/>
        <w:rPr>
          <w:rFonts w:ascii="Times New Roman" w:hAnsi="Times New Roman" w:cs="Times New Roman"/>
        </w:rPr>
      </w:pPr>
      <w:r w:rsidRPr="00F16AB2">
        <w:rPr>
          <w:rFonts w:ascii="Times New Roman" w:hAnsi="Times New Roman" w:cs="Times New Roman"/>
        </w:rPr>
        <w:t>Creation of a National Acid Control Bureau: Rather than relying on local SDMs, a centralized authority should be tasked with the digital tracking of industrial-grade acids using QR-code-based inventory management.</w:t>
      </w:r>
    </w:p>
    <w:p w14:paraId="5F174979" w14:textId="77777777" w:rsidR="00F16AB2" w:rsidRPr="00F16AB2" w:rsidRDefault="00F16AB2" w:rsidP="00F16AB2">
      <w:pPr>
        <w:numPr>
          <w:ilvl w:val="0"/>
          <w:numId w:val="48"/>
        </w:numPr>
        <w:spacing w:line="360" w:lineRule="auto"/>
        <w:rPr>
          <w:rFonts w:ascii="Times New Roman" w:hAnsi="Times New Roman" w:cs="Times New Roman"/>
        </w:rPr>
      </w:pPr>
      <w:r w:rsidRPr="00F16AB2">
        <w:rPr>
          <w:rFonts w:ascii="Times New Roman" w:hAnsi="Times New Roman" w:cs="Times New Roman"/>
        </w:rPr>
        <w:lastRenderedPageBreak/>
        <w:t>Fast-Track Specialized Tribunals: Acid attack cases should be tried in dedicated courts with a statutory mandate to deliver a verdict within six months, ensuring that the deterrent effect of the law is not lost to judicial fatigue.</w:t>
      </w:r>
    </w:p>
    <w:p w14:paraId="1B6A81EC" w14:textId="77777777" w:rsidR="00F16AB2" w:rsidRPr="00F16AB2" w:rsidRDefault="00F16AB2" w:rsidP="00F16AB2">
      <w:pPr>
        <w:numPr>
          <w:ilvl w:val="0"/>
          <w:numId w:val="48"/>
        </w:numPr>
        <w:spacing w:line="360" w:lineRule="auto"/>
        <w:rPr>
          <w:rFonts w:ascii="Times New Roman" w:hAnsi="Times New Roman" w:cs="Times New Roman"/>
        </w:rPr>
      </w:pPr>
      <w:r w:rsidRPr="00F16AB2">
        <w:rPr>
          <w:rFonts w:ascii="Times New Roman" w:hAnsi="Times New Roman" w:cs="Times New Roman"/>
        </w:rPr>
        <w:t>Horizontal Reservation in Employment: The State should provide specific quotas in government jobs for survivors under the "Locomotor Disability" category, ensuring their economic independence and social reintegration.</w:t>
      </w:r>
    </w:p>
    <w:p w14:paraId="600701D7" w14:textId="77777777" w:rsidR="00F16AB2" w:rsidRDefault="00F16AB2" w:rsidP="00F16AB2">
      <w:pPr>
        <w:numPr>
          <w:ilvl w:val="0"/>
          <w:numId w:val="48"/>
        </w:numPr>
        <w:spacing w:line="360" w:lineRule="auto"/>
        <w:rPr>
          <w:rFonts w:ascii="Times New Roman" w:hAnsi="Times New Roman" w:cs="Times New Roman"/>
        </w:rPr>
      </w:pPr>
      <w:r w:rsidRPr="00F16AB2">
        <w:rPr>
          <w:rFonts w:ascii="Times New Roman" w:hAnsi="Times New Roman" w:cs="Times New Roman"/>
        </w:rPr>
        <w:t>Psychological Rehabilitation Funds: Compensation should be expanded to include a lifelong "Psychological Care Corpus," recognizing that the mental trauma of disfigurement often outlasts the physical healing.</w:t>
      </w:r>
    </w:p>
    <w:p w14:paraId="26B7FACD" w14:textId="1707C15C" w:rsidR="00F16AB2" w:rsidRPr="00F16AB2" w:rsidRDefault="00F16AB2" w:rsidP="00F16AB2">
      <w:pPr>
        <w:spacing w:line="360" w:lineRule="auto"/>
        <w:rPr>
          <w:rFonts w:ascii="Times New Roman" w:hAnsi="Times New Roman" w:cs="Times New Roman"/>
        </w:rPr>
      </w:pPr>
      <w:r>
        <w:rPr>
          <w:rFonts w:ascii="Times New Roman" w:hAnsi="Times New Roman" w:cs="Times New Roman"/>
        </w:rPr>
        <w:t xml:space="preserve">1.4 </w:t>
      </w:r>
      <w:r w:rsidRPr="00F16AB2">
        <w:rPr>
          <w:rFonts w:ascii="Times New Roman" w:hAnsi="Times New Roman" w:cs="Times New Roman"/>
        </w:rPr>
        <w:t>Future Scope of the Movement</w:t>
      </w:r>
    </w:p>
    <w:p w14:paraId="7B1D5E8A" w14:textId="1E933C39" w:rsidR="00F16AB2" w:rsidRDefault="00F16AB2" w:rsidP="00F16AB2">
      <w:pPr>
        <w:spacing w:line="360" w:lineRule="auto"/>
        <w:rPr>
          <w:rFonts w:ascii="Times New Roman" w:hAnsi="Times New Roman" w:cs="Times New Roman"/>
        </w:rPr>
      </w:pPr>
      <w:r w:rsidRPr="00F16AB2">
        <w:rPr>
          <w:rFonts w:ascii="Times New Roman" w:hAnsi="Times New Roman" w:cs="Times New Roman"/>
        </w:rPr>
        <w:t>The future of acid attack advocacy lies in Global Harmonization. As seen in the comparison with Bangladesh, the regional exchange of legal strategies can lead to more effective localized laws. Furthermore, as we move into an era of increasingly digital governance, the use of AI to monitor the illegal online sale of corrosive chemicals presents a new frontier for prevention. The goal remains a "Zero-Attack Reality," where the law is so preventative that the need for "restorative" compensation becomes obsolete.</w:t>
      </w:r>
    </w:p>
    <w:p w14:paraId="078943AB" w14:textId="0BA6B1F9" w:rsidR="00F16AB2" w:rsidRPr="00F16AB2" w:rsidRDefault="00F16AB2" w:rsidP="00F16AB2">
      <w:pPr>
        <w:spacing w:line="360" w:lineRule="auto"/>
        <w:rPr>
          <w:rFonts w:ascii="Times New Roman" w:hAnsi="Times New Roman" w:cs="Times New Roman"/>
        </w:rPr>
      </w:pPr>
      <w:r>
        <w:rPr>
          <w:rFonts w:ascii="Times New Roman" w:hAnsi="Times New Roman" w:cs="Times New Roman"/>
        </w:rPr>
        <w:t xml:space="preserve">1.5 </w:t>
      </w:r>
      <w:r w:rsidRPr="00F16AB2">
        <w:rPr>
          <w:rFonts w:ascii="Times New Roman" w:hAnsi="Times New Roman" w:cs="Times New Roman"/>
        </w:rPr>
        <w:t>Final Reflective Thought</w:t>
      </w:r>
    </w:p>
    <w:p w14:paraId="37F5A0DB" w14:textId="38B4E19F" w:rsidR="00F16AB2" w:rsidRPr="00F16AB2" w:rsidRDefault="00F16AB2" w:rsidP="00F16AB2">
      <w:pPr>
        <w:spacing w:line="360" w:lineRule="auto"/>
        <w:rPr>
          <w:rFonts w:ascii="Times New Roman" w:hAnsi="Times New Roman" w:cs="Times New Roman"/>
        </w:rPr>
      </w:pPr>
      <w:r w:rsidRPr="00F16AB2">
        <w:rPr>
          <w:rFonts w:ascii="Times New Roman" w:hAnsi="Times New Roman" w:cs="Times New Roman"/>
        </w:rPr>
        <w:t xml:space="preserve">The legacy of </w:t>
      </w:r>
      <w:r w:rsidRPr="00F16AB2">
        <w:rPr>
          <w:rFonts w:ascii="Times New Roman" w:hAnsi="Times New Roman" w:cs="Times New Roman"/>
          <w:i/>
          <w:iCs/>
        </w:rPr>
        <w:t>Laxmi v. Union of India</w:t>
      </w:r>
      <w:r w:rsidRPr="00F16AB2">
        <w:rPr>
          <w:rFonts w:ascii="Times New Roman" w:hAnsi="Times New Roman" w:cs="Times New Roman"/>
        </w:rPr>
        <w:t xml:space="preserve"> is a reminder that the law is not a static set of rules but a living force fuel</w:t>
      </w:r>
      <w:r>
        <w:rPr>
          <w:rFonts w:ascii="Times New Roman" w:hAnsi="Times New Roman" w:cs="Times New Roman"/>
        </w:rPr>
        <w:t>l</w:t>
      </w:r>
      <w:r w:rsidRPr="00F16AB2">
        <w:rPr>
          <w:rFonts w:ascii="Times New Roman" w:hAnsi="Times New Roman" w:cs="Times New Roman"/>
        </w:rPr>
        <w:t>ed by the courage of individuals. Justice for an acid attack survivor is achieved only when the last scar is met not with social stigma, but with the full, unyielding support of the State and society alike.</w:t>
      </w:r>
    </w:p>
    <w:p w14:paraId="35CCBED1" w14:textId="4865FA59" w:rsidR="00F16AB2" w:rsidRPr="00F16AB2" w:rsidRDefault="00F16AB2" w:rsidP="00F16AB2">
      <w:pPr>
        <w:spacing w:line="360" w:lineRule="auto"/>
        <w:rPr>
          <w:rFonts w:ascii="Times New Roman" w:hAnsi="Times New Roman" w:cs="Times New Roman"/>
        </w:rPr>
      </w:pPr>
    </w:p>
    <w:p w14:paraId="6D89F338" w14:textId="0B41F98F" w:rsidR="00F16AB2" w:rsidRPr="00F16AB2" w:rsidRDefault="00146EB0" w:rsidP="00F16AB2">
      <w:pPr>
        <w:spacing w:line="360" w:lineRule="auto"/>
        <w:rPr>
          <w:rFonts w:ascii="Times New Roman" w:hAnsi="Times New Roman" w:cs="Times New Roman"/>
        </w:rPr>
      </w:pPr>
      <w:r w:rsidRPr="004A2D11">
        <w:rPr>
          <w:rFonts w:ascii="Times New Roman" w:hAnsi="Times New Roman" w:cs="Times New Roman"/>
        </w:rPr>
        <w:drawing>
          <wp:anchor distT="0" distB="0" distL="114300" distR="114300" simplePos="0" relativeHeight="251661312" behindDoc="0" locked="0" layoutInCell="1" allowOverlap="1" wp14:anchorId="62232839" wp14:editId="68ED710F">
            <wp:simplePos x="0" y="0"/>
            <wp:positionH relativeFrom="column">
              <wp:posOffset>512503</wp:posOffset>
            </wp:positionH>
            <wp:positionV relativeFrom="page">
              <wp:posOffset>7536873</wp:posOffset>
            </wp:positionV>
            <wp:extent cx="4215765" cy="2303145"/>
            <wp:effectExtent l="0" t="0" r="0" b="1905"/>
            <wp:wrapSquare wrapText="bothSides"/>
            <wp:docPr id="1487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359" name=""/>
                    <pic:cNvPicPr/>
                  </pic:nvPicPr>
                  <pic:blipFill>
                    <a:blip r:embed="rId10">
                      <a:extLst>
                        <a:ext uri="{28A0092B-C50C-407E-A947-70E740481C1C}">
                          <a14:useLocalDpi xmlns:a14="http://schemas.microsoft.com/office/drawing/2010/main" val="0"/>
                        </a:ext>
                      </a:extLst>
                    </a:blip>
                    <a:stretch>
                      <a:fillRect/>
                    </a:stretch>
                  </pic:blipFill>
                  <pic:spPr>
                    <a:xfrm>
                      <a:off x="0" y="0"/>
                      <a:ext cx="4215765" cy="2303145"/>
                    </a:xfrm>
                    <a:prstGeom prst="rect">
                      <a:avLst/>
                    </a:prstGeom>
                  </pic:spPr>
                </pic:pic>
              </a:graphicData>
            </a:graphic>
            <wp14:sizeRelH relativeFrom="margin">
              <wp14:pctWidth>0</wp14:pctWidth>
            </wp14:sizeRelH>
            <wp14:sizeRelV relativeFrom="margin">
              <wp14:pctHeight>0</wp14:pctHeight>
            </wp14:sizeRelV>
          </wp:anchor>
        </w:drawing>
      </w:r>
    </w:p>
    <w:p w14:paraId="0822337D" w14:textId="295B8ECA" w:rsidR="00F16AB2" w:rsidRPr="00F16AB2" w:rsidRDefault="00F16AB2" w:rsidP="00F16AB2">
      <w:pPr>
        <w:spacing w:line="360" w:lineRule="auto"/>
        <w:rPr>
          <w:rFonts w:ascii="Times New Roman" w:hAnsi="Times New Roman" w:cs="Times New Roman"/>
        </w:rPr>
      </w:pPr>
    </w:p>
    <w:p w14:paraId="104BD4D7" w14:textId="0BC38655" w:rsidR="00F16AB2" w:rsidRPr="003C508D" w:rsidRDefault="00F16AB2" w:rsidP="00F16AB2">
      <w:pPr>
        <w:spacing w:line="360" w:lineRule="auto"/>
        <w:rPr>
          <w:rFonts w:ascii="Times New Roman" w:hAnsi="Times New Roman" w:cs="Times New Roman"/>
        </w:rPr>
      </w:pPr>
    </w:p>
    <w:p w14:paraId="09E88BDE" w14:textId="1BAF810E" w:rsidR="003C508D" w:rsidRPr="003C508D" w:rsidRDefault="003C508D" w:rsidP="003C508D">
      <w:pPr>
        <w:spacing w:line="360" w:lineRule="auto"/>
        <w:rPr>
          <w:rFonts w:ascii="Times New Roman" w:hAnsi="Times New Roman" w:cs="Times New Roman"/>
        </w:rPr>
      </w:pPr>
    </w:p>
    <w:sectPr w:rsidR="003C508D" w:rsidRPr="003C50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2D6AE" w14:textId="77777777" w:rsidR="00A16C47" w:rsidRDefault="00A16C47" w:rsidP="003836E7">
      <w:pPr>
        <w:spacing w:after="0" w:line="240" w:lineRule="auto"/>
      </w:pPr>
      <w:r>
        <w:separator/>
      </w:r>
    </w:p>
  </w:endnote>
  <w:endnote w:type="continuationSeparator" w:id="0">
    <w:p w14:paraId="4B35D803" w14:textId="77777777" w:rsidR="00A16C47" w:rsidRDefault="00A16C47" w:rsidP="00383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B6D6" w14:textId="77777777" w:rsidR="00A16C47" w:rsidRDefault="00A16C47" w:rsidP="003836E7">
      <w:pPr>
        <w:spacing w:after="0" w:line="240" w:lineRule="auto"/>
      </w:pPr>
      <w:r>
        <w:separator/>
      </w:r>
    </w:p>
  </w:footnote>
  <w:footnote w:type="continuationSeparator" w:id="0">
    <w:p w14:paraId="07F6119A" w14:textId="77777777" w:rsidR="00A16C47" w:rsidRDefault="00A16C47" w:rsidP="003836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511"/>
    <w:multiLevelType w:val="multilevel"/>
    <w:tmpl w:val="F21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23084"/>
    <w:multiLevelType w:val="multilevel"/>
    <w:tmpl w:val="E51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0CB3"/>
    <w:multiLevelType w:val="multilevel"/>
    <w:tmpl w:val="A5F2A3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B505C3"/>
    <w:multiLevelType w:val="multilevel"/>
    <w:tmpl w:val="70E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61A4"/>
    <w:multiLevelType w:val="multilevel"/>
    <w:tmpl w:val="3E0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070BC"/>
    <w:multiLevelType w:val="multilevel"/>
    <w:tmpl w:val="533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F239F"/>
    <w:multiLevelType w:val="multilevel"/>
    <w:tmpl w:val="A42C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63CC3"/>
    <w:multiLevelType w:val="multilevel"/>
    <w:tmpl w:val="7E0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55A5D"/>
    <w:multiLevelType w:val="multilevel"/>
    <w:tmpl w:val="C41E2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08C7"/>
    <w:multiLevelType w:val="multilevel"/>
    <w:tmpl w:val="F880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64289"/>
    <w:multiLevelType w:val="multilevel"/>
    <w:tmpl w:val="7850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06E2C"/>
    <w:multiLevelType w:val="multilevel"/>
    <w:tmpl w:val="A9C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E02D2"/>
    <w:multiLevelType w:val="multilevel"/>
    <w:tmpl w:val="AE4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D43B1"/>
    <w:multiLevelType w:val="multilevel"/>
    <w:tmpl w:val="580E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30666"/>
    <w:multiLevelType w:val="multilevel"/>
    <w:tmpl w:val="2ED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2669D"/>
    <w:multiLevelType w:val="multilevel"/>
    <w:tmpl w:val="E78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F0614"/>
    <w:multiLevelType w:val="multilevel"/>
    <w:tmpl w:val="D48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63315"/>
    <w:multiLevelType w:val="multilevel"/>
    <w:tmpl w:val="C20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74E5F"/>
    <w:multiLevelType w:val="multilevel"/>
    <w:tmpl w:val="9FA2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A1397"/>
    <w:multiLevelType w:val="multilevel"/>
    <w:tmpl w:val="7F4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F52D1"/>
    <w:multiLevelType w:val="multilevel"/>
    <w:tmpl w:val="C7E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66354"/>
    <w:multiLevelType w:val="multilevel"/>
    <w:tmpl w:val="A79EC1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D241D8"/>
    <w:multiLevelType w:val="multilevel"/>
    <w:tmpl w:val="84F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36F85"/>
    <w:multiLevelType w:val="multilevel"/>
    <w:tmpl w:val="FED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C0299"/>
    <w:multiLevelType w:val="multilevel"/>
    <w:tmpl w:val="D00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3243B"/>
    <w:multiLevelType w:val="multilevel"/>
    <w:tmpl w:val="236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F5733"/>
    <w:multiLevelType w:val="multilevel"/>
    <w:tmpl w:val="285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F148D"/>
    <w:multiLevelType w:val="multilevel"/>
    <w:tmpl w:val="43E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C698E"/>
    <w:multiLevelType w:val="multilevel"/>
    <w:tmpl w:val="8EF2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83F54"/>
    <w:multiLevelType w:val="multilevel"/>
    <w:tmpl w:val="706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E1363"/>
    <w:multiLevelType w:val="multilevel"/>
    <w:tmpl w:val="C84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17FC8"/>
    <w:multiLevelType w:val="multilevel"/>
    <w:tmpl w:val="C27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76B99"/>
    <w:multiLevelType w:val="multilevel"/>
    <w:tmpl w:val="326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55925"/>
    <w:multiLevelType w:val="multilevel"/>
    <w:tmpl w:val="4EB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12DBB"/>
    <w:multiLevelType w:val="multilevel"/>
    <w:tmpl w:val="237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27C43"/>
    <w:multiLevelType w:val="multilevel"/>
    <w:tmpl w:val="CB9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53B1D"/>
    <w:multiLevelType w:val="multilevel"/>
    <w:tmpl w:val="1A9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16C1D"/>
    <w:multiLevelType w:val="multilevel"/>
    <w:tmpl w:val="BF20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E440F"/>
    <w:multiLevelType w:val="multilevel"/>
    <w:tmpl w:val="4DE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A548F"/>
    <w:multiLevelType w:val="multilevel"/>
    <w:tmpl w:val="73B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A67E6"/>
    <w:multiLevelType w:val="multilevel"/>
    <w:tmpl w:val="6A7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17C9B"/>
    <w:multiLevelType w:val="multilevel"/>
    <w:tmpl w:val="29B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17308"/>
    <w:multiLevelType w:val="multilevel"/>
    <w:tmpl w:val="7DF4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6582A"/>
    <w:multiLevelType w:val="multilevel"/>
    <w:tmpl w:val="388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41B8A"/>
    <w:multiLevelType w:val="multilevel"/>
    <w:tmpl w:val="7C6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66D60"/>
    <w:multiLevelType w:val="multilevel"/>
    <w:tmpl w:val="8B7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E6A43"/>
    <w:multiLevelType w:val="multilevel"/>
    <w:tmpl w:val="AC6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C0200"/>
    <w:multiLevelType w:val="multilevel"/>
    <w:tmpl w:val="AC3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005709">
    <w:abstractNumId w:val="21"/>
  </w:num>
  <w:num w:numId="2" w16cid:durableId="1511331910">
    <w:abstractNumId w:val="18"/>
  </w:num>
  <w:num w:numId="3" w16cid:durableId="1736734105">
    <w:abstractNumId w:val="38"/>
  </w:num>
  <w:num w:numId="4" w16cid:durableId="530186618">
    <w:abstractNumId w:val="10"/>
  </w:num>
  <w:num w:numId="5" w16cid:durableId="1825968186">
    <w:abstractNumId w:val="39"/>
  </w:num>
  <w:num w:numId="6" w16cid:durableId="1355963337">
    <w:abstractNumId w:val="12"/>
  </w:num>
  <w:num w:numId="7" w16cid:durableId="761802593">
    <w:abstractNumId w:val="8"/>
  </w:num>
  <w:num w:numId="8" w16cid:durableId="72049760">
    <w:abstractNumId w:val="11"/>
  </w:num>
  <w:num w:numId="9" w16cid:durableId="1907256147">
    <w:abstractNumId w:val="42"/>
  </w:num>
  <w:num w:numId="10" w16cid:durableId="67189205">
    <w:abstractNumId w:val="3"/>
  </w:num>
  <w:num w:numId="11" w16cid:durableId="5058031">
    <w:abstractNumId w:val="37"/>
  </w:num>
  <w:num w:numId="12" w16cid:durableId="1331907474">
    <w:abstractNumId w:val="23"/>
  </w:num>
  <w:num w:numId="13" w16cid:durableId="1392117213">
    <w:abstractNumId w:val="47"/>
  </w:num>
  <w:num w:numId="14" w16cid:durableId="382406508">
    <w:abstractNumId w:val="36"/>
  </w:num>
  <w:num w:numId="15" w16cid:durableId="354574015">
    <w:abstractNumId w:val="33"/>
  </w:num>
  <w:num w:numId="16" w16cid:durableId="717507950">
    <w:abstractNumId w:val="22"/>
  </w:num>
  <w:num w:numId="17" w16cid:durableId="181017531">
    <w:abstractNumId w:val="19"/>
  </w:num>
  <w:num w:numId="18" w16cid:durableId="1461655991">
    <w:abstractNumId w:val="43"/>
  </w:num>
  <w:num w:numId="19" w16cid:durableId="1121025118">
    <w:abstractNumId w:val="28"/>
  </w:num>
  <w:num w:numId="20" w16cid:durableId="1536697895">
    <w:abstractNumId w:val="7"/>
  </w:num>
  <w:num w:numId="21" w16cid:durableId="640114865">
    <w:abstractNumId w:val="29"/>
  </w:num>
  <w:num w:numId="22" w16cid:durableId="683475826">
    <w:abstractNumId w:val="4"/>
  </w:num>
  <w:num w:numId="23" w16cid:durableId="966355459">
    <w:abstractNumId w:val="16"/>
  </w:num>
  <w:num w:numId="24" w16cid:durableId="811941636">
    <w:abstractNumId w:val="35"/>
  </w:num>
  <w:num w:numId="25" w16cid:durableId="616836192">
    <w:abstractNumId w:val="34"/>
  </w:num>
  <w:num w:numId="26" w16cid:durableId="1681078740">
    <w:abstractNumId w:val="24"/>
  </w:num>
  <w:num w:numId="27" w16cid:durableId="593787476">
    <w:abstractNumId w:val="40"/>
  </w:num>
  <w:num w:numId="28" w16cid:durableId="654920410">
    <w:abstractNumId w:val="15"/>
  </w:num>
  <w:num w:numId="29" w16cid:durableId="607542801">
    <w:abstractNumId w:val="13"/>
  </w:num>
  <w:num w:numId="30" w16cid:durableId="1357542239">
    <w:abstractNumId w:val="0"/>
  </w:num>
  <w:num w:numId="31" w16cid:durableId="491676704">
    <w:abstractNumId w:val="2"/>
  </w:num>
  <w:num w:numId="32" w16cid:durableId="1688558655">
    <w:abstractNumId w:val="27"/>
  </w:num>
  <w:num w:numId="33" w16cid:durableId="211617615">
    <w:abstractNumId w:val="31"/>
  </w:num>
  <w:num w:numId="34" w16cid:durableId="1569655390">
    <w:abstractNumId w:val="26"/>
  </w:num>
  <w:num w:numId="35" w16cid:durableId="629172936">
    <w:abstractNumId w:val="32"/>
  </w:num>
  <w:num w:numId="36" w16cid:durableId="961574602">
    <w:abstractNumId w:val="6"/>
  </w:num>
  <w:num w:numId="37" w16cid:durableId="1359354826">
    <w:abstractNumId w:val="14"/>
  </w:num>
  <w:num w:numId="38" w16cid:durableId="820195427">
    <w:abstractNumId w:val="1"/>
  </w:num>
  <w:num w:numId="39" w16cid:durableId="395401030">
    <w:abstractNumId w:val="45"/>
  </w:num>
  <w:num w:numId="40" w16cid:durableId="1290672071">
    <w:abstractNumId w:val="30"/>
  </w:num>
  <w:num w:numId="41" w16cid:durableId="214850213">
    <w:abstractNumId w:val="41"/>
  </w:num>
  <w:num w:numId="42" w16cid:durableId="563835726">
    <w:abstractNumId w:val="9"/>
  </w:num>
  <w:num w:numId="43" w16cid:durableId="1295529054">
    <w:abstractNumId w:val="20"/>
  </w:num>
  <w:num w:numId="44" w16cid:durableId="1227104791">
    <w:abstractNumId w:val="46"/>
  </w:num>
  <w:num w:numId="45" w16cid:durableId="2138061621">
    <w:abstractNumId w:val="25"/>
  </w:num>
  <w:num w:numId="46" w16cid:durableId="611208270">
    <w:abstractNumId w:val="5"/>
  </w:num>
  <w:num w:numId="47" w16cid:durableId="1048526962">
    <w:abstractNumId w:val="44"/>
  </w:num>
  <w:num w:numId="48" w16cid:durableId="17449097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5F8"/>
    <w:rsid w:val="000D6BA6"/>
    <w:rsid w:val="00124A1D"/>
    <w:rsid w:val="00141D44"/>
    <w:rsid w:val="00146EB0"/>
    <w:rsid w:val="00260CF3"/>
    <w:rsid w:val="003836E7"/>
    <w:rsid w:val="003C508D"/>
    <w:rsid w:val="004A2D11"/>
    <w:rsid w:val="00533EB7"/>
    <w:rsid w:val="00711794"/>
    <w:rsid w:val="00807641"/>
    <w:rsid w:val="00890E5A"/>
    <w:rsid w:val="008B75F8"/>
    <w:rsid w:val="008E7718"/>
    <w:rsid w:val="0090432C"/>
    <w:rsid w:val="00A16C47"/>
    <w:rsid w:val="00AB0064"/>
    <w:rsid w:val="00AF2B8F"/>
    <w:rsid w:val="00B91678"/>
    <w:rsid w:val="00C07656"/>
    <w:rsid w:val="00C108A0"/>
    <w:rsid w:val="00D416BC"/>
    <w:rsid w:val="00F16AB2"/>
    <w:rsid w:val="00F80DF6"/>
    <w:rsid w:val="00F9772D"/>
    <w:rsid w:val="00FF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CF9C"/>
  <w15:chartTrackingRefBased/>
  <w15:docId w15:val="{68CB2764-7EDE-478C-A346-CF9AB3F3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5F8"/>
    <w:rPr>
      <w:rFonts w:eastAsiaTheme="majorEastAsia" w:cstheme="majorBidi"/>
      <w:color w:val="272727" w:themeColor="text1" w:themeTint="D8"/>
    </w:rPr>
  </w:style>
  <w:style w:type="paragraph" w:styleId="Title">
    <w:name w:val="Title"/>
    <w:basedOn w:val="Normal"/>
    <w:next w:val="Normal"/>
    <w:link w:val="TitleChar"/>
    <w:uiPriority w:val="10"/>
    <w:qFormat/>
    <w:rsid w:val="008B7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5F8"/>
    <w:pPr>
      <w:spacing w:before="160"/>
      <w:jc w:val="center"/>
    </w:pPr>
    <w:rPr>
      <w:i/>
      <w:iCs/>
      <w:color w:val="404040" w:themeColor="text1" w:themeTint="BF"/>
    </w:rPr>
  </w:style>
  <w:style w:type="character" w:customStyle="1" w:styleId="QuoteChar">
    <w:name w:val="Quote Char"/>
    <w:basedOn w:val="DefaultParagraphFont"/>
    <w:link w:val="Quote"/>
    <w:uiPriority w:val="29"/>
    <w:rsid w:val="008B75F8"/>
    <w:rPr>
      <w:i/>
      <w:iCs/>
      <w:color w:val="404040" w:themeColor="text1" w:themeTint="BF"/>
    </w:rPr>
  </w:style>
  <w:style w:type="paragraph" w:styleId="ListParagraph">
    <w:name w:val="List Paragraph"/>
    <w:basedOn w:val="Normal"/>
    <w:uiPriority w:val="34"/>
    <w:qFormat/>
    <w:rsid w:val="008B75F8"/>
    <w:pPr>
      <w:ind w:left="720"/>
      <w:contextualSpacing/>
    </w:pPr>
  </w:style>
  <w:style w:type="character" w:styleId="IntenseEmphasis">
    <w:name w:val="Intense Emphasis"/>
    <w:basedOn w:val="DefaultParagraphFont"/>
    <w:uiPriority w:val="21"/>
    <w:qFormat/>
    <w:rsid w:val="008B75F8"/>
    <w:rPr>
      <w:i/>
      <w:iCs/>
      <w:color w:val="0F4761" w:themeColor="accent1" w:themeShade="BF"/>
    </w:rPr>
  </w:style>
  <w:style w:type="paragraph" w:styleId="IntenseQuote">
    <w:name w:val="Intense Quote"/>
    <w:basedOn w:val="Normal"/>
    <w:next w:val="Normal"/>
    <w:link w:val="IntenseQuoteChar"/>
    <w:uiPriority w:val="30"/>
    <w:qFormat/>
    <w:rsid w:val="008B7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5F8"/>
    <w:rPr>
      <w:i/>
      <w:iCs/>
      <w:color w:val="0F4761" w:themeColor="accent1" w:themeShade="BF"/>
    </w:rPr>
  </w:style>
  <w:style w:type="character" w:styleId="IntenseReference">
    <w:name w:val="Intense Reference"/>
    <w:basedOn w:val="DefaultParagraphFont"/>
    <w:uiPriority w:val="32"/>
    <w:qFormat/>
    <w:rsid w:val="008B75F8"/>
    <w:rPr>
      <w:b/>
      <w:bCs/>
      <w:smallCaps/>
      <w:color w:val="0F4761" w:themeColor="accent1" w:themeShade="BF"/>
      <w:spacing w:val="5"/>
    </w:rPr>
  </w:style>
  <w:style w:type="paragraph" w:styleId="Header">
    <w:name w:val="header"/>
    <w:basedOn w:val="Normal"/>
    <w:link w:val="HeaderChar"/>
    <w:uiPriority w:val="99"/>
    <w:unhideWhenUsed/>
    <w:rsid w:val="003836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6E7"/>
  </w:style>
  <w:style w:type="paragraph" w:styleId="Footer">
    <w:name w:val="footer"/>
    <w:basedOn w:val="Normal"/>
    <w:link w:val="FooterChar"/>
    <w:uiPriority w:val="99"/>
    <w:unhideWhenUsed/>
    <w:rsid w:val="003836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6E7"/>
  </w:style>
  <w:style w:type="paragraph" w:styleId="BodyText">
    <w:name w:val="Body Text"/>
    <w:basedOn w:val="Normal"/>
    <w:link w:val="BodyTextChar"/>
    <w:uiPriority w:val="1"/>
    <w:qFormat/>
    <w:rsid w:val="004A2D1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A2D11"/>
    <w:rPr>
      <w:rFonts w:ascii="Times New Roman" w:eastAsia="Times New Roman" w:hAnsi="Times New Roman" w:cs="Times New Roman"/>
      <w:kern w:val="0"/>
      <w:lang w:val="en-US"/>
      <w14:ligatures w14:val="none"/>
    </w:rPr>
  </w:style>
  <w:style w:type="table" w:styleId="TableGrid">
    <w:name w:val="Table Grid"/>
    <w:basedOn w:val="TableNormal"/>
    <w:uiPriority w:val="39"/>
    <w:rsid w:val="004A2D11"/>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32</Pages>
  <Words>8345</Words>
  <Characters>47572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 Gopal</dc:creator>
  <cp:keywords/>
  <dc:description/>
  <cp:lastModifiedBy>Harshi Gopal</cp:lastModifiedBy>
  <cp:revision>2</cp:revision>
  <dcterms:created xsi:type="dcterms:W3CDTF">2026-04-14T14:29:00Z</dcterms:created>
  <dcterms:modified xsi:type="dcterms:W3CDTF">2026-04-14T20:18:00Z</dcterms:modified>
</cp:coreProperties>
</file>