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sz w:val="24"/>
          <w:szCs w:val="24"/>
        </w:rPr>
      </w:pPr>
      <w:r>
        <w:rPr>
          <w:b w:val="1"/>
          <w:bCs w:val="1"/>
          <w:sz w:val="24"/>
          <w:szCs w:val="24"/>
          <w:rtl w:val="0"/>
        </w:rPr>
        <w:t xml:space="preserve">Longitudinal Confidence Modelling for Motor Subtype Classification in Early Parkinson's Disease</w:t>
      </w:r>
      <w:r>
        <w:rPr>
          <w:rtl w:val="0"/>
        </w:rPr>
      </w:r>
    </w:p>
    <w:p w:rsidR="00000000" w:rsidDel="00000000" w:rsidP="00000000" w:rsidRDefault="00000000" w:rsidRPr="00000000" w14:paraId="00000002">
      <w:pPr>
        <w:pStyle w:val="Heading1"/>
        <w:spacing w:before="300" w:line="276" w:lineRule="auto"/>
        <w:jc w:val="both"/>
        <w:rPr>
          <w:sz w:val="24"/>
          <w:szCs w:val="24"/>
        </w:rPr>
      </w:pPr>
      <w:r>
        <w:rPr>
          <w:b w:val="1"/>
          <w:bCs w:val="1"/>
          <w:sz w:val="24"/>
          <w:szCs w:val="24"/>
          <w:rtl w:val="0"/>
        </w:rPr>
        <w:t xml:space="preserve">1. Introduction</w:t>
      </w:r>
      <w:r>
        <w:rPr>
          <w:rtl w:val="0"/>
        </w:rPr>
      </w:r>
    </w:p>
    <w:p w:rsidR="00000000" w:rsidDel="00000000" w:rsidP="00000000" w:rsidRDefault="00000000" w:rsidRPr="00000000" w14:paraId="00000003">
      <w:pPr>
        <w:spacing w:line="276" w:lineRule="auto"/>
        <w:jc w:val="both"/>
        <w:rPr>
          <w:sz w:val="24"/>
          <w:szCs w:val="24"/>
        </w:rPr>
      </w:pPr>
      <w:r>
        <w:rPr>
          <w:sz w:val="24"/>
          <w:szCs w:val="24"/>
          <w:rtl w:val="0"/>
        </w:rPr>
        <w:t xml:space="preserve">Parkinson's Disease (PD) patients are usually split into two motor types: Tremor-Dominant (TD), where tremor is the main symptom, and Postural Instability and Gait Difficulty (PIGD), where balance and walking problems dominate. A third group, indeterminate, covers patients who do not clearly fit either. This classification, first proposed by Jankovic et al. (1990) and later validated for the modern MDS-UPDRS scale by Stebbins et al. (2013), still guides how doctors treat patients today. PIGD patients tend to be older, respond less well to levodopa, fall more often, and progress faster than TD patients, so knowing a patient's subtype earlier changes how closely they should be monitored.</w:t>
      </w:r>
    </w:p>
    <w:p w:rsidR="00000000" w:rsidDel="00000000" w:rsidP="00000000" w:rsidRDefault="00000000" w:rsidRPr="00000000" w14:paraId="00000004">
      <w:pPr>
        <w:spacing w:line="276" w:lineRule="auto"/>
        <w:jc w:val="both"/>
        <w:rPr>
          <w:sz w:val="24"/>
          <w:szCs w:val="24"/>
        </w:rPr>
      </w:pPr>
      <w:r>
        <w:rPr>
          <w:sz w:val="24"/>
          <w:szCs w:val="24"/>
          <w:rtl w:val="0"/>
        </w:rPr>
        <w:t xml:space="preserve">Right now, a clinician usually needs several visits over months or years to become confident about a patient's subtype. This project asks whether machine learning, applied to the same longitudinal data already collected by registries like the Parkinson's Progression Markers Initiative (PPMI), can reach that confidence sooner.</w:t>
      </w:r>
    </w:p>
    <w:p w:rsidR="00000000" w:rsidDel="00000000" w:rsidP="00000000" w:rsidRDefault="00000000" w:rsidRPr="00000000" w14:paraId="00000005">
      <w:pPr>
        <w:spacing w:line="276" w:lineRule="auto"/>
        <w:jc w:val="both"/>
        <w:rPr>
          <w:sz w:val="24"/>
          <w:szCs w:val="24"/>
        </w:rPr>
      </w:pPr>
      <w:r>
        <w:rPr>
          <w:sz w:val="24"/>
          <w:szCs w:val="24"/>
          <w:rtl w:val="0"/>
        </w:rPr>
        <w:t xml:space="preserve">The contribution here is not simply "classify TD vs. PIGD earlier." Longitudinal studies show that a third to half of patients get reclassified within one to two years, so a subtype prediction is only useful if it also says how reliable it is.</w:t>
      </w:r>
    </w:p>
    <w:p w:rsidR="00000000" w:rsidDel="00000000" w:rsidP="00000000" w:rsidRDefault="00000000" w:rsidRPr="00000000" w14:paraId="00000006">
      <w:pPr>
        <w:spacing w:line="276" w:lineRule="auto"/>
        <w:jc w:val="both"/>
        <w:rPr>
          <w:sz w:val="24"/>
          <w:szCs w:val="24"/>
        </w:rPr>
      </w:pPr>
      <w:r>
        <w:rPr>
          <w:b w:val="1"/>
          <w:bCs w:val="1"/>
          <w:sz w:val="24"/>
          <w:szCs w:val="24"/>
          <w:rtl w:val="0"/>
        </w:rPr>
        <w:t xml:space="preserve">Objective (expanded in Section 3): </w:t>
      </w:r>
      <w:r>
        <w:rPr>
          <w:sz w:val="24"/>
          <w:szCs w:val="24"/>
          <w:rtl w:val="0"/>
        </w:rPr>
        <w:t xml:space="preserve">build a longitudinal, uncertainty-aware framework that, at each visit, predicts a patient's subtype using the established Jankovic/Stebbins formula, attaches a calibrated confidence score using conformal prediction, tracks how that confidence changes across visits to flag unstable or shifting cases, and uses an LLM layer to explain the result in plain language. The goal: tell a clinician not just the likely subtype, but how much to trust it and how soon that trust should firm up.</w:t>
      </w:r>
    </w:p>
    <w:p w:rsidR="00000000" w:rsidDel="00000000" w:rsidP="00000000" w:rsidRDefault="00000000" w:rsidRPr="00000000" w14:paraId="00000007">
      <w:pPr>
        <w:pStyle w:val="Heading1"/>
        <w:spacing w:before="300" w:line="276" w:lineRule="auto"/>
        <w:jc w:val="both"/>
        <w:rPr>
          <w:sz w:val="24"/>
          <w:szCs w:val="24"/>
        </w:rPr>
      </w:pPr>
      <w:r>
        <w:rPr>
          <w:b w:val="1"/>
          <w:bCs w:val="1"/>
          <w:sz w:val="24"/>
          <w:szCs w:val="24"/>
          <w:rtl w:val="0"/>
        </w:rPr>
        <w:t xml:space="preserve">2. Literature Survey</w:t>
      </w:r>
      <w:r>
        <w:rPr>
          <w:rtl w:val="0"/>
        </w:rPr>
      </w:r>
    </w:p>
    <w:p w:rsidR="00000000" w:rsidDel="00000000" w:rsidP="00000000" w:rsidRDefault="00000000" w:rsidRPr="00000000" w14:paraId="00000008">
      <w:pPr>
        <w:pStyle w:val="Heading2"/>
        <w:spacing w:before="240" w:line="276" w:lineRule="auto"/>
        <w:jc w:val="both"/>
        <w:rPr>
          <w:sz w:val="24"/>
          <w:szCs w:val="24"/>
        </w:rPr>
      </w:pPr>
      <w:r>
        <w:rPr>
          <w:b w:val="1"/>
          <w:bCs w:val="1"/>
          <w:sz w:val="24"/>
          <w:szCs w:val="24"/>
          <w:rtl w:val="0"/>
        </w:rPr>
        <w:t xml:space="preserve">2.1 Established criteria for motor subtype classification</w:t>
      </w:r>
      <w:r>
        <w:rPr>
          <w:rtl w:val="0"/>
        </w:rPr>
      </w:r>
    </w:p>
    <w:p w:rsidR="00000000" w:rsidDel="00000000" w:rsidP="00000000" w:rsidRDefault="00000000" w:rsidRPr="00000000" w14:paraId="00000009">
      <w:pPr>
        <w:spacing w:line="276" w:lineRule="auto"/>
        <w:jc w:val="both"/>
        <w:rPr>
          <w:sz w:val="24"/>
          <w:szCs w:val="24"/>
        </w:rPr>
      </w:pPr>
      <w:r>
        <w:rPr>
          <w:sz w:val="24"/>
          <w:szCs w:val="24"/>
          <w:rtl w:val="0"/>
        </w:rPr>
        <w:t xml:space="preserve">The TD/PIGD/indeterminate classification began with Jankovic et al. (1990), who split PD patients by predominant symptom using baseline data from the DATATOP cohort. Kang et al. (2005) and Schiess et al. (2000) proposed similar ratio-based variants using slightly different item groupings. Stebbins et al. (2013) then re-derived and validated the ratio for the MDS-UPDRS scale used in PPMI and most modern PD registries. This is why TD/PIGD/indeterminate can be used as ground truth without new clinical sign-off: the label comes from a published, peer-reviewed formula applied to existing UPDRS scores, not a new idea that needs fresh validation.</w:t>
      </w:r>
    </w:p>
    <w:p w:rsidR="00000000" w:rsidDel="00000000" w:rsidP="00000000" w:rsidRDefault="00000000" w:rsidRPr="00000000" w14:paraId="0000000A">
      <w:pPr>
        <w:spacing w:line="276" w:lineRule="auto"/>
        <w:jc w:val="both"/>
        <w:rPr>
          <w:sz w:val="24"/>
          <w:szCs w:val="24"/>
        </w:rPr>
      </w:pPr>
      <w:r>
        <w:rPr>
          <w:b w:val="1"/>
          <w:bCs w:val="1"/>
          <w:sz w:val="24"/>
          <w:szCs w:val="24"/>
          <w:rtl w:val="0"/>
        </w:rPr>
        <w:t xml:space="preserve">Gap: </w:t>
      </w:r>
      <w:r>
        <w:rPr>
          <w:sz w:val="24"/>
          <w:szCs w:val="24"/>
          <w:rtl w:val="0"/>
        </w:rPr>
        <w:t xml:space="preserve">these papers define how to label a patient from data that already exists at one visit. None of them predict a label ahead of that visit using earlier data.</w:t>
      </w:r>
    </w:p>
    <w:p w:rsidR="00000000" w:rsidDel="00000000" w:rsidP="00000000" w:rsidRDefault="00000000" w:rsidRPr="00000000" w14:paraId="0000000B">
      <w:pPr>
        <w:pStyle w:val="Heading2"/>
        <w:spacing w:before="240" w:line="276" w:lineRule="auto"/>
        <w:jc w:val="both"/>
        <w:rPr>
          <w:b w:val="1"/>
          <w:bCs w:val="1"/>
          <w:sz w:val="24"/>
          <w:szCs w:val="24"/>
        </w:rPr>
      </w:pPr>
      <w:r>
        <w:rPr>
          <w:rtl w:val="0"/>
        </w:rPr>
      </w:r>
    </w:p>
    <w:p w:rsidR="00000000" w:rsidDel="00000000" w:rsidP="00000000" w:rsidRDefault="00000000" w:rsidRPr="00000000" w14:paraId="0000000C">
      <w:pPr>
        <w:pStyle w:val="Heading2"/>
        <w:spacing w:before="240" w:line="276" w:lineRule="auto"/>
        <w:jc w:val="both"/>
        <w:rPr>
          <w:sz w:val="24"/>
          <w:szCs w:val="24"/>
        </w:rPr>
      </w:pPr>
      <w:r>
        <w:rPr>
          <w:b w:val="1"/>
          <w:bCs w:val="1"/>
          <w:sz w:val="24"/>
          <w:szCs w:val="24"/>
          <w:rtl w:val="0"/>
        </w:rPr>
        <w:t xml:space="preserve">2.2 Machine learning for TD/PIGD classification</w:t>
      </w:r>
      <w:r>
        <w:rPr>
          <w:rtl w:val="0"/>
        </w:rPr>
      </w:r>
    </w:p>
    <w:p w:rsidR="00000000" w:rsidDel="00000000" w:rsidP="00000000" w:rsidRDefault="00000000" w:rsidRPr="00000000" w14:paraId="0000000D">
      <w:pPr>
        <w:spacing w:line="276" w:lineRule="auto"/>
        <w:jc w:val="both"/>
        <w:rPr>
          <w:sz w:val="24"/>
          <w:szCs w:val="24"/>
        </w:rPr>
      </w:pPr>
      <w:r>
        <w:rPr>
          <w:sz w:val="24"/>
          <w:szCs w:val="24"/>
          <w:rtl w:val="0"/>
        </w:rPr>
        <w:t xml:space="preserve">Several studies use machine learning to tell TD and PIGD apart, but almost all rely on imaging rather than the routine clinical exam data used to define the label in the first place. One PPMI-based study used MRI radiomic features from 135 patients (92 TD, 43 PIGD) with five different classifiers. A smaller study used arterial spin labelling MRI with a support vector machine on 21 patients to find subtype-specific blood-flow differences. A third study combined two MRI types (T1-weighted and diffusion tensor imaging) across 70 TD, 70 PIGD, and 70 healthy controls, reaching 85% three-class accuracy with a gradient-boosting classifier, the strongest reported result in this area, though on an artificially balanced sample.</w:t>
      </w:r>
    </w:p>
    <w:p w:rsidR="00000000" w:rsidDel="00000000" w:rsidP="00000000" w:rsidRDefault="00000000" w:rsidRPr="00000000" w14:paraId="0000000E">
      <w:pPr>
        <w:spacing w:line="276" w:lineRule="auto"/>
        <w:jc w:val="both"/>
        <w:rPr>
          <w:sz w:val="24"/>
          <w:szCs w:val="24"/>
        </w:rPr>
      </w:pPr>
      <w:r>
        <w:rPr>
          <w:b w:val="1"/>
          <w:bCs w:val="1"/>
          <w:sz w:val="24"/>
          <w:szCs w:val="24"/>
          <w:rtl w:val="0"/>
        </w:rPr>
        <w:t xml:space="preserve">Gap: </w:t>
      </w:r>
      <w:r>
        <w:rPr>
          <w:sz w:val="24"/>
          <w:szCs w:val="24"/>
          <w:rtl w:val="0"/>
        </w:rPr>
        <w:t xml:space="preserve">these studies classify subtype using imaging from the same visit as the label, not earlier data. None report a calibrated confidence measure, only accuracy or AUC. Imaging is also costly and not routinely available at every visit, unlike the clinical exam data this project plans to use.</w:t>
      </w:r>
    </w:p>
    <w:p w:rsidR="00000000" w:rsidDel="00000000" w:rsidP="00000000" w:rsidRDefault="00000000" w:rsidRPr="00000000" w14:paraId="0000000F">
      <w:pPr>
        <w:pStyle w:val="Heading2"/>
        <w:spacing w:before="240" w:line="276" w:lineRule="auto"/>
        <w:jc w:val="both"/>
        <w:rPr>
          <w:sz w:val="24"/>
          <w:szCs w:val="24"/>
        </w:rPr>
      </w:pPr>
      <w:r>
        <w:rPr>
          <w:b w:val="1"/>
          <w:bCs w:val="1"/>
          <w:sz w:val="24"/>
          <w:szCs w:val="24"/>
          <w:rtl w:val="0"/>
        </w:rPr>
        <w:t xml:space="preserve">2.3 Data-driven subtyping and progression modelling</w:t>
      </w:r>
      <w:r>
        <w:rPr>
          <w:rtl w:val="0"/>
        </w:rPr>
      </w:r>
    </w:p>
    <w:p w:rsidR="00000000" w:rsidDel="00000000" w:rsidP="00000000" w:rsidRDefault="00000000" w:rsidRPr="00000000" w14:paraId="00000010">
      <w:pPr>
        <w:spacing w:line="276" w:lineRule="auto"/>
        <w:jc w:val="both"/>
        <w:rPr>
          <w:sz w:val="24"/>
          <w:szCs w:val="24"/>
        </w:rPr>
      </w:pPr>
      <w:r>
        <w:rPr>
          <w:sz w:val="24"/>
          <w:szCs w:val="24"/>
          <w:rtl w:val="0"/>
        </w:rPr>
        <w:t xml:space="preserve">One study skipped the established TD/PIGD scheme and instead derived new subtypes statistically. It applied Gaussian Mixture Modelling across the PPMI and PDBP cohorts, then trained Random Forest models to predict which subtype a patient would fall into at 12, 24, and 48 months. This showed that data-driven subtyping can generalise across cohorts, and that Random Forest outperformed LASSO-regression and SVM baselines for this task.</w:t>
      </w:r>
    </w:p>
    <w:p w:rsidR="00000000" w:rsidDel="00000000" w:rsidP="00000000" w:rsidRDefault="00000000" w:rsidRPr="00000000" w14:paraId="00000011">
      <w:pPr>
        <w:spacing w:line="276" w:lineRule="auto"/>
        <w:jc w:val="both"/>
        <w:rPr>
          <w:sz w:val="24"/>
          <w:szCs w:val="24"/>
        </w:rPr>
      </w:pPr>
      <w:r>
        <w:rPr>
          <w:b w:val="1"/>
          <w:bCs w:val="1"/>
          <w:sz w:val="24"/>
          <w:szCs w:val="24"/>
          <w:rtl w:val="0"/>
        </w:rPr>
        <w:t xml:space="preserve">Gap: </w:t>
      </w:r>
      <w:r>
        <w:rPr>
          <w:sz w:val="24"/>
          <w:szCs w:val="24"/>
          <w:rtl w:val="0"/>
        </w:rPr>
        <w:t xml:space="preserve">this closely resembles our own earlier clustering approach, and shares the same problem: a subtype discovered by an unsupervised algorithm still needs independent clinical validation before it can be trusted as ground truth. This is an independent confirmation of why this project anchors its label to the published Jankovic/Stebbins formula instead.</w:t>
      </w:r>
    </w:p>
    <w:p w:rsidR="00000000" w:rsidDel="00000000" w:rsidP="00000000" w:rsidRDefault="00000000" w:rsidRPr="00000000" w14:paraId="00000012">
      <w:pPr>
        <w:pStyle w:val="Heading2"/>
        <w:spacing w:before="240" w:line="276" w:lineRule="auto"/>
        <w:jc w:val="both"/>
        <w:rPr>
          <w:sz w:val="24"/>
          <w:szCs w:val="24"/>
        </w:rPr>
      </w:pPr>
      <w:r>
        <w:rPr>
          <w:b w:val="1"/>
          <w:bCs w:val="1"/>
          <w:sz w:val="24"/>
          <w:szCs w:val="24"/>
          <w:rtl w:val="0"/>
        </w:rPr>
        <w:t xml:space="preserve">2.4 Stability and transition of motor subtype over time</w:t>
      </w:r>
      <w:r>
        <w:rPr>
          <w:rtl w:val="0"/>
        </w:rPr>
      </w:r>
    </w:p>
    <w:p w:rsidR="00000000" w:rsidDel="00000000" w:rsidP="00000000" w:rsidRDefault="00000000" w:rsidRPr="00000000" w14:paraId="00000013">
      <w:pPr>
        <w:spacing w:line="276" w:lineRule="auto"/>
        <w:jc w:val="both"/>
        <w:rPr>
          <w:sz w:val="24"/>
          <w:szCs w:val="24"/>
        </w:rPr>
      </w:pPr>
      <w:r>
        <w:rPr>
          <w:sz w:val="24"/>
          <w:szCs w:val="24"/>
          <w:rtl w:val="0"/>
        </w:rPr>
        <w:t xml:space="preserve">Several studies check whether TD/PIGD/indeterminate labels stay the same once assigned. A three-year study of early PD patients applied the Stebbins criteria at multiple follow-up points and measured how often patients changed category, along with what predicted that change. Other work comparing subtyping methods over shorter windows (one month, twelve months) found similar results: a meaningful share of patients do not stay in their original subtype, and PIGD and indeterminate categories are less stable than TD.</w:t>
      </w:r>
    </w:p>
    <w:p w:rsidR="00000000" w:rsidDel="00000000" w:rsidP="00000000" w:rsidRDefault="00000000" w:rsidRPr="00000000" w14:paraId="00000014">
      <w:pPr>
        <w:spacing w:line="276" w:lineRule="auto"/>
        <w:jc w:val="both"/>
        <w:rPr>
          <w:sz w:val="24"/>
          <w:szCs w:val="24"/>
        </w:rPr>
      </w:pPr>
      <w:r>
        <w:rPr>
          <w:b w:val="1"/>
          <w:bCs w:val="1"/>
          <w:sz w:val="24"/>
          <w:szCs w:val="24"/>
          <w:rtl w:val="0"/>
        </w:rPr>
        <w:t xml:space="preserve">Gap: </w:t>
      </w:r>
      <w:r>
        <w:rPr>
          <w:sz w:val="24"/>
          <w:szCs w:val="24"/>
          <w:rtl w:val="0"/>
        </w:rPr>
        <w:t xml:space="preserve">this work reports cohort-level instability after the fact. It does not build a predictive tool that tells a clinician, for one specific patient, how likely their current label is to hold or change going forward. That is a different and more useful task than reporting overall instability statistics.</w:t>
      </w:r>
    </w:p>
    <w:p w:rsidR="00000000" w:rsidDel="00000000" w:rsidP="00000000" w:rsidRDefault="00000000" w:rsidRPr="00000000" w14:paraId="00000015">
      <w:pPr>
        <w:pStyle w:val="Heading2"/>
        <w:spacing w:before="240" w:line="276" w:lineRule="auto"/>
        <w:jc w:val="both"/>
        <w:rPr>
          <w:sz w:val="24"/>
          <w:szCs w:val="24"/>
        </w:rPr>
      </w:pPr>
      <w:r>
        <w:rPr>
          <w:b w:val="1"/>
          <w:bCs w:val="1"/>
          <w:sz w:val="24"/>
          <w:szCs w:val="24"/>
          <w:rtl w:val="0"/>
        </w:rPr>
        <w:t xml:space="preserve">2.5 Uncertainty quantification and conformal prediction in neurodegenerative disease</w:t>
      </w:r>
      <w:r>
        <w:rPr>
          <w:rtl w:val="0"/>
        </w:rPr>
      </w:r>
    </w:p>
    <w:p w:rsidR="00000000" w:rsidDel="00000000" w:rsidP="00000000" w:rsidRDefault="00000000" w:rsidRPr="00000000" w14:paraId="00000016">
      <w:pPr>
        <w:spacing w:line="276" w:lineRule="auto"/>
        <w:jc w:val="both"/>
        <w:rPr>
          <w:sz w:val="24"/>
          <w:szCs w:val="24"/>
        </w:rPr>
      </w:pPr>
      <w:r>
        <w:rPr>
          <w:sz w:val="24"/>
          <w:szCs w:val="24"/>
          <w:rtl w:val="0"/>
        </w:rPr>
        <w:t xml:space="preserve">Conformal prediction is a model-agnostic method that turns point predictions into calibrated confidence sets or intervals with formal guarantees. It has recently started appearing in neurodegenerative-disease work. One PD-specific study (CASCADE) used a two-stage conformal framework to forecast medication dosing needs, passing uncertainty from a screening classifier into a downstream dosage prediction. In multiple sclerosis, conformal prediction has been used to generate individualized diagnostic uncertainty for disease-course prediction, where prediction-set size shrinks or grows with model confidence. In Alzheimer's research, conformal methods have bounded uncertainty in biomarker trajectories across irregularly-timed visits, and, closer to our own use case, produced set-valued diagnostic predictions across MCI/AD stages, with one study reporting 93.3% empirical coverage at a 90% target confidence level using an XGBoost classifier.</w:t>
      </w:r>
    </w:p>
    <w:p w:rsidR="00000000" w:rsidDel="00000000" w:rsidP="00000000" w:rsidRDefault="00000000" w:rsidRPr="00000000" w14:paraId="00000017">
      <w:pPr>
        <w:spacing w:line="276" w:lineRule="auto"/>
        <w:jc w:val="both"/>
        <w:rPr>
          <w:sz w:val="24"/>
          <w:szCs w:val="24"/>
        </w:rPr>
      </w:pPr>
      <w:r>
        <w:rPr>
          <w:b w:val="1"/>
          <w:bCs w:val="1"/>
          <w:sz w:val="24"/>
          <w:szCs w:val="24"/>
          <w:rtl w:val="0"/>
        </w:rPr>
        <w:t xml:space="preserve">Gap: </w:t>
      </w:r>
      <w:r>
        <w:rPr>
          <w:sz w:val="24"/>
          <w:szCs w:val="24"/>
          <w:rtl w:val="0"/>
        </w:rPr>
        <w:t xml:space="preserve">conformal prediction is clearly useful for related neurodegenerative conditions, and even for other PD outcomes like dosing. No study found here applies it to longitudinal TD/PIGD/indeterminate motor subtype classification. The MS disease-course paper is the closest match in structure, but for a different disease, and without a stability or transition-risk layer added on top.</w:t>
      </w:r>
    </w:p>
    <w:p w:rsidR="00000000" w:rsidDel="00000000" w:rsidP="00000000" w:rsidRDefault="00000000" w:rsidRPr="00000000" w14:paraId="00000018">
      <w:pPr>
        <w:pStyle w:val="Heading2"/>
        <w:spacing w:before="240" w:line="276" w:lineRule="auto"/>
        <w:jc w:val="both"/>
        <w:rPr>
          <w:sz w:val="24"/>
          <w:szCs w:val="24"/>
        </w:rPr>
      </w:pPr>
      <w:r>
        <w:rPr>
          <w:b w:val="1"/>
          <w:bCs w:val="1"/>
          <w:sz w:val="24"/>
          <w:szCs w:val="24"/>
          <w:rtl w:val="0"/>
        </w:rPr>
        <w:t xml:space="preserve">2.6 LLM-augmented reasoning and explainability in clinical decision support</w:t>
      </w:r>
      <w:r>
        <w:rPr>
          <w:rtl w:val="0"/>
        </w:rPr>
      </w:r>
    </w:p>
    <w:p w:rsidR="00000000" w:rsidDel="00000000" w:rsidP="00000000" w:rsidRDefault="00000000" w:rsidRPr="00000000" w14:paraId="00000019">
      <w:pPr>
        <w:spacing w:line="276" w:lineRule="auto"/>
        <w:jc w:val="both"/>
        <w:rPr>
          <w:sz w:val="24"/>
          <w:szCs w:val="24"/>
        </w:rPr>
      </w:pPr>
      <w:r>
        <w:rPr>
          <w:sz w:val="24"/>
          <w:szCs w:val="24"/>
          <w:rtl w:val="0"/>
        </w:rPr>
        <w:t xml:space="preserve">A growing body of work pairs traditional ML predictions with large language models to make outputs easier for clinicians to read. Examples include combining SHAP feature-importance values with an LLM to explain ICU mortality risk at the bedside, and a similar hybrid for explaining psychiatric emergency-department return risk. Purpose-built uncertainty-aware LLM systems exist too: ConfidentNeuro uses conformal prediction to score the hallucination risk of LLM answers in Alzheimer's decision support, assigning each answer a LOW/MEDIUM/HIGH trust label. At the same time, recent interpretability research is a caution against trusting LLM clinical reasoning alone: a 2026 study found medical LLMs can shift staging accuracy by over 50% based on prompt format alone, and that some models give confident answers even when the input is not enough to support one.</w:t>
      </w:r>
    </w:p>
    <w:p w:rsidR="00000000" w:rsidDel="00000000" w:rsidP="00000000" w:rsidRDefault="00000000" w:rsidRPr="00000000" w14:paraId="0000001A">
      <w:pPr>
        <w:spacing w:line="276" w:lineRule="auto"/>
        <w:jc w:val="both"/>
        <w:rPr>
          <w:sz w:val="24"/>
          <w:szCs w:val="24"/>
        </w:rPr>
      </w:pPr>
      <w:r>
        <w:rPr>
          <w:b w:val="1"/>
          <w:bCs w:val="1"/>
          <w:sz w:val="24"/>
          <w:szCs w:val="24"/>
          <w:rtl w:val="0"/>
        </w:rPr>
        <w:t xml:space="preserve">Gap: </w:t>
      </w:r>
      <w:r>
        <w:rPr>
          <w:sz w:val="24"/>
          <w:szCs w:val="24"/>
          <w:rtl w:val="0"/>
        </w:rPr>
        <w:t xml:space="preserve">LLM-explainability work in this space almost always sits downstream of a separately validated ML or statistical signal (SHAP values, conformal risk scores), rather than generating clinical claims on its own. This project should follow that same pattern. No study found here combines calibrated multi-visit subtype confidence with an LLM reasoning layer for PD. The interpretability-instability findings also confirm that the LLM layer here should explain the conformal model's numeric output, not make independent classification judgments of its own.</w:t>
      </w:r>
    </w:p>
    <w:p w:rsidR="00000000" w:rsidDel="00000000" w:rsidP="00000000" w:rsidRDefault="00000000" w:rsidRPr="00000000" w14:paraId="0000001B">
      <w:pPr>
        <w:pStyle w:val="Heading2"/>
        <w:spacing w:before="240" w:line="276" w:lineRule="auto"/>
        <w:jc w:val="both"/>
        <w:rPr>
          <w:sz w:val="24"/>
          <w:szCs w:val="24"/>
        </w:rPr>
      </w:pPr>
      <w:r>
        <w:rPr>
          <w:b w:val="1"/>
          <w:bCs w:val="1"/>
          <w:sz w:val="24"/>
          <w:szCs w:val="24"/>
          <w:rtl w:val="0"/>
        </w:rPr>
        <w:t xml:space="preserve">2.7 Literature Survey Summary Table</w:t>
      </w:r>
      <w:r>
        <w:rPr>
          <w:rtl w:val="0"/>
        </w:rPr>
      </w:r>
    </w:p>
    <w:tbl>
      <w:tblPr>
        <w:tblStyle w:val="Table1"/>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
        <w:gridCol w:w="1048"/>
        <w:gridCol w:w="5043"/>
        <w:gridCol w:w="1426"/>
        <w:gridCol w:w="932"/>
        <w:tblGridChange w:id="0">
          <w:tblGrid>
            <w:gridCol w:w="901"/>
            <w:gridCol w:w="1048"/>
            <w:gridCol w:w="5043"/>
            <w:gridCol w:w="1426"/>
            <w:gridCol w:w="932"/>
          </w:tblGrid>
        </w:tblGridChange>
      </w:tblGrid>
      <w:tr>
        <w:trPr>
          <w:cantSplit w:val="0"/>
          <w:tblHeader w:val="1"/>
        </w:trPr>
        <w:tc>
          <w:tcPr>
            <w:shd w:fill="1f4e78" w:val="clear"/>
            <w:tcMar>
              <w:top w:w="80.0" w:type="dxa"/>
              <w:left w:w="80.0" w:type="dxa"/>
              <w:bottom w:w="80.0" w:type="dxa"/>
              <w:right w:w="80.0" w:type="dxa"/>
            </w:tcMar>
          </w:tcPr>
          <w:p w:rsidR="00000000" w:rsidDel="00000000" w:rsidP="00000000" w:rsidRDefault="00000000" w:rsidRPr="00000000" w14:paraId="0000001C">
            <w:pPr>
              <w:spacing w:line="276" w:lineRule="auto"/>
              <w:jc w:val="both"/>
              <w:rPr>
                <w:sz w:val="24"/>
                <w:szCs w:val="24"/>
              </w:rPr>
            </w:pPr>
            <w:r>
              <w:rPr>
                <w:b w:val="1"/>
                <w:bCs w:val="1"/>
                <w:color w:val="ffffff"/>
                <w:sz w:val="24"/>
                <w:szCs w:val="24"/>
                <w:rtl w:val="0"/>
              </w:rPr>
              <w:t xml:space="preserve">Theme</w:t>
            </w:r>
            <w:r>
              <w:rPr>
                <w:rtl w:val="0"/>
              </w:rPr>
            </w:r>
          </w:p>
        </w:tc>
        <w:tc>
          <w:tcPr>
            <w:shd w:fill="1f4e78" w:val="clear"/>
            <w:tcMar>
              <w:top w:w="80.0" w:type="dxa"/>
              <w:left w:w="80.0" w:type="dxa"/>
              <w:bottom w:w="80.0" w:type="dxa"/>
              <w:right w:w="80.0" w:type="dxa"/>
            </w:tcMar>
          </w:tcPr>
          <w:p w:rsidR="00000000" w:rsidDel="00000000" w:rsidP="00000000" w:rsidRDefault="00000000" w:rsidRPr="00000000" w14:paraId="0000001D">
            <w:pPr>
              <w:spacing w:line="276" w:lineRule="auto"/>
              <w:jc w:val="both"/>
              <w:rPr>
                <w:sz w:val="24"/>
                <w:szCs w:val="24"/>
              </w:rPr>
            </w:pPr>
            <w:r>
              <w:rPr>
                <w:b w:val="1"/>
                <w:bCs w:val="1"/>
                <w:color w:val="ffffff"/>
                <w:sz w:val="24"/>
                <w:szCs w:val="24"/>
                <w:rtl w:val="0"/>
              </w:rPr>
              <w:t xml:space="preserve">Paper Title</w:t>
            </w:r>
            <w:r>
              <w:rPr>
                <w:rtl w:val="0"/>
              </w:rPr>
            </w:r>
          </w:p>
        </w:tc>
        <w:tc>
          <w:tcPr>
            <w:shd w:fill="1f4e78" w:val="clear"/>
            <w:tcMar>
              <w:top w:w="80.0" w:type="dxa"/>
              <w:left w:w="80.0" w:type="dxa"/>
              <w:bottom w:w="80.0" w:type="dxa"/>
              <w:right w:w="80.0" w:type="dxa"/>
            </w:tcMar>
          </w:tcPr>
          <w:p w:rsidR="00000000" w:rsidDel="00000000" w:rsidP="00000000" w:rsidRDefault="00000000" w:rsidRPr="00000000" w14:paraId="0000001E">
            <w:pPr>
              <w:spacing w:line="276" w:lineRule="auto"/>
              <w:jc w:val="both"/>
              <w:rPr>
                <w:sz w:val="24"/>
                <w:szCs w:val="24"/>
              </w:rPr>
            </w:pPr>
            <w:r>
              <w:rPr>
                <w:b w:val="1"/>
                <w:bCs w:val="1"/>
                <w:color w:val="ffffff"/>
                <w:sz w:val="24"/>
                <w:szCs w:val="24"/>
                <w:rtl w:val="0"/>
              </w:rPr>
              <w:t xml:space="preserve">Link</w:t>
            </w:r>
            <w:r>
              <w:rPr>
                <w:rtl w:val="0"/>
              </w:rPr>
            </w:r>
          </w:p>
        </w:tc>
        <w:tc>
          <w:tcPr>
            <w:shd w:fill="1f4e78" w:val="clear"/>
            <w:tcMar>
              <w:top w:w="80.0" w:type="dxa"/>
              <w:left w:w="80.0" w:type="dxa"/>
              <w:bottom w:w="80.0" w:type="dxa"/>
              <w:right w:w="80.0" w:type="dxa"/>
            </w:tcMar>
          </w:tcPr>
          <w:p w:rsidR="00000000" w:rsidDel="00000000" w:rsidP="00000000" w:rsidRDefault="00000000" w:rsidRPr="00000000" w14:paraId="0000001F">
            <w:pPr>
              <w:spacing w:line="276" w:lineRule="auto"/>
              <w:jc w:val="both"/>
              <w:rPr>
                <w:sz w:val="24"/>
                <w:szCs w:val="24"/>
              </w:rPr>
            </w:pPr>
            <w:r>
              <w:rPr>
                <w:b w:val="1"/>
                <w:bCs w:val="1"/>
                <w:color w:val="ffffff"/>
                <w:sz w:val="24"/>
                <w:szCs w:val="24"/>
                <w:rtl w:val="0"/>
              </w:rPr>
              <w:t xml:space="preserve">Description</w:t>
            </w:r>
            <w:r>
              <w:rPr>
                <w:rtl w:val="0"/>
              </w:rPr>
            </w:r>
          </w:p>
        </w:tc>
        <w:tc>
          <w:tcPr>
            <w:shd w:fill="1f4e78" w:val="clear"/>
            <w:tcMar>
              <w:top w:w="80.0" w:type="dxa"/>
              <w:left w:w="80.0" w:type="dxa"/>
              <w:bottom w:w="80.0" w:type="dxa"/>
              <w:right w:w="80.0" w:type="dxa"/>
            </w:tcMar>
          </w:tcPr>
          <w:p w:rsidR="00000000" w:rsidDel="00000000" w:rsidP="00000000" w:rsidRDefault="00000000" w:rsidRPr="00000000" w14:paraId="00000020">
            <w:pPr>
              <w:spacing w:line="276" w:lineRule="auto"/>
              <w:jc w:val="both"/>
              <w:rPr>
                <w:sz w:val="24"/>
                <w:szCs w:val="24"/>
              </w:rPr>
            </w:pPr>
            <w:r>
              <w:rPr>
                <w:b w:val="1"/>
                <w:bCs w:val="1"/>
                <w:color w:val="ffffff"/>
                <w:sz w:val="24"/>
                <w:szCs w:val="24"/>
                <w:rtl w:val="0"/>
              </w:rPr>
              <w:t xml:space="preserve">Main Gap</w:t>
            </w:r>
            <w:r>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21">
            <w:pPr>
              <w:spacing w:line="276" w:lineRule="auto"/>
              <w:jc w:val="both"/>
              <w:rPr>
                <w:sz w:val="24"/>
                <w:szCs w:val="24"/>
              </w:rPr>
            </w:pPr>
            <w:r>
              <w:rPr>
                <w:sz w:val="24"/>
                <w:szCs w:val="24"/>
                <w:rtl w:val="0"/>
              </w:rPr>
              <w:t xml:space="preserve">Established criteria</w:t>
            </w:r>
          </w:p>
        </w:tc>
        <w:tc>
          <w:tcPr>
            <w:tcMar>
              <w:top w:w="80.0" w:type="dxa"/>
              <w:left w:w="80.0" w:type="dxa"/>
              <w:bottom w:w="80.0" w:type="dxa"/>
              <w:right w:w="80.0" w:type="dxa"/>
            </w:tcMar>
          </w:tcPr>
          <w:p w:rsidR="00000000" w:rsidDel="00000000" w:rsidP="00000000" w:rsidRDefault="00000000" w:rsidRPr="00000000" w14:paraId="00000022">
            <w:pPr>
              <w:spacing w:line="276" w:lineRule="auto"/>
              <w:jc w:val="both"/>
              <w:rPr>
                <w:sz w:val="24"/>
                <w:szCs w:val="24"/>
              </w:rPr>
            </w:pPr>
            <w:r>
              <w:rPr>
                <w:sz w:val="24"/>
                <w:szCs w:val="24"/>
                <w:rtl w:val="0"/>
              </w:rPr>
              <w:t xml:space="preserve">How to identify tremor dominant and PIGD groups with the MDS-UPDRS (Stebbins et al., 2013)</w:t>
            </w:r>
          </w:p>
        </w:tc>
        <w:tc>
          <w:tcPr>
            <w:tcMar>
              <w:top w:w="80.0" w:type="dxa"/>
              <w:left w:w="80.0" w:type="dxa"/>
              <w:bottom w:w="80.0" w:type="dxa"/>
              <w:right w:w="80.0" w:type="dxa"/>
            </w:tcMar>
          </w:tcPr>
          <w:p w:rsidR="00000000" w:rsidDel="00000000" w:rsidP="00000000" w:rsidRDefault="00000000" w:rsidRPr="00000000" w14:paraId="00000023">
            <w:pPr>
              <w:spacing w:line="276" w:lineRule="auto"/>
              <w:jc w:val="both"/>
              <w:rPr>
                <w:sz w:val="24"/>
                <w:szCs w:val="24"/>
              </w:rPr>
            </w:pPr>
            <w:r>
              <w:rPr>
                <w:sz w:val="24"/>
                <w:szCs w:val="24"/>
                <w:rtl w:val="0"/>
              </w:rPr>
              <w:t xml:space="preserve">https://movementdisorders.onlinelibrary.wiley.com/doi/abs/10.1002/mds.25383</w:t>
            </w:r>
          </w:p>
        </w:tc>
        <w:tc>
          <w:tcPr>
            <w:tcMar>
              <w:top w:w="80.0" w:type="dxa"/>
              <w:left w:w="80.0" w:type="dxa"/>
              <w:bottom w:w="80.0" w:type="dxa"/>
              <w:right w:w="80.0" w:type="dxa"/>
            </w:tcMar>
          </w:tcPr>
          <w:p w:rsidR="00000000" w:rsidDel="00000000" w:rsidP="00000000" w:rsidRDefault="00000000" w:rsidRPr="00000000" w14:paraId="00000024">
            <w:pPr>
              <w:spacing w:line="276" w:lineRule="auto"/>
              <w:jc w:val="both"/>
              <w:rPr>
                <w:sz w:val="24"/>
                <w:szCs w:val="24"/>
              </w:rPr>
            </w:pPr>
            <w:r>
              <w:rPr>
                <w:sz w:val="24"/>
                <w:szCs w:val="24"/>
                <w:rtl w:val="0"/>
              </w:rPr>
              <w:t xml:space="preserve">Re-derives and validates the TD/PIGD ratio for the modern MDS-UPDRS scale, replacing the older Jankovic formula. This is the standard used by PPMI and most current PD research.</w:t>
            </w:r>
          </w:p>
        </w:tc>
        <w:tc>
          <w:tcPr>
            <w:tcMar>
              <w:top w:w="80.0" w:type="dxa"/>
              <w:left w:w="80.0" w:type="dxa"/>
              <w:bottom w:w="80.0" w:type="dxa"/>
              <w:right w:w="80.0" w:type="dxa"/>
            </w:tcMar>
          </w:tcPr>
          <w:p w:rsidR="00000000" w:rsidDel="00000000" w:rsidP="00000000" w:rsidRDefault="00000000" w:rsidRPr="00000000" w14:paraId="00000025">
            <w:pPr>
              <w:spacing w:line="276" w:lineRule="auto"/>
              <w:jc w:val="both"/>
              <w:rPr>
                <w:sz w:val="24"/>
                <w:szCs w:val="24"/>
              </w:rPr>
            </w:pPr>
            <w:r>
              <w:rPr>
                <w:sz w:val="24"/>
                <w:szCs w:val="24"/>
                <w:rtl w:val="0"/>
              </w:rPr>
              <w:t xml:space="preserve">Defines how to label a patient at one visit. Does not address prediction ahead of that visit.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26">
            <w:pPr>
              <w:spacing w:line="276" w:lineRule="auto"/>
              <w:jc w:val="both"/>
              <w:rPr>
                <w:sz w:val="24"/>
                <w:szCs w:val="24"/>
              </w:rPr>
            </w:pPr>
            <w:r>
              <w:rPr>
                <w:sz w:val="24"/>
                <w:szCs w:val="24"/>
                <w:rtl w:val="0"/>
              </w:rPr>
              <w:t xml:space="preserve">Established criteria</w:t>
            </w:r>
          </w:p>
        </w:tc>
        <w:tc>
          <w:tcPr>
            <w:tcMar>
              <w:top w:w="80.0" w:type="dxa"/>
              <w:left w:w="80.0" w:type="dxa"/>
              <w:bottom w:w="80.0" w:type="dxa"/>
              <w:right w:w="80.0" w:type="dxa"/>
            </w:tcMar>
          </w:tcPr>
          <w:p w:rsidR="00000000" w:rsidDel="00000000" w:rsidP="00000000" w:rsidRDefault="00000000" w:rsidRPr="00000000" w14:paraId="00000027">
            <w:pPr>
              <w:spacing w:line="276" w:lineRule="auto"/>
              <w:jc w:val="both"/>
              <w:rPr>
                <w:sz w:val="24"/>
                <w:szCs w:val="24"/>
              </w:rPr>
            </w:pPr>
            <w:r>
              <w:rPr>
                <w:sz w:val="24"/>
                <w:szCs w:val="24"/>
                <w:rtl w:val="0"/>
              </w:rPr>
              <w:t xml:space="preserve">MDS-sponsored revision of the UPDRS (Goetz et al., 2007)</w:t>
            </w:r>
          </w:p>
        </w:tc>
        <w:tc>
          <w:tcPr>
            <w:tcMar>
              <w:top w:w="80.0" w:type="dxa"/>
              <w:left w:w="80.0" w:type="dxa"/>
              <w:bottom w:w="80.0" w:type="dxa"/>
              <w:right w:w="80.0" w:type="dxa"/>
            </w:tcMar>
          </w:tcPr>
          <w:p w:rsidR="00000000" w:rsidDel="00000000" w:rsidP="00000000" w:rsidRDefault="00000000" w:rsidRPr="00000000" w14:paraId="00000028">
            <w:pPr>
              <w:spacing w:line="276" w:lineRule="auto"/>
              <w:jc w:val="both"/>
              <w:rPr>
                <w:sz w:val="24"/>
                <w:szCs w:val="24"/>
              </w:rPr>
            </w:pPr>
            <w:r>
              <w:rPr>
                <w:sz w:val="24"/>
                <w:szCs w:val="24"/>
                <w:rtl w:val="0"/>
              </w:rPr>
              <w:t xml:space="preserve">https://pubmed.ncbi.nlm.nih.gov/17115387/</w:t>
            </w:r>
          </w:p>
        </w:tc>
        <w:tc>
          <w:tcPr>
            <w:tcMar>
              <w:top w:w="80.0" w:type="dxa"/>
              <w:left w:w="80.0" w:type="dxa"/>
              <w:bottom w:w="80.0" w:type="dxa"/>
              <w:right w:w="80.0" w:type="dxa"/>
            </w:tcMar>
          </w:tcPr>
          <w:p w:rsidR="00000000" w:rsidDel="00000000" w:rsidP="00000000" w:rsidRDefault="00000000" w:rsidRPr="00000000" w14:paraId="00000029">
            <w:pPr>
              <w:spacing w:line="276" w:lineRule="auto"/>
              <w:jc w:val="both"/>
              <w:rPr>
                <w:sz w:val="24"/>
                <w:szCs w:val="24"/>
              </w:rPr>
            </w:pPr>
            <w:r>
              <w:rPr>
                <w:sz w:val="24"/>
                <w:szCs w:val="24"/>
                <w:rtl w:val="0"/>
              </w:rPr>
              <w:t xml:space="preserve">Describes the process behind the MDS-UPDRS, the four-part scale that all subtype formulas and this project's features are built from.</w:t>
            </w:r>
          </w:p>
        </w:tc>
        <w:tc>
          <w:tcPr>
            <w:tcMar>
              <w:top w:w="80.0" w:type="dxa"/>
              <w:left w:w="80.0" w:type="dxa"/>
              <w:bottom w:w="80.0" w:type="dxa"/>
              <w:right w:w="80.0" w:type="dxa"/>
            </w:tcMar>
          </w:tcPr>
          <w:p w:rsidR="00000000" w:rsidDel="00000000" w:rsidP="00000000" w:rsidRDefault="00000000" w:rsidRPr="00000000" w14:paraId="0000002A">
            <w:pPr>
              <w:spacing w:line="276" w:lineRule="auto"/>
              <w:jc w:val="both"/>
              <w:rPr>
                <w:sz w:val="24"/>
                <w:szCs w:val="24"/>
              </w:rPr>
            </w:pPr>
            <w:r>
              <w:rPr>
                <w:sz w:val="24"/>
                <w:szCs w:val="24"/>
                <w:rtl w:val="0"/>
              </w:rPr>
              <w:t xml:space="preserve">Background paper only. No subtyping or prediction content.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2B">
            <w:pPr>
              <w:spacing w:line="276" w:lineRule="auto"/>
              <w:jc w:val="both"/>
              <w:rPr>
                <w:sz w:val="24"/>
                <w:szCs w:val="24"/>
              </w:rPr>
            </w:pPr>
            <w:r>
              <w:rPr>
                <w:sz w:val="24"/>
                <w:szCs w:val="24"/>
                <w:rtl w:val="0"/>
              </w:rPr>
              <w:t xml:space="preserve">ML classification (imaging)</w:t>
            </w:r>
          </w:p>
        </w:tc>
        <w:tc>
          <w:tcPr>
            <w:tcMar>
              <w:top w:w="80.0" w:type="dxa"/>
              <w:left w:w="80.0" w:type="dxa"/>
              <w:bottom w:w="80.0" w:type="dxa"/>
              <w:right w:w="80.0" w:type="dxa"/>
            </w:tcMar>
          </w:tcPr>
          <w:p w:rsidR="00000000" w:rsidDel="00000000" w:rsidP="00000000" w:rsidRDefault="00000000" w:rsidRPr="00000000" w14:paraId="0000002C">
            <w:pPr>
              <w:spacing w:line="276" w:lineRule="auto"/>
              <w:jc w:val="both"/>
              <w:rPr>
                <w:sz w:val="24"/>
                <w:szCs w:val="24"/>
              </w:rPr>
            </w:pPr>
            <w:r>
              <w:rPr>
                <w:sz w:val="24"/>
                <w:szCs w:val="24"/>
                <w:rtl w:val="0"/>
              </w:rPr>
              <w:t xml:space="preserve">Automatic differentiation of PD motor subtypes via deep learning and radiomics (2025)</w:t>
            </w:r>
          </w:p>
        </w:tc>
        <w:tc>
          <w:tcPr>
            <w:tcMar>
              <w:top w:w="80.0" w:type="dxa"/>
              <w:left w:w="80.0" w:type="dxa"/>
              <w:bottom w:w="80.0" w:type="dxa"/>
              <w:right w:w="80.0" w:type="dxa"/>
            </w:tcMar>
          </w:tcPr>
          <w:p w:rsidR="00000000" w:rsidDel="00000000" w:rsidP="00000000" w:rsidRDefault="00000000" w:rsidRPr="00000000" w14:paraId="0000002D">
            <w:pPr>
              <w:spacing w:line="276" w:lineRule="auto"/>
              <w:jc w:val="both"/>
              <w:rPr>
                <w:sz w:val="24"/>
                <w:szCs w:val="24"/>
              </w:rPr>
            </w:pPr>
            <w:r>
              <w:rPr>
                <w:sz w:val="24"/>
                <w:szCs w:val="24"/>
                <w:rtl w:val="0"/>
              </w:rPr>
              <w:t xml:space="preserve">https://pmc.ncbi.nlm.nih.gov/articles/PMC12445147/</w:t>
            </w:r>
          </w:p>
        </w:tc>
        <w:tc>
          <w:tcPr>
            <w:tcMar>
              <w:top w:w="80.0" w:type="dxa"/>
              <w:left w:w="80.0" w:type="dxa"/>
              <w:bottom w:w="80.0" w:type="dxa"/>
              <w:right w:w="80.0" w:type="dxa"/>
            </w:tcMar>
          </w:tcPr>
          <w:p w:rsidR="00000000" w:rsidDel="00000000" w:rsidP="00000000" w:rsidRDefault="00000000" w:rsidRPr="00000000" w14:paraId="0000002E">
            <w:pPr>
              <w:spacing w:line="276" w:lineRule="auto"/>
              <w:jc w:val="both"/>
              <w:rPr>
                <w:sz w:val="24"/>
                <w:szCs w:val="24"/>
              </w:rPr>
            </w:pPr>
            <w:r>
              <w:rPr>
                <w:sz w:val="24"/>
                <w:szCs w:val="24"/>
                <w:rtl w:val="0"/>
              </w:rPr>
              <w:t xml:space="preserve">Uses MRI-derived radiomic features from 8 brain nuclei across 135 PPMI patients (92 TD, 43 PIGD) and five ML classifiers to distinguish subtype.</w:t>
            </w:r>
          </w:p>
        </w:tc>
        <w:tc>
          <w:tcPr>
            <w:tcMar>
              <w:top w:w="80.0" w:type="dxa"/>
              <w:left w:w="80.0" w:type="dxa"/>
              <w:bottom w:w="80.0" w:type="dxa"/>
              <w:right w:w="80.0" w:type="dxa"/>
            </w:tcMar>
          </w:tcPr>
          <w:p w:rsidR="00000000" w:rsidDel="00000000" w:rsidP="00000000" w:rsidRDefault="00000000" w:rsidRPr="00000000" w14:paraId="0000002F">
            <w:pPr>
              <w:spacing w:line="276" w:lineRule="auto"/>
              <w:jc w:val="both"/>
              <w:rPr>
                <w:sz w:val="24"/>
                <w:szCs w:val="24"/>
              </w:rPr>
            </w:pPr>
            <w:r>
              <w:rPr>
                <w:sz w:val="24"/>
                <w:szCs w:val="24"/>
                <w:rtl w:val="0"/>
              </w:rPr>
              <w:t xml:space="preserve">Classifies same-visit imaging, not earlier prediction. No confidence measure reported. Imaging is not routinely available every visit.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30">
            <w:pPr>
              <w:spacing w:line="276" w:lineRule="auto"/>
              <w:jc w:val="both"/>
              <w:rPr>
                <w:sz w:val="24"/>
                <w:szCs w:val="24"/>
              </w:rPr>
            </w:pPr>
            <w:r>
              <w:rPr>
                <w:sz w:val="24"/>
                <w:szCs w:val="24"/>
                <w:rtl w:val="0"/>
              </w:rPr>
              <w:t xml:space="preserve">ML classification (imaging)</w:t>
            </w:r>
          </w:p>
        </w:tc>
        <w:tc>
          <w:tcPr>
            <w:tcMar>
              <w:top w:w="80.0" w:type="dxa"/>
              <w:left w:w="80.0" w:type="dxa"/>
              <w:bottom w:w="80.0" w:type="dxa"/>
              <w:right w:w="80.0" w:type="dxa"/>
            </w:tcMar>
          </w:tcPr>
          <w:p w:rsidR="00000000" w:rsidDel="00000000" w:rsidP="00000000" w:rsidRDefault="00000000" w:rsidRPr="00000000" w14:paraId="00000031">
            <w:pPr>
              <w:spacing w:line="276" w:lineRule="auto"/>
              <w:jc w:val="both"/>
              <w:rPr>
                <w:sz w:val="24"/>
                <w:szCs w:val="24"/>
              </w:rPr>
            </w:pPr>
            <w:r>
              <w:rPr>
                <w:sz w:val="24"/>
                <w:szCs w:val="24"/>
                <w:rtl w:val="0"/>
              </w:rPr>
              <w:t xml:space="preserve">Auto-classification of PD motor subtypes using ASL-MRI</w:t>
            </w:r>
          </w:p>
        </w:tc>
        <w:tc>
          <w:tcPr>
            <w:tcMar>
              <w:top w:w="80.0" w:type="dxa"/>
              <w:left w:w="80.0" w:type="dxa"/>
              <w:bottom w:w="80.0" w:type="dxa"/>
              <w:right w:w="80.0" w:type="dxa"/>
            </w:tcMar>
          </w:tcPr>
          <w:p w:rsidR="00000000" w:rsidDel="00000000" w:rsidP="00000000" w:rsidRDefault="00000000" w:rsidRPr="00000000" w14:paraId="00000032">
            <w:pPr>
              <w:spacing w:line="276" w:lineRule="auto"/>
              <w:jc w:val="both"/>
              <w:rPr>
                <w:sz w:val="24"/>
                <w:szCs w:val="24"/>
              </w:rPr>
            </w:pPr>
            <w:r>
              <w:rPr>
                <w:sz w:val="24"/>
                <w:szCs w:val="24"/>
                <w:rtl w:val="0"/>
              </w:rPr>
              <w:t xml:space="preserve">https://www.ncbi.nlm.nih.gov/pmc/articles/PMC10670033/</w:t>
            </w:r>
          </w:p>
        </w:tc>
        <w:tc>
          <w:tcPr>
            <w:tcMar>
              <w:top w:w="80.0" w:type="dxa"/>
              <w:left w:w="80.0" w:type="dxa"/>
              <w:bottom w:w="80.0" w:type="dxa"/>
              <w:right w:w="80.0" w:type="dxa"/>
            </w:tcMar>
          </w:tcPr>
          <w:p w:rsidR="00000000" w:rsidDel="00000000" w:rsidP="00000000" w:rsidRDefault="00000000" w:rsidRPr="00000000" w14:paraId="00000033">
            <w:pPr>
              <w:spacing w:line="276" w:lineRule="auto"/>
              <w:jc w:val="both"/>
              <w:rPr>
                <w:sz w:val="24"/>
                <w:szCs w:val="24"/>
              </w:rPr>
            </w:pPr>
            <w:r>
              <w:rPr>
                <w:sz w:val="24"/>
                <w:szCs w:val="24"/>
                <w:rtl w:val="0"/>
              </w:rPr>
              <w:t xml:space="preserve">Applies SVM to arterial spin labelling MRI data from 21 PD patients to distinguish TD from PIGD via brain blood-flow patterns.</w:t>
            </w:r>
          </w:p>
        </w:tc>
        <w:tc>
          <w:tcPr>
            <w:tcMar>
              <w:top w:w="80.0" w:type="dxa"/>
              <w:left w:w="80.0" w:type="dxa"/>
              <w:bottom w:w="80.0" w:type="dxa"/>
              <w:right w:w="80.0" w:type="dxa"/>
            </w:tcMar>
          </w:tcPr>
          <w:p w:rsidR="00000000" w:rsidDel="00000000" w:rsidP="00000000" w:rsidRDefault="00000000" w:rsidRPr="00000000" w14:paraId="00000034">
            <w:pPr>
              <w:spacing w:line="276" w:lineRule="auto"/>
              <w:jc w:val="both"/>
              <w:rPr>
                <w:sz w:val="24"/>
                <w:szCs w:val="24"/>
              </w:rPr>
            </w:pPr>
            <w:r>
              <w:rPr>
                <w:sz w:val="24"/>
                <w:szCs w:val="24"/>
                <w:rtl w:val="0"/>
              </w:rPr>
              <w:t xml:space="preserve">Very small sample. Single-visit classification only. No uncertainty quantification.</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35">
            <w:pPr>
              <w:spacing w:line="276" w:lineRule="auto"/>
              <w:jc w:val="both"/>
              <w:rPr>
                <w:sz w:val="24"/>
                <w:szCs w:val="24"/>
              </w:rPr>
            </w:pPr>
            <w:r>
              <w:rPr>
                <w:sz w:val="24"/>
                <w:szCs w:val="24"/>
                <w:rtl w:val="0"/>
              </w:rPr>
              <w:t xml:space="preserve">ML classification (imaging)</w:t>
            </w:r>
          </w:p>
        </w:tc>
        <w:tc>
          <w:tcPr>
            <w:tcMar>
              <w:top w:w="80.0" w:type="dxa"/>
              <w:left w:w="80.0" w:type="dxa"/>
              <w:bottom w:w="80.0" w:type="dxa"/>
              <w:right w:w="80.0" w:type="dxa"/>
            </w:tcMar>
          </w:tcPr>
          <w:p w:rsidR="00000000" w:rsidDel="00000000" w:rsidP="00000000" w:rsidRDefault="00000000" w:rsidRPr="00000000" w14:paraId="00000036">
            <w:pPr>
              <w:spacing w:line="276" w:lineRule="auto"/>
              <w:jc w:val="both"/>
              <w:rPr>
                <w:sz w:val="24"/>
                <w:szCs w:val="24"/>
              </w:rPr>
            </w:pPr>
            <w:r>
              <w:rPr>
                <w:sz w:val="24"/>
                <w:szCs w:val="24"/>
                <w:rtl w:val="0"/>
              </w:rPr>
              <w:t xml:space="preserve">Multi-modality radiomics (T1 + DTI) for early-stage PD subtypes</w:t>
            </w:r>
          </w:p>
        </w:tc>
        <w:tc>
          <w:tcPr>
            <w:tcMar>
              <w:top w:w="80.0" w:type="dxa"/>
              <w:left w:w="80.0" w:type="dxa"/>
              <w:bottom w:w="80.0" w:type="dxa"/>
              <w:right w:w="80.0" w:type="dxa"/>
            </w:tcMar>
          </w:tcPr>
          <w:p w:rsidR="00000000" w:rsidDel="00000000" w:rsidP="00000000" w:rsidRDefault="00000000" w:rsidRPr="00000000" w14:paraId="00000037">
            <w:pPr>
              <w:spacing w:line="276" w:lineRule="auto"/>
              <w:jc w:val="both"/>
              <w:rPr>
                <w:sz w:val="24"/>
                <w:szCs w:val="24"/>
              </w:rPr>
            </w:pPr>
            <w:r>
              <w:rPr>
                <w:sz w:val="24"/>
                <w:szCs w:val="24"/>
                <w:rtl w:val="0"/>
              </w:rPr>
              <w:t xml:space="preserve">https://pmc.ncbi.nlm.nih.gov/articles/PMC11377437/</w:t>
            </w:r>
          </w:p>
        </w:tc>
        <w:tc>
          <w:tcPr>
            <w:tcMar>
              <w:top w:w="80.0" w:type="dxa"/>
              <w:left w:w="80.0" w:type="dxa"/>
              <w:bottom w:w="80.0" w:type="dxa"/>
              <w:right w:w="80.0" w:type="dxa"/>
            </w:tcMar>
          </w:tcPr>
          <w:p w:rsidR="00000000" w:rsidDel="00000000" w:rsidP="00000000" w:rsidRDefault="00000000" w:rsidRPr="00000000" w14:paraId="00000038">
            <w:pPr>
              <w:spacing w:line="276" w:lineRule="auto"/>
              <w:jc w:val="both"/>
              <w:rPr>
                <w:sz w:val="24"/>
                <w:szCs w:val="24"/>
              </w:rPr>
            </w:pPr>
            <w:r>
              <w:rPr>
                <w:sz w:val="24"/>
                <w:szCs w:val="24"/>
                <w:rtl w:val="0"/>
              </w:rPr>
              <w:t xml:space="preserve">Combines two MRI types with a gradient-boosting classifier across 70 TD / 70 PIGD / 70 healthy controls. Reports 85% three-class accuracy, the strongest result in this space.</w:t>
            </w:r>
          </w:p>
        </w:tc>
        <w:tc>
          <w:tcPr>
            <w:tcMar>
              <w:top w:w="80.0" w:type="dxa"/>
              <w:left w:w="80.0" w:type="dxa"/>
              <w:bottom w:w="80.0" w:type="dxa"/>
              <w:right w:w="80.0" w:type="dxa"/>
            </w:tcMar>
          </w:tcPr>
          <w:p w:rsidR="00000000" w:rsidDel="00000000" w:rsidP="00000000" w:rsidRDefault="00000000" w:rsidRPr="00000000" w14:paraId="00000039">
            <w:pPr>
              <w:spacing w:line="276" w:lineRule="auto"/>
              <w:jc w:val="both"/>
              <w:rPr>
                <w:sz w:val="24"/>
                <w:szCs w:val="24"/>
              </w:rPr>
            </w:pPr>
            <w:r>
              <w:rPr>
                <w:sz w:val="24"/>
                <w:szCs w:val="24"/>
                <w:rtl w:val="0"/>
              </w:rPr>
              <w:t xml:space="preserve">Sample is artificially class-balanced. Real cohorts are TD-heavy. No longitudinal or confidence component.</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3A">
            <w:pPr>
              <w:spacing w:line="276" w:lineRule="auto"/>
              <w:jc w:val="both"/>
              <w:rPr>
                <w:sz w:val="24"/>
                <w:szCs w:val="24"/>
              </w:rPr>
            </w:pPr>
            <w:r>
              <w:rPr>
                <w:sz w:val="24"/>
                <w:szCs w:val="24"/>
                <w:rtl w:val="0"/>
              </w:rPr>
              <w:t xml:space="preserve">ML classification (imaging)</w:t>
            </w:r>
          </w:p>
        </w:tc>
        <w:tc>
          <w:tcPr>
            <w:tcMar>
              <w:top w:w="80.0" w:type="dxa"/>
              <w:left w:w="80.0" w:type="dxa"/>
              <w:bottom w:w="80.0" w:type="dxa"/>
              <w:right w:w="80.0" w:type="dxa"/>
            </w:tcMar>
          </w:tcPr>
          <w:p w:rsidR="00000000" w:rsidDel="00000000" w:rsidP="00000000" w:rsidRDefault="00000000" w:rsidRPr="00000000" w14:paraId="0000003B">
            <w:pPr>
              <w:spacing w:line="276" w:lineRule="auto"/>
              <w:jc w:val="both"/>
              <w:rPr>
                <w:sz w:val="24"/>
                <w:szCs w:val="24"/>
              </w:rPr>
            </w:pPr>
            <w:r>
              <w:rPr>
                <w:sz w:val="24"/>
                <w:szCs w:val="24"/>
                <w:rtl w:val="0"/>
              </w:rPr>
              <w:t xml:space="preserve">7T Quantitative MRI and ML for motor subtype stratification</w:t>
            </w:r>
          </w:p>
        </w:tc>
        <w:tc>
          <w:tcPr>
            <w:tcMar>
              <w:top w:w="80.0" w:type="dxa"/>
              <w:left w:w="80.0" w:type="dxa"/>
              <w:bottom w:w="80.0" w:type="dxa"/>
              <w:right w:w="80.0" w:type="dxa"/>
            </w:tcMar>
          </w:tcPr>
          <w:p w:rsidR="00000000" w:rsidDel="00000000" w:rsidP="00000000" w:rsidRDefault="00000000" w:rsidRPr="00000000" w14:paraId="0000003C">
            <w:pPr>
              <w:spacing w:line="276" w:lineRule="auto"/>
              <w:jc w:val="both"/>
              <w:rPr>
                <w:sz w:val="24"/>
                <w:szCs w:val="24"/>
              </w:rPr>
            </w:pPr>
            <w:r>
              <w:rPr>
                <w:sz w:val="24"/>
                <w:szCs w:val="24"/>
                <w:rtl w:val="0"/>
              </w:rPr>
              <w:t xml:space="preserve">https://arxiv.org/pdf/2605.24179</w:t>
            </w:r>
          </w:p>
        </w:tc>
        <w:tc>
          <w:tcPr>
            <w:tcMar>
              <w:top w:w="80.0" w:type="dxa"/>
              <w:left w:w="80.0" w:type="dxa"/>
              <w:bottom w:w="80.0" w:type="dxa"/>
              <w:right w:w="80.0" w:type="dxa"/>
            </w:tcMar>
          </w:tcPr>
          <w:p w:rsidR="00000000" w:rsidDel="00000000" w:rsidP="00000000" w:rsidRDefault="00000000" w:rsidRPr="00000000" w14:paraId="0000003D">
            <w:pPr>
              <w:spacing w:line="276" w:lineRule="auto"/>
              <w:jc w:val="both"/>
              <w:rPr>
                <w:sz w:val="24"/>
                <w:szCs w:val="24"/>
              </w:rPr>
            </w:pPr>
            <w:r>
              <w:rPr>
                <w:sz w:val="24"/>
                <w:szCs w:val="24"/>
                <w:rtl w:val="0"/>
              </w:rPr>
              <w:t xml:space="preserve">Tests ultra-high-field 7-Tesla MRI features with multiple classifiers (KNN, SVM, RF, XGBoost) for HC vs. PIGD vs. TD classification.</w:t>
            </w:r>
          </w:p>
        </w:tc>
        <w:tc>
          <w:tcPr>
            <w:tcMar>
              <w:top w:w="80.0" w:type="dxa"/>
              <w:left w:w="80.0" w:type="dxa"/>
              <w:bottom w:w="80.0" w:type="dxa"/>
              <w:right w:w="80.0" w:type="dxa"/>
            </w:tcMar>
          </w:tcPr>
          <w:p w:rsidR="00000000" w:rsidDel="00000000" w:rsidP="00000000" w:rsidRDefault="00000000" w:rsidRPr="00000000" w14:paraId="0000003E">
            <w:pPr>
              <w:spacing w:line="276" w:lineRule="auto"/>
              <w:jc w:val="both"/>
              <w:rPr>
                <w:sz w:val="24"/>
                <w:szCs w:val="24"/>
              </w:rPr>
            </w:pPr>
            <w:r>
              <w:rPr>
                <w:sz w:val="24"/>
                <w:szCs w:val="24"/>
                <w:rtl w:val="0"/>
              </w:rPr>
              <w:t xml:space="preserve">Reports only moderate accuracy (about 0.62). Exploratory. No uncertainty calibration or longitudinal tracking.</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3F">
            <w:pPr>
              <w:spacing w:line="276" w:lineRule="auto"/>
              <w:jc w:val="both"/>
              <w:rPr>
                <w:sz w:val="24"/>
                <w:szCs w:val="24"/>
              </w:rPr>
            </w:pPr>
            <w:r>
              <w:rPr>
                <w:sz w:val="24"/>
                <w:szCs w:val="24"/>
                <w:rtl w:val="0"/>
              </w:rPr>
              <w:t xml:space="preserve">Data-driven subtyping</w:t>
            </w:r>
          </w:p>
        </w:tc>
        <w:tc>
          <w:tcPr>
            <w:tcMar>
              <w:top w:w="80.0" w:type="dxa"/>
              <w:left w:w="80.0" w:type="dxa"/>
              <w:bottom w:w="80.0" w:type="dxa"/>
              <w:right w:w="80.0" w:type="dxa"/>
            </w:tcMar>
          </w:tcPr>
          <w:p w:rsidR="00000000" w:rsidDel="00000000" w:rsidP="00000000" w:rsidRDefault="00000000" w:rsidRPr="00000000" w14:paraId="00000040">
            <w:pPr>
              <w:spacing w:line="276" w:lineRule="auto"/>
              <w:jc w:val="both"/>
              <w:rPr>
                <w:sz w:val="24"/>
                <w:szCs w:val="24"/>
              </w:rPr>
            </w:pPr>
            <w:r>
              <w:rPr>
                <w:sz w:val="24"/>
                <w:szCs w:val="24"/>
                <w:rtl w:val="0"/>
              </w:rPr>
              <w:t xml:space="preserve">Analysis, Identification and Prediction of PD Sub-Types and Progression through ML</w:t>
            </w:r>
          </w:p>
        </w:tc>
        <w:tc>
          <w:tcPr>
            <w:tcMar>
              <w:top w:w="80.0" w:type="dxa"/>
              <w:left w:w="80.0" w:type="dxa"/>
              <w:bottom w:w="80.0" w:type="dxa"/>
              <w:right w:w="80.0" w:type="dxa"/>
            </w:tcMar>
          </w:tcPr>
          <w:p w:rsidR="00000000" w:rsidDel="00000000" w:rsidP="00000000" w:rsidRDefault="00000000" w:rsidRPr="00000000" w14:paraId="00000041">
            <w:pPr>
              <w:spacing w:line="276" w:lineRule="auto"/>
              <w:jc w:val="both"/>
              <w:rPr>
                <w:sz w:val="24"/>
                <w:szCs w:val="24"/>
              </w:rPr>
            </w:pPr>
            <w:r>
              <w:rPr>
                <w:sz w:val="24"/>
                <w:szCs w:val="24"/>
                <w:rtl w:val="0"/>
              </w:rPr>
              <w:t xml:space="preserve">https://arxiv.org/pdf/2306.04748</w:t>
            </w:r>
          </w:p>
        </w:tc>
        <w:tc>
          <w:tcPr>
            <w:tcMar>
              <w:top w:w="80.0" w:type="dxa"/>
              <w:left w:w="80.0" w:type="dxa"/>
              <w:bottom w:w="80.0" w:type="dxa"/>
              <w:right w:w="80.0" w:type="dxa"/>
            </w:tcMar>
          </w:tcPr>
          <w:p w:rsidR="00000000" w:rsidDel="00000000" w:rsidP="00000000" w:rsidRDefault="00000000" w:rsidRPr="00000000" w14:paraId="00000042">
            <w:pPr>
              <w:spacing w:line="276" w:lineRule="auto"/>
              <w:jc w:val="both"/>
              <w:rPr>
                <w:sz w:val="24"/>
                <w:szCs w:val="24"/>
              </w:rPr>
            </w:pPr>
            <w:r>
              <w:rPr>
                <w:sz w:val="24"/>
                <w:szCs w:val="24"/>
                <w:rtl w:val="0"/>
              </w:rPr>
              <w:t xml:space="preserve">Uses Gaussian Mixture Modelling across PPMI and PDBP cohorts to discover progression subtypes, then trains Random Forest to predict them at 12/24/48 months.</w:t>
            </w:r>
          </w:p>
        </w:tc>
        <w:tc>
          <w:tcPr>
            <w:tcMar>
              <w:top w:w="80.0" w:type="dxa"/>
              <w:left w:w="80.0" w:type="dxa"/>
              <w:bottom w:w="80.0" w:type="dxa"/>
              <w:right w:w="80.0" w:type="dxa"/>
            </w:tcMar>
          </w:tcPr>
          <w:p w:rsidR="00000000" w:rsidDel="00000000" w:rsidP="00000000" w:rsidRDefault="00000000" w:rsidRPr="00000000" w14:paraId="00000043">
            <w:pPr>
              <w:spacing w:line="276" w:lineRule="auto"/>
              <w:jc w:val="both"/>
              <w:rPr>
                <w:sz w:val="24"/>
                <w:szCs w:val="24"/>
              </w:rPr>
            </w:pPr>
            <w:r>
              <w:rPr>
                <w:sz w:val="24"/>
                <w:szCs w:val="24"/>
                <w:rtl w:val="0"/>
              </w:rPr>
              <w:t xml:space="preserve">Subtypes are self-derived, not clinically validated. Same limitation our research guide flagged for our earlier clustering approach.</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44">
            <w:pPr>
              <w:spacing w:line="276" w:lineRule="auto"/>
              <w:jc w:val="both"/>
              <w:rPr>
                <w:sz w:val="24"/>
                <w:szCs w:val="24"/>
              </w:rPr>
            </w:pPr>
            <w:r>
              <w:rPr>
                <w:sz w:val="24"/>
                <w:szCs w:val="24"/>
                <w:rtl w:val="0"/>
              </w:rPr>
              <w:t xml:space="preserve">Subtype stability</w:t>
            </w:r>
          </w:p>
        </w:tc>
        <w:tc>
          <w:tcPr>
            <w:tcMar>
              <w:top w:w="80.0" w:type="dxa"/>
              <w:left w:w="80.0" w:type="dxa"/>
              <w:bottom w:w="80.0" w:type="dxa"/>
              <w:right w:w="80.0" w:type="dxa"/>
            </w:tcMar>
          </w:tcPr>
          <w:p w:rsidR="00000000" w:rsidDel="00000000" w:rsidP="00000000" w:rsidRDefault="00000000" w:rsidRPr="00000000" w14:paraId="00000045">
            <w:pPr>
              <w:spacing w:line="276" w:lineRule="auto"/>
              <w:jc w:val="both"/>
              <w:rPr>
                <w:sz w:val="24"/>
                <w:szCs w:val="24"/>
              </w:rPr>
            </w:pPr>
            <w:r>
              <w:rPr>
                <w:sz w:val="24"/>
                <w:szCs w:val="24"/>
                <w:rtl w:val="0"/>
              </w:rPr>
              <w:t xml:space="preserve">Stability of MDS-UPDRS Motor Subtypes Over Three Years in Early PD</w:t>
            </w:r>
          </w:p>
        </w:tc>
        <w:tc>
          <w:tcPr>
            <w:tcMar>
              <w:top w:w="80.0" w:type="dxa"/>
              <w:left w:w="80.0" w:type="dxa"/>
              <w:bottom w:w="80.0" w:type="dxa"/>
              <w:right w:w="80.0" w:type="dxa"/>
            </w:tcMar>
          </w:tcPr>
          <w:p w:rsidR="00000000" w:rsidDel="00000000" w:rsidP="00000000" w:rsidRDefault="00000000" w:rsidRPr="00000000" w14:paraId="00000046">
            <w:pPr>
              <w:spacing w:line="276" w:lineRule="auto"/>
              <w:jc w:val="both"/>
              <w:rPr>
                <w:sz w:val="24"/>
                <w:szCs w:val="24"/>
              </w:rPr>
            </w:pPr>
            <w:r>
              <w:rPr>
                <w:sz w:val="24"/>
                <w:szCs w:val="24"/>
                <w:rtl w:val="0"/>
              </w:rPr>
              <w:t xml:space="preserve">https://www.frontiersin.org/journals/neurology/articles/10.3389/fneur.2021.704906/full</w:t>
            </w:r>
          </w:p>
        </w:tc>
        <w:tc>
          <w:tcPr>
            <w:tcMar>
              <w:top w:w="80.0" w:type="dxa"/>
              <w:left w:w="80.0" w:type="dxa"/>
              <w:bottom w:w="80.0" w:type="dxa"/>
              <w:right w:w="80.0" w:type="dxa"/>
            </w:tcMar>
          </w:tcPr>
          <w:p w:rsidR="00000000" w:rsidDel="00000000" w:rsidP="00000000" w:rsidRDefault="00000000" w:rsidRPr="00000000" w14:paraId="00000047">
            <w:pPr>
              <w:spacing w:line="276" w:lineRule="auto"/>
              <w:jc w:val="both"/>
              <w:rPr>
                <w:sz w:val="24"/>
                <w:szCs w:val="24"/>
              </w:rPr>
            </w:pPr>
            <w:r>
              <w:rPr>
                <w:sz w:val="24"/>
                <w:szCs w:val="24"/>
                <w:rtl w:val="0"/>
              </w:rPr>
              <w:t xml:space="preserve">Tracks TD/indeterminate/PIGD assignment across 3 years in an early-PD cohort. Measures how often patients are reclassified and what predicts that instability.</w:t>
            </w:r>
          </w:p>
        </w:tc>
        <w:tc>
          <w:tcPr>
            <w:tcMar>
              <w:top w:w="80.0" w:type="dxa"/>
              <w:left w:w="80.0" w:type="dxa"/>
              <w:bottom w:w="80.0" w:type="dxa"/>
              <w:right w:w="80.0" w:type="dxa"/>
            </w:tcMar>
          </w:tcPr>
          <w:p w:rsidR="00000000" w:rsidDel="00000000" w:rsidP="00000000" w:rsidRDefault="00000000" w:rsidRPr="00000000" w14:paraId="00000048">
            <w:pPr>
              <w:spacing w:line="276" w:lineRule="auto"/>
              <w:jc w:val="both"/>
              <w:rPr>
                <w:sz w:val="24"/>
                <w:szCs w:val="24"/>
              </w:rPr>
            </w:pPr>
            <w:r>
              <w:rPr>
                <w:sz w:val="24"/>
                <w:szCs w:val="24"/>
                <w:rtl w:val="0"/>
              </w:rPr>
              <w:t xml:space="preserve">Descriptive and retrospective only. Reports cohort-level statistics, not a per-patient predictive tool.</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49">
            <w:pPr>
              <w:spacing w:line="276" w:lineRule="auto"/>
              <w:jc w:val="both"/>
              <w:rPr>
                <w:sz w:val="24"/>
                <w:szCs w:val="24"/>
              </w:rPr>
            </w:pPr>
            <w:r>
              <w:rPr>
                <w:sz w:val="24"/>
                <w:szCs w:val="24"/>
                <w:rtl w:val="0"/>
              </w:rPr>
              <w:t xml:space="preserve">Subtype stability</w:t>
            </w:r>
          </w:p>
        </w:tc>
        <w:tc>
          <w:tcPr>
            <w:tcMar>
              <w:top w:w="80.0" w:type="dxa"/>
              <w:left w:w="80.0" w:type="dxa"/>
              <w:bottom w:w="80.0" w:type="dxa"/>
              <w:right w:w="80.0" w:type="dxa"/>
            </w:tcMar>
          </w:tcPr>
          <w:p w:rsidR="00000000" w:rsidDel="00000000" w:rsidP="00000000" w:rsidRDefault="00000000" w:rsidRPr="00000000" w14:paraId="0000004A">
            <w:pPr>
              <w:spacing w:line="276" w:lineRule="auto"/>
              <w:jc w:val="both"/>
              <w:rPr>
                <w:sz w:val="24"/>
                <w:szCs w:val="24"/>
              </w:rPr>
            </w:pPr>
            <w:r>
              <w:rPr>
                <w:sz w:val="24"/>
                <w:szCs w:val="24"/>
                <w:rtl w:val="0"/>
              </w:rPr>
              <w:t xml:space="preserve">Consistency and Stability of Motor Subtype Classifications in de novo PD</w:t>
            </w:r>
          </w:p>
        </w:tc>
        <w:tc>
          <w:tcPr>
            <w:tcMar>
              <w:top w:w="80.0" w:type="dxa"/>
              <w:left w:w="80.0" w:type="dxa"/>
              <w:bottom w:w="80.0" w:type="dxa"/>
              <w:right w:w="80.0" w:type="dxa"/>
            </w:tcMar>
          </w:tcPr>
          <w:p w:rsidR="00000000" w:rsidDel="00000000" w:rsidP="00000000" w:rsidRDefault="00000000" w:rsidRPr="00000000" w14:paraId="0000004B">
            <w:pPr>
              <w:spacing w:line="276" w:lineRule="auto"/>
              <w:jc w:val="both"/>
              <w:rPr>
                <w:sz w:val="24"/>
                <w:szCs w:val="24"/>
              </w:rPr>
            </w:pPr>
            <w:r>
              <w:rPr>
                <w:sz w:val="24"/>
                <w:szCs w:val="24"/>
                <w:rtl w:val="0"/>
              </w:rPr>
              <w:t xml:space="preserve">https://www.frontiersin.org/journals/neuroscience/articles/10.3389/fnins.2021.637896/full</w:t>
            </w:r>
          </w:p>
        </w:tc>
        <w:tc>
          <w:tcPr>
            <w:tcMar>
              <w:top w:w="80.0" w:type="dxa"/>
              <w:left w:w="80.0" w:type="dxa"/>
              <w:bottom w:w="80.0" w:type="dxa"/>
              <w:right w:w="80.0" w:type="dxa"/>
            </w:tcMar>
          </w:tcPr>
          <w:p w:rsidR="00000000" w:rsidDel="00000000" w:rsidP="00000000" w:rsidRDefault="00000000" w:rsidRPr="00000000" w14:paraId="0000004C">
            <w:pPr>
              <w:spacing w:line="276" w:lineRule="auto"/>
              <w:jc w:val="both"/>
              <w:rPr>
                <w:sz w:val="24"/>
                <w:szCs w:val="24"/>
              </w:rPr>
            </w:pPr>
            <w:r>
              <w:rPr>
                <w:sz w:val="24"/>
                <w:szCs w:val="24"/>
                <w:rtl w:val="0"/>
              </w:rPr>
              <w:t xml:space="preserve">Compares multiple subtyping formulas (Jankovic, Schiess, Kang) side by side and checks how consistent they are with each other and over time.</w:t>
            </w:r>
          </w:p>
        </w:tc>
        <w:tc>
          <w:tcPr>
            <w:tcMar>
              <w:top w:w="80.0" w:type="dxa"/>
              <w:left w:w="80.0" w:type="dxa"/>
              <w:bottom w:w="80.0" w:type="dxa"/>
              <w:right w:w="80.0" w:type="dxa"/>
            </w:tcMar>
          </w:tcPr>
          <w:p w:rsidR="00000000" w:rsidDel="00000000" w:rsidP="00000000" w:rsidRDefault="00000000" w:rsidRPr="00000000" w14:paraId="0000004D">
            <w:pPr>
              <w:spacing w:line="276" w:lineRule="auto"/>
              <w:jc w:val="both"/>
              <w:rPr>
                <w:sz w:val="24"/>
                <w:szCs w:val="24"/>
              </w:rPr>
            </w:pPr>
            <w:r>
              <w:rPr>
                <w:sz w:val="24"/>
                <w:szCs w:val="24"/>
                <w:rtl w:val="0"/>
              </w:rPr>
              <w:t xml:space="preserve">Focuses on comparing classification methods, not predicting an individual patient's future stability.</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4E">
            <w:pPr>
              <w:spacing w:line="276" w:lineRule="auto"/>
              <w:jc w:val="both"/>
              <w:rPr>
                <w:sz w:val="24"/>
                <w:szCs w:val="24"/>
              </w:rPr>
            </w:pPr>
            <w:r>
              <w:rPr>
                <w:sz w:val="24"/>
                <w:szCs w:val="24"/>
                <w:rtl w:val="0"/>
              </w:rPr>
              <w:t xml:space="preserve">Subtype stability</w:t>
            </w:r>
          </w:p>
        </w:tc>
        <w:tc>
          <w:tcPr>
            <w:tcMar>
              <w:top w:w="80.0" w:type="dxa"/>
              <w:left w:w="80.0" w:type="dxa"/>
              <w:bottom w:w="80.0" w:type="dxa"/>
              <w:right w:w="80.0" w:type="dxa"/>
            </w:tcMar>
          </w:tcPr>
          <w:p w:rsidR="00000000" w:rsidDel="00000000" w:rsidP="00000000" w:rsidRDefault="00000000" w:rsidRPr="00000000" w14:paraId="0000004F">
            <w:pPr>
              <w:spacing w:line="276" w:lineRule="auto"/>
              <w:jc w:val="both"/>
              <w:rPr>
                <w:sz w:val="24"/>
                <w:szCs w:val="24"/>
              </w:rPr>
            </w:pPr>
            <w:r>
              <w:rPr>
                <w:sz w:val="24"/>
                <w:szCs w:val="24"/>
                <w:rtl w:val="0"/>
              </w:rPr>
              <w:t xml:space="preserve">Efficacy of rehabilitation across PD motor subtypes</w:t>
            </w:r>
          </w:p>
        </w:tc>
        <w:tc>
          <w:tcPr>
            <w:tcMar>
              <w:top w:w="80.0" w:type="dxa"/>
              <w:left w:w="80.0" w:type="dxa"/>
              <w:bottom w:w="80.0" w:type="dxa"/>
              <w:right w:w="80.0" w:type="dxa"/>
            </w:tcMar>
          </w:tcPr>
          <w:p w:rsidR="00000000" w:rsidDel="00000000" w:rsidP="00000000" w:rsidRDefault="00000000" w:rsidRPr="00000000" w14:paraId="00000050">
            <w:pPr>
              <w:spacing w:line="276" w:lineRule="auto"/>
              <w:jc w:val="both"/>
              <w:rPr>
                <w:sz w:val="24"/>
                <w:szCs w:val="24"/>
              </w:rPr>
            </w:pPr>
            <w:r>
              <w:rPr>
                <w:sz w:val="24"/>
                <w:szCs w:val="24"/>
                <w:rtl w:val="0"/>
              </w:rPr>
              <w:t xml:space="preserve">https://pmc.ncbi.nlm.nih.gov/articles/PMC8284270/</w:t>
            </w:r>
          </w:p>
        </w:tc>
        <w:tc>
          <w:tcPr>
            <w:tcMar>
              <w:top w:w="80.0" w:type="dxa"/>
              <w:left w:w="80.0" w:type="dxa"/>
              <w:bottom w:w="80.0" w:type="dxa"/>
              <w:right w:w="80.0" w:type="dxa"/>
            </w:tcMar>
          </w:tcPr>
          <w:p w:rsidR="00000000" w:rsidDel="00000000" w:rsidP="00000000" w:rsidRDefault="00000000" w:rsidRPr="00000000" w14:paraId="00000051">
            <w:pPr>
              <w:spacing w:line="276" w:lineRule="auto"/>
              <w:jc w:val="both"/>
              <w:rPr>
                <w:sz w:val="24"/>
                <w:szCs w:val="24"/>
              </w:rPr>
            </w:pPr>
            <w:r>
              <w:rPr>
                <w:sz w:val="24"/>
                <w:szCs w:val="24"/>
                <w:rtl w:val="0"/>
              </w:rPr>
              <w:t xml:space="preserve">Applies the MDS-UPDRS TD/PIGD ratio to split patients (36 PIGD, 19 TD, 14 indeterminate) and compares their response to a 3-month rehabilitation program.</w:t>
            </w:r>
          </w:p>
        </w:tc>
        <w:tc>
          <w:tcPr>
            <w:tcMar>
              <w:top w:w="80.0" w:type="dxa"/>
              <w:left w:w="80.0" w:type="dxa"/>
              <w:bottom w:w="80.0" w:type="dxa"/>
              <w:right w:w="80.0" w:type="dxa"/>
            </w:tcMar>
          </w:tcPr>
          <w:p w:rsidR="00000000" w:rsidDel="00000000" w:rsidP="00000000" w:rsidRDefault="00000000" w:rsidRPr="00000000" w14:paraId="00000052">
            <w:pPr>
              <w:spacing w:line="276" w:lineRule="auto"/>
              <w:jc w:val="both"/>
              <w:rPr>
                <w:sz w:val="24"/>
                <w:szCs w:val="24"/>
              </w:rPr>
            </w:pPr>
            <w:r>
              <w:rPr>
                <w:sz w:val="24"/>
                <w:szCs w:val="24"/>
                <w:rtl w:val="0"/>
              </w:rPr>
              <w:t xml:space="preserve">Confirms subtype affects treatment response, but is a treatment-outcome study, not a classification or uncertainty study.</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53">
            <w:pPr>
              <w:spacing w:line="276" w:lineRule="auto"/>
              <w:jc w:val="both"/>
              <w:rPr>
                <w:sz w:val="24"/>
                <w:szCs w:val="24"/>
              </w:rPr>
            </w:pPr>
            <w:r>
              <w:rPr>
                <w:sz w:val="24"/>
                <w:szCs w:val="24"/>
                <w:rtl w:val="0"/>
              </w:rPr>
              <w:t xml:space="preserve">Uncertainty quantification</w:t>
            </w:r>
          </w:p>
        </w:tc>
        <w:tc>
          <w:tcPr>
            <w:tcMar>
              <w:top w:w="80.0" w:type="dxa"/>
              <w:left w:w="80.0" w:type="dxa"/>
              <w:bottom w:w="80.0" w:type="dxa"/>
              <w:right w:w="80.0" w:type="dxa"/>
            </w:tcMar>
          </w:tcPr>
          <w:p w:rsidR="00000000" w:rsidDel="00000000" w:rsidP="00000000" w:rsidRDefault="00000000" w:rsidRPr="00000000" w14:paraId="00000054">
            <w:pPr>
              <w:spacing w:line="276" w:lineRule="auto"/>
              <w:jc w:val="both"/>
              <w:rPr>
                <w:sz w:val="24"/>
                <w:szCs w:val="24"/>
              </w:rPr>
            </w:pPr>
            <w:r>
              <w:rPr>
                <w:sz w:val="24"/>
                <w:szCs w:val="24"/>
                <w:rtl w:val="0"/>
              </w:rPr>
              <w:t xml:space="preserve">CASCADE: Conformal Prediction for Two-Stage Clinical Decision Support (PD)</w:t>
            </w:r>
          </w:p>
        </w:tc>
        <w:tc>
          <w:tcPr>
            <w:tcMar>
              <w:top w:w="80.0" w:type="dxa"/>
              <w:left w:w="80.0" w:type="dxa"/>
              <w:bottom w:w="80.0" w:type="dxa"/>
              <w:right w:w="80.0" w:type="dxa"/>
            </w:tcMar>
          </w:tcPr>
          <w:p w:rsidR="00000000" w:rsidDel="00000000" w:rsidP="00000000" w:rsidRDefault="00000000" w:rsidRPr="00000000" w14:paraId="00000055">
            <w:pPr>
              <w:spacing w:line="276" w:lineRule="auto"/>
              <w:jc w:val="both"/>
              <w:rPr>
                <w:sz w:val="24"/>
                <w:szCs w:val="24"/>
              </w:rPr>
            </w:pPr>
            <w:r>
              <w:rPr>
                <w:sz w:val="24"/>
                <w:szCs w:val="24"/>
                <w:rtl w:val="0"/>
              </w:rPr>
              <w:t xml:space="preserve">https://arxiv.org/abs/2605.20468</w:t>
            </w:r>
          </w:p>
        </w:tc>
        <w:tc>
          <w:tcPr>
            <w:tcMar>
              <w:top w:w="80.0" w:type="dxa"/>
              <w:left w:w="80.0" w:type="dxa"/>
              <w:bottom w:w="80.0" w:type="dxa"/>
              <w:right w:w="80.0" w:type="dxa"/>
            </w:tcMar>
          </w:tcPr>
          <w:p w:rsidR="00000000" w:rsidDel="00000000" w:rsidP="00000000" w:rsidRDefault="00000000" w:rsidRPr="00000000" w14:paraId="00000056">
            <w:pPr>
              <w:spacing w:line="276" w:lineRule="auto"/>
              <w:jc w:val="both"/>
              <w:rPr>
                <w:sz w:val="24"/>
                <w:szCs w:val="24"/>
              </w:rPr>
            </w:pPr>
            <w:r>
              <w:rPr>
                <w:sz w:val="24"/>
                <w:szCs w:val="24"/>
                <w:rtl w:val="0"/>
              </w:rPr>
              <w:t xml:space="preserve">Applies conformal prediction to forecast Parkinson's medication dosing (LEDD), passing uncertainty from a screening classifier into a downstream dosage prediction.</w:t>
            </w:r>
          </w:p>
        </w:tc>
        <w:tc>
          <w:tcPr>
            <w:tcMar>
              <w:top w:w="80.0" w:type="dxa"/>
              <w:left w:w="80.0" w:type="dxa"/>
              <w:bottom w:w="80.0" w:type="dxa"/>
              <w:right w:w="80.0" w:type="dxa"/>
            </w:tcMar>
          </w:tcPr>
          <w:p w:rsidR="00000000" w:rsidDel="00000000" w:rsidP="00000000" w:rsidRDefault="00000000" w:rsidRPr="00000000" w14:paraId="00000057">
            <w:pPr>
              <w:spacing w:line="276" w:lineRule="auto"/>
              <w:jc w:val="both"/>
              <w:rPr>
                <w:sz w:val="24"/>
                <w:szCs w:val="24"/>
              </w:rPr>
            </w:pPr>
            <w:r>
              <w:rPr>
                <w:sz w:val="24"/>
                <w:szCs w:val="24"/>
                <w:rtl w:val="0"/>
              </w:rPr>
              <w:t xml:space="preserve">Applies conformal prediction to PD, but for medication dosing, not motor subtype classification.</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58">
            <w:pPr>
              <w:spacing w:line="276" w:lineRule="auto"/>
              <w:jc w:val="both"/>
              <w:rPr>
                <w:sz w:val="24"/>
                <w:szCs w:val="24"/>
              </w:rPr>
            </w:pPr>
            <w:r>
              <w:rPr>
                <w:sz w:val="24"/>
                <w:szCs w:val="24"/>
                <w:rtl w:val="0"/>
              </w:rPr>
              <w:t xml:space="preserve">Uncertainty quantification</w:t>
            </w:r>
          </w:p>
        </w:tc>
        <w:tc>
          <w:tcPr>
            <w:tcMar>
              <w:top w:w="80.0" w:type="dxa"/>
              <w:left w:w="80.0" w:type="dxa"/>
              <w:bottom w:w="80.0" w:type="dxa"/>
              <w:right w:w="80.0" w:type="dxa"/>
            </w:tcMar>
          </w:tcPr>
          <w:p w:rsidR="00000000" w:rsidDel="00000000" w:rsidP="00000000" w:rsidRDefault="00000000" w:rsidRPr="00000000" w14:paraId="00000059">
            <w:pPr>
              <w:spacing w:line="276" w:lineRule="auto"/>
              <w:jc w:val="both"/>
              <w:rPr>
                <w:sz w:val="24"/>
                <w:szCs w:val="24"/>
              </w:rPr>
            </w:pPr>
            <w:r>
              <w:rPr>
                <w:sz w:val="24"/>
                <w:szCs w:val="24"/>
                <w:rtl w:val="0"/>
              </w:rPr>
              <w:t xml:space="preserve">Conformal prediction for disease-course prediction in multiple sclerosis</w:t>
            </w:r>
          </w:p>
        </w:tc>
        <w:tc>
          <w:tcPr>
            <w:tcMar>
              <w:top w:w="80.0" w:type="dxa"/>
              <w:left w:w="80.0" w:type="dxa"/>
              <w:bottom w:w="80.0" w:type="dxa"/>
              <w:right w:w="80.0" w:type="dxa"/>
            </w:tcMar>
          </w:tcPr>
          <w:p w:rsidR="00000000" w:rsidDel="00000000" w:rsidP="00000000" w:rsidRDefault="00000000" w:rsidRPr="00000000" w14:paraId="0000005A">
            <w:pPr>
              <w:spacing w:line="276" w:lineRule="auto"/>
              <w:jc w:val="both"/>
              <w:rPr>
                <w:sz w:val="24"/>
                <w:szCs w:val="24"/>
              </w:rPr>
            </w:pPr>
            <w:r>
              <w:rPr>
                <w:sz w:val="24"/>
                <w:szCs w:val="24"/>
                <w:rtl w:val="0"/>
              </w:rPr>
              <w:t xml:space="preserve">https://pmc.ncbi.nlm.nih.gov/articles/PMC12022056/</w:t>
            </w:r>
          </w:p>
        </w:tc>
        <w:tc>
          <w:tcPr>
            <w:tcMar>
              <w:top w:w="80.0" w:type="dxa"/>
              <w:left w:w="80.0" w:type="dxa"/>
              <w:bottom w:w="80.0" w:type="dxa"/>
              <w:right w:w="80.0" w:type="dxa"/>
            </w:tcMar>
          </w:tcPr>
          <w:p w:rsidR="00000000" w:rsidDel="00000000" w:rsidP="00000000" w:rsidRDefault="00000000" w:rsidRPr="00000000" w14:paraId="0000005B">
            <w:pPr>
              <w:spacing w:line="276" w:lineRule="auto"/>
              <w:jc w:val="both"/>
              <w:rPr>
                <w:sz w:val="24"/>
                <w:szCs w:val="24"/>
              </w:rPr>
            </w:pPr>
            <w:r>
              <w:rPr>
                <w:sz w:val="24"/>
                <w:szCs w:val="24"/>
                <w:rtl w:val="0"/>
              </w:rPr>
              <w:t xml:space="preserve">Uses conformal prediction to generate individualized, calibrated diagnostic uncertainty for MS disease-course classification. Closest structural match to this project's design.</w:t>
            </w:r>
          </w:p>
        </w:tc>
        <w:tc>
          <w:tcPr>
            <w:tcMar>
              <w:top w:w="80.0" w:type="dxa"/>
              <w:left w:w="80.0" w:type="dxa"/>
              <w:bottom w:w="80.0" w:type="dxa"/>
              <w:right w:w="80.0" w:type="dxa"/>
            </w:tcMar>
          </w:tcPr>
          <w:p w:rsidR="00000000" w:rsidDel="00000000" w:rsidP="00000000" w:rsidRDefault="00000000" w:rsidRPr="00000000" w14:paraId="0000005C">
            <w:pPr>
              <w:spacing w:line="276" w:lineRule="auto"/>
              <w:jc w:val="both"/>
              <w:rPr>
                <w:sz w:val="24"/>
                <w:szCs w:val="24"/>
              </w:rPr>
            </w:pPr>
            <w:r>
              <w:rPr>
                <w:sz w:val="24"/>
                <w:szCs w:val="24"/>
                <w:rtl w:val="0"/>
              </w:rPr>
              <w:t xml:space="preserve">Different disease (MS, not PD). No stability or transition-risk framing across visits.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5D">
            <w:pPr>
              <w:spacing w:line="276" w:lineRule="auto"/>
              <w:jc w:val="both"/>
              <w:rPr>
                <w:sz w:val="24"/>
                <w:szCs w:val="24"/>
              </w:rPr>
            </w:pPr>
            <w:r>
              <w:rPr>
                <w:sz w:val="24"/>
                <w:szCs w:val="24"/>
                <w:rtl w:val="0"/>
              </w:rPr>
              <w:t xml:space="preserve">Uncertainty quantification</w:t>
            </w:r>
          </w:p>
        </w:tc>
        <w:tc>
          <w:tcPr>
            <w:tcMar>
              <w:top w:w="80.0" w:type="dxa"/>
              <w:left w:w="80.0" w:type="dxa"/>
              <w:bottom w:w="80.0" w:type="dxa"/>
              <w:right w:w="80.0" w:type="dxa"/>
            </w:tcMar>
          </w:tcPr>
          <w:p w:rsidR="00000000" w:rsidDel="00000000" w:rsidP="00000000" w:rsidRDefault="00000000" w:rsidRPr="00000000" w14:paraId="0000005E">
            <w:pPr>
              <w:spacing w:line="276" w:lineRule="auto"/>
              <w:jc w:val="both"/>
              <w:rPr>
                <w:sz w:val="24"/>
                <w:szCs w:val="24"/>
              </w:rPr>
            </w:pPr>
            <w:r>
              <w:rPr>
                <w:sz w:val="24"/>
                <w:szCs w:val="24"/>
                <w:rtl w:val="0"/>
              </w:rPr>
              <w:t xml:space="preserve">Conformal bands for biomarker trajectories in Alzheimer's/MCI</w:t>
            </w:r>
          </w:p>
        </w:tc>
        <w:tc>
          <w:tcPr>
            <w:tcMar>
              <w:top w:w="80.0" w:type="dxa"/>
              <w:left w:w="80.0" w:type="dxa"/>
              <w:bottom w:w="80.0" w:type="dxa"/>
              <w:right w:w="80.0" w:type="dxa"/>
            </w:tcMar>
          </w:tcPr>
          <w:p w:rsidR="00000000" w:rsidDel="00000000" w:rsidP="00000000" w:rsidRDefault="00000000" w:rsidRPr="00000000" w14:paraId="0000005F">
            <w:pPr>
              <w:spacing w:line="276" w:lineRule="auto"/>
              <w:jc w:val="both"/>
              <w:rPr>
                <w:sz w:val="24"/>
                <w:szCs w:val="24"/>
              </w:rPr>
            </w:pPr>
            <w:r>
              <w:rPr>
                <w:sz w:val="24"/>
                <w:szCs w:val="24"/>
                <w:rtl w:val="0"/>
              </w:rPr>
              <w:t xml:space="preserve">https://arxiv.org/html/2511.13911</w:t>
            </w:r>
          </w:p>
        </w:tc>
        <w:tc>
          <w:tcPr>
            <w:tcMar>
              <w:top w:w="80.0" w:type="dxa"/>
              <w:left w:w="80.0" w:type="dxa"/>
              <w:bottom w:w="80.0" w:type="dxa"/>
              <w:right w:w="80.0" w:type="dxa"/>
            </w:tcMar>
          </w:tcPr>
          <w:p w:rsidR="00000000" w:rsidDel="00000000" w:rsidP="00000000" w:rsidRDefault="00000000" w:rsidRPr="00000000" w14:paraId="00000060">
            <w:pPr>
              <w:spacing w:line="276" w:lineRule="auto"/>
              <w:jc w:val="both"/>
              <w:rPr>
                <w:sz w:val="24"/>
                <w:szCs w:val="24"/>
              </w:rPr>
            </w:pPr>
            <w:r>
              <w:rPr>
                <w:sz w:val="24"/>
                <w:szCs w:val="24"/>
                <w:rtl w:val="0"/>
              </w:rPr>
              <w:t xml:space="preserve">Builds group-conditional conformal prediction bands for irregularly-timed biomarker visits. Uses them to flag high-risk MCI patients earlier than standard scores.</w:t>
            </w:r>
          </w:p>
        </w:tc>
        <w:tc>
          <w:tcPr>
            <w:tcMar>
              <w:top w:w="80.0" w:type="dxa"/>
              <w:left w:w="80.0" w:type="dxa"/>
              <w:bottom w:w="80.0" w:type="dxa"/>
              <w:right w:w="80.0" w:type="dxa"/>
            </w:tcMar>
          </w:tcPr>
          <w:p w:rsidR="00000000" w:rsidDel="00000000" w:rsidP="00000000" w:rsidRDefault="00000000" w:rsidRPr="00000000" w14:paraId="00000061">
            <w:pPr>
              <w:spacing w:line="276" w:lineRule="auto"/>
              <w:jc w:val="both"/>
              <w:rPr>
                <w:sz w:val="24"/>
                <w:szCs w:val="24"/>
              </w:rPr>
            </w:pPr>
            <w:r>
              <w:rPr>
                <w:sz w:val="24"/>
                <w:szCs w:val="24"/>
                <w:rtl w:val="0"/>
              </w:rPr>
              <w:t xml:space="preserve">Alzheimer's, not PD. Predicts a continuous biomarker, not a discrete motor subtype label.</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62">
            <w:pPr>
              <w:spacing w:line="276" w:lineRule="auto"/>
              <w:jc w:val="both"/>
              <w:rPr>
                <w:sz w:val="24"/>
                <w:szCs w:val="24"/>
              </w:rPr>
            </w:pPr>
            <w:r>
              <w:rPr>
                <w:sz w:val="24"/>
                <w:szCs w:val="24"/>
                <w:rtl w:val="0"/>
              </w:rPr>
              <w:t xml:space="preserve">Uncertainty quantification</w:t>
            </w:r>
          </w:p>
        </w:tc>
        <w:tc>
          <w:tcPr>
            <w:tcMar>
              <w:top w:w="80.0" w:type="dxa"/>
              <w:left w:w="80.0" w:type="dxa"/>
              <w:bottom w:w="80.0" w:type="dxa"/>
              <w:right w:w="80.0" w:type="dxa"/>
            </w:tcMar>
          </w:tcPr>
          <w:p w:rsidR="00000000" w:rsidDel="00000000" w:rsidP="00000000" w:rsidRDefault="00000000" w:rsidRPr="00000000" w14:paraId="00000063">
            <w:pPr>
              <w:spacing w:line="276" w:lineRule="auto"/>
              <w:jc w:val="both"/>
              <w:rPr>
                <w:sz w:val="24"/>
                <w:szCs w:val="24"/>
              </w:rPr>
            </w:pPr>
            <w:r>
              <w:rPr>
                <w:sz w:val="24"/>
                <w:szCs w:val="24"/>
                <w:rtl w:val="0"/>
              </w:rPr>
              <w:t xml:space="preserve">Conformal uncertainty quantification for multi-class Alzheimer's stage prediction</w:t>
            </w:r>
          </w:p>
        </w:tc>
        <w:tc>
          <w:tcPr>
            <w:tcMar>
              <w:top w:w="80.0" w:type="dxa"/>
              <w:left w:w="80.0" w:type="dxa"/>
              <w:bottom w:w="80.0" w:type="dxa"/>
              <w:right w:w="80.0" w:type="dxa"/>
            </w:tcMar>
          </w:tcPr>
          <w:p w:rsidR="00000000" w:rsidDel="00000000" w:rsidP="00000000" w:rsidRDefault="00000000" w:rsidRPr="00000000" w14:paraId="00000064">
            <w:pPr>
              <w:spacing w:line="276" w:lineRule="auto"/>
              <w:jc w:val="both"/>
              <w:rPr>
                <w:sz w:val="24"/>
                <w:szCs w:val="24"/>
              </w:rPr>
            </w:pPr>
            <w:r>
              <w:rPr>
                <w:sz w:val="24"/>
                <w:szCs w:val="24"/>
                <w:rtl w:val="0"/>
              </w:rPr>
              <w:t xml:space="preserve">(SSRN preprint)</w:t>
            </w:r>
          </w:p>
        </w:tc>
        <w:tc>
          <w:tcPr>
            <w:tcMar>
              <w:top w:w="80.0" w:type="dxa"/>
              <w:left w:w="80.0" w:type="dxa"/>
              <w:bottom w:w="80.0" w:type="dxa"/>
              <w:right w:w="80.0" w:type="dxa"/>
            </w:tcMar>
          </w:tcPr>
          <w:p w:rsidR="00000000" w:rsidDel="00000000" w:rsidP="00000000" w:rsidRDefault="00000000" w:rsidRPr="00000000" w14:paraId="00000065">
            <w:pPr>
              <w:spacing w:line="276" w:lineRule="auto"/>
              <w:jc w:val="both"/>
              <w:rPr>
                <w:sz w:val="24"/>
                <w:szCs w:val="24"/>
              </w:rPr>
            </w:pPr>
            <w:r>
              <w:rPr>
                <w:sz w:val="24"/>
                <w:szCs w:val="24"/>
                <w:rtl w:val="0"/>
              </w:rPr>
              <w:t xml:space="preserve">Applies conformal prediction to an XGBoost classifier across AD/MCI stages. Reports 93.3% empirical coverage at a 90% target confidence level.</w:t>
            </w:r>
          </w:p>
        </w:tc>
        <w:tc>
          <w:tcPr>
            <w:tcMar>
              <w:top w:w="80.0" w:type="dxa"/>
              <w:left w:w="80.0" w:type="dxa"/>
              <w:bottom w:w="80.0" w:type="dxa"/>
              <w:right w:w="80.0" w:type="dxa"/>
            </w:tcMar>
          </w:tcPr>
          <w:p w:rsidR="00000000" w:rsidDel="00000000" w:rsidP="00000000" w:rsidRDefault="00000000" w:rsidRPr="00000000" w14:paraId="00000066">
            <w:pPr>
              <w:spacing w:line="276" w:lineRule="auto"/>
              <w:jc w:val="both"/>
              <w:rPr>
                <w:sz w:val="24"/>
                <w:szCs w:val="24"/>
              </w:rPr>
            </w:pPr>
            <w:r>
              <w:rPr>
                <w:sz w:val="24"/>
                <w:szCs w:val="24"/>
                <w:rtl w:val="0"/>
              </w:rPr>
              <w:t xml:space="preserve">Alzheimer's staging, not PD subtype. Single-visit prediction, not longitudinal.</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67">
            <w:pPr>
              <w:spacing w:line="276" w:lineRule="auto"/>
              <w:jc w:val="both"/>
              <w:rPr>
                <w:sz w:val="24"/>
                <w:szCs w:val="24"/>
              </w:rPr>
            </w:pPr>
            <w:r>
              <w:rPr>
                <w:sz w:val="24"/>
                <w:szCs w:val="24"/>
                <w:rtl w:val="0"/>
              </w:rPr>
              <w:t xml:space="preserve">LLM reasoning layer</w:t>
            </w:r>
          </w:p>
        </w:tc>
        <w:tc>
          <w:tcPr>
            <w:tcMar>
              <w:top w:w="80.0" w:type="dxa"/>
              <w:left w:w="80.0" w:type="dxa"/>
              <w:bottom w:w="80.0" w:type="dxa"/>
              <w:right w:w="80.0" w:type="dxa"/>
            </w:tcMar>
          </w:tcPr>
          <w:p w:rsidR="00000000" w:rsidDel="00000000" w:rsidP="00000000" w:rsidRDefault="00000000" w:rsidRPr="00000000" w14:paraId="00000068">
            <w:pPr>
              <w:spacing w:line="276" w:lineRule="auto"/>
              <w:jc w:val="both"/>
              <w:rPr>
                <w:sz w:val="24"/>
                <w:szCs w:val="24"/>
              </w:rPr>
            </w:pPr>
            <w:r>
              <w:rPr>
                <w:sz w:val="24"/>
                <w:szCs w:val="24"/>
                <w:rtl w:val="0"/>
              </w:rPr>
              <w:t xml:space="preserve">ConfidentNeuro: conformal hallucination-risk scoring for LLM Alzheimer's support</w:t>
            </w:r>
          </w:p>
        </w:tc>
        <w:tc>
          <w:tcPr>
            <w:tcMar>
              <w:top w:w="80.0" w:type="dxa"/>
              <w:left w:w="80.0" w:type="dxa"/>
              <w:bottom w:w="80.0" w:type="dxa"/>
              <w:right w:w="80.0" w:type="dxa"/>
            </w:tcMar>
          </w:tcPr>
          <w:p w:rsidR="00000000" w:rsidDel="00000000" w:rsidP="00000000" w:rsidRDefault="00000000" w:rsidRPr="00000000" w14:paraId="00000069">
            <w:pPr>
              <w:spacing w:line="276" w:lineRule="auto"/>
              <w:jc w:val="both"/>
              <w:rPr>
                <w:sz w:val="24"/>
                <w:szCs w:val="24"/>
              </w:rPr>
            </w:pPr>
            <w:r>
              <w:rPr>
                <w:sz w:val="24"/>
                <w:szCs w:val="24"/>
                <w:rtl w:val="0"/>
              </w:rPr>
              <w:t xml:space="preserve">(ResearchGate preprint)</w:t>
            </w:r>
          </w:p>
        </w:tc>
        <w:tc>
          <w:tcPr>
            <w:tcMar>
              <w:top w:w="80.0" w:type="dxa"/>
              <w:left w:w="80.0" w:type="dxa"/>
              <w:bottom w:w="80.0" w:type="dxa"/>
              <w:right w:w="80.0" w:type="dxa"/>
            </w:tcMar>
          </w:tcPr>
          <w:p w:rsidR="00000000" w:rsidDel="00000000" w:rsidP="00000000" w:rsidRDefault="00000000" w:rsidRPr="00000000" w14:paraId="0000006A">
            <w:pPr>
              <w:spacing w:line="276" w:lineRule="auto"/>
              <w:jc w:val="both"/>
              <w:rPr>
                <w:sz w:val="24"/>
                <w:szCs w:val="24"/>
              </w:rPr>
            </w:pPr>
            <w:r>
              <w:rPr>
                <w:sz w:val="24"/>
                <w:szCs w:val="24"/>
                <w:rtl w:val="0"/>
              </w:rPr>
              <w:t xml:space="preserve">Assigns a LOW/MEDIUM/HIGH trust label to LLM-generated clinical answers in Alzheimer's care, using conformal prediction on semantic similarity scores.</w:t>
            </w:r>
          </w:p>
        </w:tc>
        <w:tc>
          <w:tcPr>
            <w:tcMar>
              <w:top w:w="80.0" w:type="dxa"/>
              <w:left w:w="80.0" w:type="dxa"/>
              <w:bottom w:w="80.0" w:type="dxa"/>
              <w:right w:w="80.0" w:type="dxa"/>
            </w:tcMar>
          </w:tcPr>
          <w:p w:rsidR="00000000" w:rsidDel="00000000" w:rsidP="00000000" w:rsidRDefault="00000000" w:rsidRPr="00000000" w14:paraId="0000006B">
            <w:pPr>
              <w:spacing w:line="276" w:lineRule="auto"/>
              <w:jc w:val="both"/>
              <w:rPr>
                <w:sz w:val="24"/>
                <w:szCs w:val="24"/>
              </w:rPr>
            </w:pPr>
            <w:r>
              <w:rPr>
                <w:sz w:val="24"/>
                <w:szCs w:val="24"/>
                <w:rtl w:val="0"/>
              </w:rPr>
              <w:t xml:space="preserve">Alzheimer's Q&amp;A trust-scoring, not PD subtype explanation. Scores the LLM output itself, not a reasoning layer over an ML prediction.</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6C">
            <w:pPr>
              <w:spacing w:line="276" w:lineRule="auto"/>
              <w:jc w:val="both"/>
              <w:rPr>
                <w:sz w:val="24"/>
                <w:szCs w:val="24"/>
              </w:rPr>
            </w:pPr>
            <w:r>
              <w:rPr>
                <w:sz w:val="24"/>
                <w:szCs w:val="24"/>
                <w:rtl w:val="0"/>
              </w:rPr>
              <w:t xml:space="preserve">LLM reasoning layer</w:t>
            </w:r>
          </w:p>
        </w:tc>
        <w:tc>
          <w:tcPr>
            <w:tcMar>
              <w:top w:w="80.0" w:type="dxa"/>
              <w:left w:w="80.0" w:type="dxa"/>
              <w:bottom w:w="80.0" w:type="dxa"/>
              <w:right w:w="80.0" w:type="dxa"/>
            </w:tcMar>
          </w:tcPr>
          <w:p w:rsidR="00000000" w:rsidDel="00000000" w:rsidP="00000000" w:rsidRDefault="00000000" w:rsidRPr="00000000" w14:paraId="0000006D">
            <w:pPr>
              <w:spacing w:line="276" w:lineRule="auto"/>
              <w:jc w:val="both"/>
              <w:rPr>
                <w:sz w:val="24"/>
                <w:szCs w:val="24"/>
              </w:rPr>
            </w:pPr>
            <w:r>
              <w:rPr>
                <w:sz w:val="24"/>
                <w:szCs w:val="24"/>
                <w:rtl w:val="0"/>
              </w:rPr>
              <w:t xml:space="preserve">Enhancing LLM clinical support with ML risk and SHAP explainability (ICU)</w:t>
            </w:r>
          </w:p>
        </w:tc>
        <w:tc>
          <w:tcPr>
            <w:tcMar>
              <w:top w:w="80.0" w:type="dxa"/>
              <w:left w:w="80.0" w:type="dxa"/>
              <w:bottom w:w="80.0" w:type="dxa"/>
              <w:right w:w="80.0" w:type="dxa"/>
            </w:tcMar>
          </w:tcPr>
          <w:p w:rsidR="00000000" w:rsidDel="00000000" w:rsidP="00000000" w:rsidRDefault="00000000" w:rsidRPr="00000000" w14:paraId="0000006E">
            <w:pPr>
              <w:spacing w:line="276" w:lineRule="auto"/>
              <w:jc w:val="both"/>
              <w:rPr>
                <w:sz w:val="24"/>
                <w:szCs w:val="24"/>
              </w:rPr>
            </w:pPr>
            <w:r>
              <w:rPr>
                <w:sz w:val="24"/>
                <w:szCs w:val="24"/>
                <w:rtl w:val="0"/>
              </w:rPr>
              <w:t xml:space="preserve">https://link.springer.com/article/10.1186/s40635-026-00900-w</w:t>
            </w:r>
          </w:p>
        </w:tc>
        <w:tc>
          <w:tcPr>
            <w:tcMar>
              <w:top w:w="80.0" w:type="dxa"/>
              <w:left w:w="80.0" w:type="dxa"/>
              <w:bottom w:w="80.0" w:type="dxa"/>
              <w:right w:w="80.0" w:type="dxa"/>
            </w:tcMar>
          </w:tcPr>
          <w:p w:rsidR="00000000" w:rsidDel="00000000" w:rsidP="00000000" w:rsidRDefault="00000000" w:rsidRPr="00000000" w14:paraId="0000006F">
            <w:pPr>
              <w:spacing w:line="276" w:lineRule="auto"/>
              <w:jc w:val="both"/>
              <w:rPr>
                <w:sz w:val="24"/>
                <w:szCs w:val="24"/>
              </w:rPr>
            </w:pPr>
            <w:r>
              <w:rPr>
                <w:sz w:val="24"/>
                <w:szCs w:val="24"/>
                <w:rtl w:val="0"/>
              </w:rPr>
              <w:t xml:space="preserve">Feeds XGBoost mortality-risk predictions and SHAP values into GPT-4o to generate bedside-readable risk explanations in ICU settings.</w:t>
            </w:r>
          </w:p>
        </w:tc>
        <w:tc>
          <w:tcPr>
            <w:tcMar>
              <w:top w:w="80.0" w:type="dxa"/>
              <w:left w:w="80.0" w:type="dxa"/>
              <w:bottom w:w="80.0" w:type="dxa"/>
              <w:right w:w="80.0" w:type="dxa"/>
            </w:tcMar>
          </w:tcPr>
          <w:p w:rsidR="00000000" w:rsidDel="00000000" w:rsidP="00000000" w:rsidRDefault="00000000" w:rsidRPr="00000000" w14:paraId="00000070">
            <w:pPr>
              <w:spacing w:line="276" w:lineRule="auto"/>
              <w:jc w:val="both"/>
              <w:rPr>
                <w:sz w:val="24"/>
                <w:szCs w:val="24"/>
              </w:rPr>
            </w:pPr>
            <w:r>
              <w:rPr>
                <w:sz w:val="24"/>
                <w:szCs w:val="24"/>
                <w:rtl w:val="0"/>
              </w:rPr>
              <w:t xml:space="preserve">ICU mortality, not PD. Shows the ML-to-SHAP-to-LLM pattern this project should follow, but not applied to subtype confidence.</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71">
            <w:pPr>
              <w:spacing w:line="276" w:lineRule="auto"/>
              <w:jc w:val="both"/>
              <w:rPr>
                <w:sz w:val="24"/>
                <w:szCs w:val="24"/>
              </w:rPr>
            </w:pPr>
            <w:r>
              <w:rPr>
                <w:sz w:val="24"/>
                <w:szCs w:val="24"/>
                <w:rtl w:val="0"/>
              </w:rPr>
              <w:t xml:space="preserve">LLM reasoning layer</w:t>
            </w:r>
          </w:p>
        </w:tc>
        <w:tc>
          <w:tcPr>
            <w:tcMar>
              <w:top w:w="80.0" w:type="dxa"/>
              <w:left w:w="80.0" w:type="dxa"/>
              <w:bottom w:w="80.0" w:type="dxa"/>
              <w:right w:w="80.0" w:type="dxa"/>
            </w:tcMar>
          </w:tcPr>
          <w:p w:rsidR="00000000" w:rsidDel="00000000" w:rsidP="00000000" w:rsidRDefault="00000000" w:rsidRPr="00000000" w14:paraId="00000072">
            <w:pPr>
              <w:spacing w:line="276" w:lineRule="auto"/>
              <w:jc w:val="both"/>
              <w:rPr>
                <w:sz w:val="24"/>
                <w:szCs w:val="24"/>
              </w:rPr>
            </w:pPr>
            <w:r>
              <w:rPr>
                <w:sz w:val="24"/>
                <w:szCs w:val="24"/>
                <w:rtl w:val="0"/>
              </w:rPr>
              <w:t xml:space="preserve">Understanding Clinical Reasoning Variability in Medical LLMs</w:t>
            </w:r>
          </w:p>
        </w:tc>
        <w:tc>
          <w:tcPr>
            <w:tcMar>
              <w:top w:w="80.0" w:type="dxa"/>
              <w:left w:w="80.0" w:type="dxa"/>
              <w:bottom w:w="80.0" w:type="dxa"/>
              <w:right w:w="80.0" w:type="dxa"/>
            </w:tcMar>
          </w:tcPr>
          <w:p w:rsidR="00000000" w:rsidDel="00000000" w:rsidP="00000000" w:rsidRDefault="00000000" w:rsidRPr="00000000" w14:paraId="00000073">
            <w:pPr>
              <w:spacing w:line="276" w:lineRule="auto"/>
              <w:jc w:val="both"/>
              <w:rPr>
                <w:sz w:val="24"/>
                <w:szCs w:val="24"/>
              </w:rPr>
            </w:pPr>
            <w:r>
              <w:rPr>
                <w:sz w:val="24"/>
                <w:szCs w:val="24"/>
                <w:rtl w:val="0"/>
              </w:rPr>
              <w:t xml:space="preserve">https://www.medrxiv.org/content/10.64898/2026.01.26.26344845v1</w:t>
            </w:r>
          </w:p>
        </w:tc>
        <w:tc>
          <w:tcPr>
            <w:tcMar>
              <w:top w:w="80.0" w:type="dxa"/>
              <w:left w:w="80.0" w:type="dxa"/>
              <w:bottom w:w="80.0" w:type="dxa"/>
              <w:right w:w="80.0" w:type="dxa"/>
            </w:tcMar>
          </w:tcPr>
          <w:p w:rsidR="00000000" w:rsidDel="00000000" w:rsidP="00000000" w:rsidRDefault="00000000" w:rsidRPr="00000000" w14:paraId="00000074">
            <w:pPr>
              <w:spacing w:line="276" w:lineRule="auto"/>
              <w:jc w:val="both"/>
              <w:rPr>
                <w:sz w:val="24"/>
                <w:szCs w:val="24"/>
              </w:rPr>
            </w:pPr>
            <w:r>
              <w:rPr>
                <w:sz w:val="24"/>
                <w:szCs w:val="24"/>
                <w:rtl w:val="0"/>
              </w:rPr>
              <w:t xml:space="preserve">Shows medical LLMs can shift staging accuracy by over 50% based on prompt format alone, and sometimes give confident answers with insufficient input.</w:t>
            </w:r>
          </w:p>
        </w:tc>
        <w:tc>
          <w:tcPr>
            <w:tcMar>
              <w:top w:w="80.0" w:type="dxa"/>
              <w:left w:w="80.0" w:type="dxa"/>
              <w:bottom w:w="80.0" w:type="dxa"/>
              <w:right w:w="80.0" w:type="dxa"/>
            </w:tcMar>
          </w:tcPr>
          <w:p w:rsidR="00000000" w:rsidDel="00000000" w:rsidP="00000000" w:rsidRDefault="00000000" w:rsidRPr="00000000" w14:paraId="00000075">
            <w:pPr>
              <w:spacing w:line="276" w:lineRule="auto"/>
              <w:jc w:val="both"/>
              <w:rPr>
                <w:sz w:val="24"/>
                <w:szCs w:val="24"/>
              </w:rPr>
            </w:pPr>
            <w:r>
              <w:rPr>
                <w:sz w:val="24"/>
                <w:szCs w:val="24"/>
                <w:rtl w:val="0"/>
              </w:rPr>
              <w:t xml:space="preserve">Not PD-related, but a direct caution: this project's LLM layer must explain calibrated model output, not make independent clinical judgments.</w:t>
            </w:r>
          </w:p>
        </w:tc>
      </w:tr>
    </w:tbl>
    <w:p w:rsidR="00000000" w:rsidDel="00000000" w:rsidP="00000000" w:rsidRDefault="00000000" w:rsidRPr="00000000" w14:paraId="00000076">
      <w:pPr>
        <w:spacing w:line="276" w:lineRule="auto"/>
        <w:jc w:val="both"/>
        <w:rPr>
          <w:sz w:val="24"/>
          <w:szCs w:val="24"/>
        </w:rPr>
      </w:pPr>
      <w:r>
        <w:rPr>
          <w:rtl w:val="0"/>
        </w:rPr>
      </w:r>
    </w:p>
    <w:p w:rsidR="00000000" w:rsidDel="00000000" w:rsidP="00000000" w:rsidRDefault="00000000" w:rsidRPr="00000000" w14:paraId="00000077">
      <w:pPr>
        <w:pStyle w:val="Heading2"/>
        <w:spacing w:before="240" w:line="276" w:lineRule="auto"/>
        <w:jc w:val="both"/>
        <w:rPr>
          <w:sz w:val="24"/>
          <w:szCs w:val="24"/>
        </w:rPr>
      </w:pPr>
      <w:r>
        <w:rPr>
          <w:b w:val="1"/>
          <w:bCs w:val="1"/>
          <w:sz w:val="24"/>
          <w:szCs w:val="24"/>
          <w:rtl w:val="0"/>
        </w:rPr>
        <w:t xml:space="preserve">Literature synthesis</w:t>
      </w:r>
      <w:r>
        <w:rPr>
          <w:rtl w:val="0"/>
        </w:rPr>
      </w:r>
    </w:p>
    <w:p w:rsidR="00000000" w:rsidDel="00000000" w:rsidP="00000000" w:rsidRDefault="00000000" w:rsidRPr="00000000" w14:paraId="00000078">
      <w:pPr>
        <w:spacing w:line="276" w:lineRule="auto"/>
        <w:jc w:val="both"/>
        <w:rPr>
          <w:sz w:val="24"/>
          <w:szCs w:val="24"/>
        </w:rPr>
      </w:pPr>
      <w:r>
        <w:rPr>
          <w:sz w:val="24"/>
          <w:szCs w:val="24"/>
          <w:rtl w:val="0"/>
        </w:rPr>
        <w:t xml:space="preserve">Together, this literature confirms three things this project can build on directly. First, TD/PIGD/indeterminate is an established, formula-based classification that does not need new clinical validation to use as ground truth. Second, subtype instability over time is a real, well-documented phenomenon in PD, not an assumption this project introduces. Third, conformal prediction is a proven, clinically-validated method for calibrating confidence in adjacent neurodegenerative-disease tasks.</w:t>
      </w:r>
    </w:p>
    <w:p w:rsidR="00000000" w:rsidDel="00000000" w:rsidP="00000000" w:rsidRDefault="00000000" w:rsidRPr="00000000" w14:paraId="00000079">
      <w:pPr>
        <w:spacing w:line="276" w:lineRule="auto"/>
        <w:jc w:val="both"/>
        <w:rPr>
          <w:sz w:val="24"/>
          <w:szCs w:val="24"/>
        </w:rPr>
      </w:pPr>
      <w:r>
        <w:rPr>
          <w:sz w:val="24"/>
          <w:szCs w:val="24"/>
          <w:rtl w:val="0"/>
        </w:rPr>
        <w:t xml:space="preserve">What has not been done, based on the papers reviewed here, is combining these three things into one longitudinal pipeline: predicting a patient's current motor subtype from routine clinical (non-imaging) data, attaching a calibrated, visit-by-visit confidence score to that prediction, flagging patients at risk of subtype transition, and surfacing all of this through an LLM layer that explains rather than overrides the underlying model. Section 3 develops this gap further and how it shapes the project's design.</w:t>
      </w:r>
    </w:p>
    <w:p w:rsidR="00000000" w:rsidDel="00000000" w:rsidP="00000000" w:rsidRDefault="00000000" w:rsidRPr="00000000" w14:paraId="0000007B">
      <w:pPr>
        <w:pStyle w:val="Heading1"/>
        <w:spacing w:before="300" w:line="276" w:lineRule="auto"/>
        <w:jc w:val="both"/>
        <w:rPr>
          <w:sz w:val="24"/>
          <w:szCs w:val="24"/>
        </w:rPr>
      </w:pPr>
      <w:r>
        <w:rPr>
          <w:b w:val="1"/>
          <w:bCs w:val="1"/>
          <w:sz w:val="24"/>
          <w:szCs w:val="24"/>
          <w:rtl w:val="0"/>
        </w:rPr>
        <w:t xml:space="preserve">3. Problem Description</w:t>
      </w:r>
      <w:r>
        <w:rPr>
          <w:rtl w:val="0"/>
        </w:rPr>
      </w:r>
    </w:p>
    <w:p w:rsidR="00000000" w:rsidDel="00000000" w:rsidP="00000000" w:rsidRDefault="00000000" w:rsidRPr="00000000" w14:paraId="0000007C">
      <w:pPr>
        <w:spacing w:line="276" w:lineRule="auto"/>
        <w:jc w:val="both"/>
        <w:rPr>
          <w:sz w:val="24"/>
          <w:szCs w:val="24"/>
        </w:rPr>
      </w:pPr>
      <w:r>
        <w:rPr>
          <w:sz w:val="24"/>
          <w:szCs w:val="24"/>
          <w:rtl w:val="0"/>
        </w:rPr>
        <w:t xml:space="preserve">The original approach to this project used K-Means clustering on patients' decline rates (motor, cognitive, and autonomic) to sort them into "slow," "moderate," and "fast" progressor groups. The group boundaries were set entirely by the algorithm, and no clinician outside the project had validated that these three groups correspond to a real, clinically meaningful distinction.</w:t>
      </w:r>
    </w:p>
    <w:p w:rsidR="00000000" w:rsidDel="00000000" w:rsidP="00000000" w:rsidRDefault="00000000" w:rsidRPr="00000000" w14:paraId="0000007D">
      <w:pPr>
        <w:spacing w:line="276" w:lineRule="auto"/>
        <w:jc w:val="both"/>
        <w:rPr>
          <w:sz w:val="24"/>
          <w:szCs w:val="24"/>
        </w:rPr>
      </w:pPr>
      <w:r>
        <w:rPr>
          <w:sz w:val="24"/>
          <w:szCs w:val="24"/>
          <w:rtl w:val="0"/>
        </w:rPr>
        <w:t xml:space="preserve">This created a verification problem: any subtype invented by the project needs a clinician to confirm it is a genuine medical category before it can be used as ground truth, and securing that kind of clinical sign-off, particularly from a specialist, was not realistic within the project's timeline.</w:t>
      </w:r>
    </w:p>
    <w:p w:rsidR="00000000" w:rsidDel="00000000" w:rsidP="00000000" w:rsidRDefault="00000000" w:rsidRPr="00000000" w14:paraId="0000007E">
      <w:pPr>
        <w:spacing w:line="276" w:lineRule="auto"/>
        <w:jc w:val="both"/>
        <w:rPr>
          <w:sz w:val="24"/>
          <w:szCs w:val="24"/>
        </w:rPr>
      </w:pPr>
      <w:r>
        <w:rPr>
          <w:sz w:val="24"/>
          <w:szCs w:val="24"/>
          <w:rtl w:val="0"/>
        </w:rPr>
        <w:t xml:space="preserve">The data itself supported this concern. Re-running the clustering with HDBSCAN, a density-based method that does not force a fixed number of clusters, failed to recover three well-separated groups; it flagged 39% of patients as unclassifiable. This suggests that "slow/moderate/fast" is not three naturally occurring groups in the data, but a boundary imposed by the choice of algorithm.</w:t>
      </w:r>
    </w:p>
    <w:p w:rsidR="00000000" w:rsidDel="00000000" w:rsidP="00000000" w:rsidRDefault="00000000" w:rsidRPr="00000000" w14:paraId="0000007F">
      <w:pPr>
        <w:spacing w:line="276" w:lineRule="auto"/>
        <w:jc w:val="both"/>
        <w:rPr>
          <w:sz w:val="24"/>
          <w:szCs w:val="24"/>
        </w:rPr>
      </w:pPr>
      <w:r>
        <w:rPr>
          <w:sz w:val="24"/>
          <w:szCs w:val="24"/>
          <w:rtl w:val="0"/>
        </w:rPr>
        <w:t xml:space="preserve">To remove this bottleneck, the project now predicts an established clinical category instead of an invented one: TD (tremor-dominant) vs. PIGD (postural instability and gait difficulty) vs. indeterminate, the standard three-way motor subtype used across PD research worldwide. This label is not clustered or guessed; it is computed from a published formula, first proposed by Jankovic et al. (1990) and formally validated for the modern MDS-UPDRS scale by Stebbins et al. (2013), that takes a patient's tremor-related and gait/balance-related exam scores and converts their ratio into a category. Because this is the accepted research-standard method already used in PPMI and most PD subtyping studies, the project only needs to confirm it is applying a peer-reviewed formula and public dataset correctly, not validate a new clinical concept, which may not require live clinician review at all.</w:t>
      </w:r>
    </w:p>
    <w:p w:rsidR="00000000" w:rsidDel="00000000" w:rsidP="00000000" w:rsidRDefault="00000000" w:rsidRPr="00000000" w14:paraId="00000080">
      <w:pPr>
        <w:spacing w:line="276" w:lineRule="auto"/>
        <w:jc w:val="both"/>
        <w:rPr>
          <w:sz w:val="24"/>
          <w:szCs w:val="24"/>
        </w:rPr>
      </w:pPr>
      <w:r>
        <w:rPr>
          <w:sz w:val="24"/>
          <w:szCs w:val="24"/>
          <w:rtl w:val="0"/>
        </w:rPr>
        <w:t xml:space="preserve">The core research question is unchanged: can a confident classification be reached earlier than the year-plus of visits a clinician currently needs? What is new is a second problem the project now also addresses: published research shows that roughly a third to a half of patients get reclassified within one to two years as their disease evolves, yet existing work treats this only as a limitation rather than something to be predicted. No current system tells a clinician, per patient, how likely their current label is to hold versus flip at the next visit. This transition-risk problem is what Sections 3–4 of this paper build toward, using the same conformal-prediction and confidence-tracking tools originally developed for the old target, now pointed at the clinically standard one.</w:t>
      </w:r>
    </w:p>
    <w:p w:rsidR="00000000" w:rsidDel="00000000" w:rsidP="00000000" w:rsidRDefault="00000000" w:rsidRPr="00000000" w14:paraId="00000081">
      <w:pPr>
        <w:pStyle w:val="Heading1"/>
        <w:spacing w:before="300" w:line="276" w:lineRule="auto"/>
        <w:jc w:val="both"/>
        <w:rPr>
          <w:sz w:val="24"/>
          <w:szCs w:val="24"/>
        </w:rPr>
      </w:pPr>
      <w:r>
        <w:rPr>
          <w:b w:val="1"/>
          <w:bCs w:val="1"/>
          <w:sz w:val="24"/>
          <w:szCs w:val="24"/>
          <w:rtl w:val="0"/>
        </w:rPr>
        <w:t xml:space="preserve">4. Objective</w:t>
      </w:r>
      <w:r>
        <w:rPr>
          <w:rtl w:val="0"/>
        </w:rPr>
      </w:r>
    </w:p>
    <w:p w:rsidR="00000000" w:rsidDel="00000000" w:rsidP="00000000" w:rsidRDefault="00000000" w:rsidRPr="00000000" w14:paraId="00000082">
      <w:pPr>
        <w:spacing w:line="276" w:lineRule="auto"/>
        <w:jc w:val="both"/>
        <w:rPr>
          <w:sz w:val="24"/>
          <w:szCs w:val="24"/>
        </w:rPr>
      </w:pPr>
      <w:r>
        <w:rPr>
          <w:sz w:val="24"/>
          <w:szCs w:val="24"/>
          <w:rtl w:val="0"/>
        </w:rPr>
        <w:t xml:space="preserve">This project aims to build a tool that predicts a Parkinson's patient's motor subtype, tremor-dominant (TD), postural instability and gait difficulty (PIGD), or indeterminate, earlier than a clinician normally could using visit history alone. Alongside each prediction, the tool reports how confident it is and whether that confidence is likely to hold steady or shift at the next visit. The end goal is a decision-support system that helps doctors monitor and treat each patient at the right level of urgency, sooner.</w:t>
      </w:r>
    </w:p>
    <w:p>
      <w:pPr>
        <w:pStyle w:val="Heading1"/>
        <w:spacing w:line="276" w:lineRule="auto"/>
        <w:jc w:val="both"/>
      </w:pPr>
      <w:r>
        <w:rPr>
          <w:b w:val="1"/>
          <w:bCs w:val="1"/>
          <w:sz w:val="24"/>
          <w:szCs w:val="24"/>
          <w:rtl w:val="0"/>
        </w:rPr>
        <w:t xml:space="preserve">5. Data Analysis</w:t>
      </w:r>
    </w:p>
    <w:p>
      <w:pPr>
        <w:pStyle w:val="Heading2"/>
        <w:spacing w:line="276" w:lineRule="auto"/>
        <w:jc w:val="both"/>
      </w:pPr>
      <w:r>
        <w:rPr>
          <w:b w:val="1"/>
          <w:bCs w:val="1"/>
          <w:sz w:val="24"/>
          <w:szCs w:val="24"/>
          <w:rtl w:val="0"/>
        </w:rPr>
        <w:t xml:space="preserve">5.1 Data source</w:t>
      </w:r>
    </w:p>
    <w:p>
      <w:pPr>
        <w:spacing w:line="276" w:lineRule="auto"/>
        <w:jc w:val="both"/>
      </w:pPr>
      <w:r>
        <w:rPr>
          <w:sz w:val="24"/>
          <w:szCs w:val="24"/>
          <w:rtl w:val="0"/>
        </w:rPr>
        <w:t xml:space="preserve">All data derive from the Parkinson's Progression Markers Initiative (PPMI), an ongoing observational, multi-centre longitudinal study of Parkinson's disease. Data were obtained from the PPMI repository hosted on the Laboratory of Neuro Imaging Image and Data Archive (LONI IDA, ida.loni.usc.edu); the extract used throughout this work is dated 16 August 2026. No new patient data were collected. Nineteen source tables were used, listed below. These were merged into a single table: 12 by outer join on patient and visit identifier, 5 static per-patient tables by left join on patient identifier, and 2 medication logs by date interval.</w:t>
      </w:r>
    </w:p>
    <w:tbl>
      <w:tblPr>
        <w:tblStyle w:val="Table1"/>
        <w:tblW w:w="8600" w:type="dxa"/>
        <w:tblBorders>
          <w:top w:val="single" w:sz="6" w:color="9DB2C6"/>
          <w:left w:val="single" w:sz="6" w:color="9DB2C6"/>
          <w:bottom w:val="single" w:sz="6" w:color="9DB2C6"/>
          <w:right w:val="single" w:sz="6" w:color="9DB2C6"/>
          <w:insideH w:val="single" w:sz="6" w:color="9DB2C6"/>
          <w:insideV w:val="single" w:sz="6" w:color="9DB2C6"/>
        </w:tblBorders>
        <w:tblLayout w:type="fixed"/>
      </w:tblPr>
      <w:tblGrid>
        <w:gridCol w:w="2200"/>
        <w:gridCol w:w="6400"/>
      </w:tblGrid>
      <w:tr>
        <w:trPr>
          <w:tblHeader/>
        </w:trPr>
        <w:tc>
          <w:tcPr>
            <w:tcW w:w="2200" w:type="dxa"/>
            <w:shd w:val="clear" w:color="auto" w:fill="1A3A5C"/>
            <w:vAlign w:val="center"/>
          </w:tcPr>
          <w:p>
            <w:pPr>
              <w:spacing w:line="240" w:lineRule="auto"/>
              <w:jc w:val="left"/>
            </w:pPr>
            <w:r>
              <w:rPr>
                <w:b w:val="1"/>
                <w:bCs w:val="1"/>
                <w:color w:val="FFFFFF"/>
                <w:sz w:val="18"/>
                <w:szCs w:val="18"/>
                <w:rtl w:val="0"/>
              </w:rPr>
              <w:t xml:space="preserve">Domain</w:t>
            </w:r>
          </w:p>
        </w:tc>
        <w:tc>
          <w:tcPr>
            <w:tcW w:w="6400" w:type="dxa"/>
            <w:shd w:val="clear" w:color="auto" w:fill="1A3A5C"/>
            <w:vAlign w:val="center"/>
          </w:tcPr>
          <w:p>
            <w:pPr>
              <w:spacing w:line="240" w:lineRule="auto"/>
              <w:jc w:val="left"/>
            </w:pPr>
            <w:r>
              <w:rPr>
                <w:b w:val="1"/>
                <w:bCs w:val="1"/>
                <w:color w:val="FFFFFF"/>
                <w:sz w:val="18"/>
                <w:szCs w:val="18"/>
                <w:rtl w:val="0"/>
              </w:rPr>
              <w:t xml:space="preserve">Source tables used</w:t>
            </w:r>
          </w:p>
        </w:tc>
      </w:tr>
      <w:tr>
        <w:tc>
          <w:tcPr>
            <w:tcW w:w="2200" w:type="dxa"/>
            <w:vAlign w:val="center"/>
          </w:tcPr>
          <w:p>
            <w:pPr>
              <w:spacing w:line="240" w:lineRule="auto"/>
              <w:jc w:val="left"/>
            </w:pPr>
            <w:r>
              <w:rPr>
                <w:sz w:val="18"/>
                <w:szCs w:val="18"/>
                <w:rtl w:val="0"/>
              </w:rPr>
              <w:t xml:space="preserve">Motor assessment</w:t>
            </w:r>
          </w:p>
        </w:tc>
        <w:tc>
          <w:tcPr>
            <w:tcW w:w="6400" w:type="dxa"/>
            <w:vAlign w:val="center"/>
          </w:tcPr>
          <w:p>
            <w:pPr>
              <w:spacing w:line="240" w:lineRule="auto"/>
              <w:jc w:val="left"/>
            </w:pPr>
            <w:r>
              <w:rPr>
                <w:sz w:val="18"/>
                <w:szCs w:val="18"/>
                <w:rtl w:val="0"/>
              </w:rPr>
              <w:t xml:space="preserve">MDS-UPDRS Part I (rater-completed and self-completed components); Part II; Part III</w:t>
            </w:r>
          </w:p>
        </w:tc>
      </w:tr>
      <w:tr>
        <w:tc>
          <w:tcPr>
            <w:tcW w:w="2200" w:type="dxa"/>
            <w:vAlign w:val="center"/>
          </w:tcPr>
          <w:p>
            <w:pPr>
              <w:spacing w:line="240" w:lineRule="auto"/>
              <w:jc w:val="left"/>
            </w:pPr>
            <w:r>
              <w:rPr>
                <w:sz w:val="18"/>
                <w:szCs w:val="18"/>
                <w:rtl w:val="0"/>
              </w:rPr>
              <w:t xml:space="preserve">Cognition</w:t>
            </w:r>
          </w:p>
        </w:tc>
        <w:tc>
          <w:tcPr>
            <w:tcW w:w="6400" w:type="dxa"/>
            <w:vAlign w:val="center"/>
          </w:tcPr>
          <w:p>
            <w:pPr>
              <w:spacing w:line="240" w:lineRule="auto"/>
              <w:jc w:val="left"/>
            </w:pPr>
            <w:r>
              <w:rPr>
                <w:sz w:val="18"/>
                <w:szCs w:val="18"/>
                <w:rtl w:val="0"/>
              </w:rPr>
              <w:t xml:space="preserve">Montreal Cognitive Assessment (MoCA)</w:t>
            </w:r>
          </w:p>
        </w:tc>
      </w:tr>
      <w:tr>
        <w:tc>
          <w:tcPr>
            <w:tcW w:w="2200" w:type="dxa"/>
            <w:vAlign w:val="center"/>
          </w:tcPr>
          <w:p>
            <w:pPr>
              <w:spacing w:line="240" w:lineRule="auto"/>
              <w:jc w:val="left"/>
            </w:pPr>
            <w:r>
              <w:rPr>
                <w:sz w:val="18"/>
                <w:szCs w:val="18"/>
                <w:rtl w:val="0"/>
              </w:rPr>
              <w:t xml:space="preserve">Autonomic function</w:t>
            </w:r>
          </w:p>
        </w:tc>
        <w:tc>
          <w:tcPr>
            <w:tcW w:w="6400" w:type="dxa"/>
            <w:vAlign w:val="center"/>
          </w:tcPr>
          <w:p>
            <w:pPr>
              <w:spacing w:line="240" w:lineRule="auto"/>
              <w:jc w:val="left"/>
            </w:pPr>
            <w:r>
              <w:rPr>
                <w:sz w:val="18"/>
                <w:szCs w:val="18"/>
                <w:rtl w:val="0"/>
              </w:rPr>
              <w:t xml:space="preserve">SCOPA-AUT</w:t>
            </w:r>
          </w:p>
        </w:tc>
      </w:tr>
      <w:tr>
        <w:tc>
          <w:tcPr>
            <w:tcW w:w="2200" w:type="dxa"/>
            <w:vAlign w:val="center"/>
          </w:tcPr>
          <w:p>
            <w:pPr>
              <w:spacing w:line="240" w:lineRule="auto"/>
              <w:jc w:val="left"/>
            </w:pPr>
            <w:r>
              <w:rPr>
                <w:sz w:val="18"/>
                <w:szCs w:val="18"/>
                <w:rtl w:val="0"/>
              </w:rPr>
              <w:t xml:space="preserve">Mood and anxiety</w:t>
            </w:r>
          </w:p>
        </w:tc>
        <w:tc>
          <w:tcPr>
            <w:tcW w:w="6400" w:type="dxa"/>
            <w:vAlign w:val="center"/>
          </w:tcPr>
          <w:p>
            <w:pPr>
              <w:spacing w:line="240" w:lineRule="auto"/>
              <w:jc w:val="left"/>
            </w:pPr>
            <w:r>
              <w:rPr>
                <w:sz w:val="18"/>
                <w:szCs w:val="18"/>
                <w:rtl w:val="0"/>
              </w:rPr>
              <w:t xml:space="preserve">Geriatric Depression Scale (short form); State-Trait Anxiety Inventory</w:t>
            </w:r>
          </w:p>
        </w:tc>
      </w:tr>
      <w:tr>
        <w:tc>
          <w:tcPr>
            <w:tcW w:w="2200" w:type="dxa"/>
            <w:vAlign w:val="center"/>
          </w:tcPr>
          <w:p>
            <w:pPr>
              <w:spacing w:line="240" w:lineRule="auto"/>
              <w:jc w:val="left"/>
            </w:pPr>
            <w:r>
              <w:rPr>
                <w:sz w:val="18"/>
                <w:szCs w:val="18"/>
                <w:rtl w:val="0"/>
              </w:rPr>
              <w:t xml:space="preserve">Sleep</w:t>
            </w:r>
          </w:p>
        </w:tc>
        <w:tc>
          <w:tcPr>
            <w:tcW w:w="6400" w:type="dxa"/>
            <w:vAlign w:val="center"/>
          </w:tcPr>
          <w:p>
            <w:pPr>
              <w:spacing w:line="240" w:lineRule="auto"/>
              <w:jc w:val="left"/>
            </w:pPr>
            <w:r>
              <w:rPr>
                <w:sz w:val="18"/>
                <w:szCs w:val="18"/>
                <w:rtl w:val="0"/>
              </w:rPr>
              <w:t xml:space="preserve">Epworth Sleepiness Scale; REM Sleep Behaviour Disorder Screening</w:t>
            </w:r>
          </w:p>
        </w:tc>
      </w:tr>
      <w:tr>
        <w:tc>
          <w:tcPr>
            <w:tcW w:w="2200" w:type="dxa"/>
            <w:vAlign w:val="center"/>
          </w:tcPr>
          <w:p>
            <w:pPr>
              <w:spacing w:line="240" w:lineRule="auto"/>
              <w:jc w:val="left"/>
            </w:pPr>
            <w:r>
              <w:rPr>
                <w:sz w:val="18"/>
                <w:szCs w:val="18"/>
                <w:rtl w:val="0"/>
              </w:rPr>
              <w:t xml:space="preserve">Medical history</w:t>
            </w:r>
          </w:p>
        </w:tc>
        <w:tc>
          <w:tcPr>
            <w:tcW w:w="6400" w:type="dxa"/>
            <w:vAlign w:val="center"/>
          </w:tcPr>
          <w:p>
            <w:pPr>
              <w:spacing w:line="240" w:lineRule="auto"/>
              <w:jc w:val="left"/>
            </w:pPr>
            <w:r>
              <w:rPr>
                <w:sz w:val="18"/>
                <w:szCs w:val="18"/>
                <w:rtl w:val="0"/>
              </w:rPr>
              <w:t xml:space="preserve">PD Diagnosis History; Concomitant Medication Log; LEDD Concomitant Medication Log</w:t>
            </w:r>
          </w:p>
        </w:tc>
      </w:tr>
      <w:tr>
        <w:tc>
          <w:tcPr>
            <w:tcW w:w="2200" w:type="dxa"/>
            <w:vAlign w:val="center"/>
          </w:tcPr>
          <w:p>
            <w:pPr>
              <w:spacing w:line="240" w:lineRule="auto"/>
              <w:jc w:val="left"/>
            </w:pPr>
            <w:r>
              <w:rPr>
                <w:sz w:val="18"/>
                <w:szCs w:val="18"/>
                <w:rtl w:val="0"/>
              </w:rPr>
              <w:t xml:space="preserve">Subject characteristics</w:t>
            </w:r>
          </w:p>
        </w:tc>
        <w:tc>
          <w:tcPr>
            <w:tcW w:w="6400" w:type="dxa"/>
            <w:vAlign w:val="center"/>
          </w:tcPr>
          <w:p>
            <w:pPr>
              <w:spacing w:line="240" w:lineRule="auto"/>
              <w:jc w:val="left"/>
            </w:pPr>
            <w:r>
              <w:rPr>
                <w:sz w:val="18"/>
                <w:szCs w:val="18"/>
                <w:rtl w:val="0"/>
              </w:rPr>
              <w:t xml:space="preserve">Demographics; Age at Visit; Subject Cohort History</w:t>
            </w:r>
          </w:p>
        </w:tc>
      </w:tr>
      <w:tr>
        <w:tc>
          <w:tcPr>
            <w:tcW w:w="2200" w:type="dxa"/>
            <w:vAlign w:val="center"/>
          </w:tcPr>
          <w:p>
            <w:pPr>
              <w:spacing w:line="240" w:lineRule="auto"/>
              <w:jc w:val="left"/>
            </w:pPr>
            <w:r>
              <w:rPr>
                <w:sz w:val="18"/>
                <w:szCs w:val="18"/>
                <w:rtl w:val="0"/>
              </w:rPr>
              <w:t xml:space="preserve">Imaging</w:t>
            </w:r>
          </w:p>
        </w:tc>
        <w:tc>
          <w:tcPr>
            <w:tcW w:w="6400" w:type="dxa"/>
            <w:vAlign w:val="center"/>
          </w:tcPr>
          <w:p>
            <w:pPr>
              <w:spacing w:line="240" w:lineRule="auto"/>
              <w:jc w:val="left"/>
            </w:pPr>
            <w:r>
              <w:rPr>
                <w:sz w:val="18"/>
                <w:szCs w:val="18"/>
                <w:rtl w:val="0"/>
              </w:rPr>
              <w:t xml:space="preserve">Xing Core Lab Quantitative SBR (DaTscan); Xing Core Lab Visual Read</w:t>
            </w:r>
          </w:p>
        </w:tc>
      </w:tr>
      <w:tr>
        <w:tc>
          <w:tcPr>
            <w:tcW w:w="2200" w:type="dxa"/>
            <w:vAlign w:val="center"/>
          </w:tcPr>
          <w:p>
            <w:pPr>
              <w:spacing w:line="240" w:lineRule="auto"/>
              <w:jc w:val="left"/>
            </w:pPr>
            <w:r>
              <w:rPr>
                <w:sz w:val="18"/>
                <w:szCs w:val="18"/>
                <w:rtl w:val="0"/>
              </w:rPr>
              <w:t xml:space="preserve">Genetics</w:t>
            </w:r>
          </w:p>
        </w:tc>
        <w:tc>
          <w:tcPr>
            <w:tcW w:w="6400" w:type="dxa"/>
            <w:vAlign w:val="center"/>
          </w:tcPr>
          <w:p>
            <w:pPr>
              <w:spacing w:line="240" w:lineRule="auto"/>
              <w:jc w:val="left"/>
            </w:pPr>
            <w:r>
              <w:rPr>
                <w:sz w:val="18"/>
                <w:szCs w:val="18"/>
                <w:rtl w:val="0"/>
              </w:rPr>
              <w:t xml:space="preserve">IU Genetic Consensus panel; WGS PD variant status</w:t>
            </w:r>
          </w:p>
        </w:tc>
      </w:tr>
    </w:tbl>
    <w:p>
      <w:pPr>
        <w:spacing w:line="276" w:lineRule="auto"/>
        <w:jc w:val="both"/>
      </w:pPr>
      <w:r>
        <w:rPr>
          <w:sz w:val="8"/>
          <w:szCs w:val="8"/>
          <w:rtl w:val="0"/>
        </w:rPr>
        <w:t xml:space="preserve"/>
      </w:r>
    </w:p>
    <w:p>
      <w:pPr>
        <w:pStyle w:val="Heading2"/>
        <w:spacing w:line="276" w:lineRule="auto"/>
        <w:jc w:val="both"/>
      </w:pPr>
      <w:r>
        <w:rPr>
          <w:b w:val="1"/>
          <w:bCs w:val="1"/>
          <w:sz w:val="24"/>
          <w:szCs w:val="24"/>
          <w:rtl w:val="0"/>
        </w:rPr>
        <w:t xml:space="preserve">5.2 Final dataset</w:t>
      </w:r>
    </w:p>
    <w:p>
      <w:pPr>
        <w:spacing w:line="276" w:lineRule="auto"/>
        <w:jc w:val="both"/>
      </w:pPr>
      <w:r>
        <w:rPr>
          <w:sz w:val="24"/>
          <w:szCs w:val="24"/>
          <w:rtl w:val="0"/>
        </w:rPr>
        <w:t xml:space="preserve">Preprocessing is implemented in a single deterministic script, 01_preprocess_tdpigd.py, which produces three artefacts. The analysis dataset used by all downstream modelling is ppmi_tdpigd_long.csv.</w:t>
      </w:r>
    </w:p>
    <w:tbl>
      <w:tblPr>
        <w:tblStyle w:val="Table1"/>
        <w:tblW w:w="8600" w:type="dxa"/>
        <w:tblBorders>
          <w:top w:val="single" w:sz="6" w:color="9DB2C6"/>
          <w:left w:val="single" w:sz="6" w:color="9DB2C6"/>
          <w:bottom w:val="single" w:sz="6" w:color="9DB2C6"/>
          <w:right w:val="single" w:sz="6" w:color="9DB2C6"/>
          <w:insideH w:val="single" w:sz="6" w:color="9DB2C6"/>
          <w:insideV w:val="single" w:sz="6" w:color="9DB2C6"/>
        </w:tblBorders>
        <w:tblLayout w:type="fixed"/>
      </w:tblPr>
      <w:tblGrid>
        <w:gridCol w:w="2350"/>
        <w:gridCol w:w="4550"/>
        <w:gridCol w:w="1700"/>
      </w:tblGrid>
      <w:tr>
        <w:trPr>
          <w:tblHeader/>
        </w:trPr>
        <w:tc>
          <w:tcPr>
            <w:tcW w:w="2350" w:type="dxa"/>
            <w:shd w:val="clear" w:color="auto" w:fill="1A3A5C"/>
            <w:vAlign w:val="center"/>
          </w:tcPr>
          <w:p>
            <w:pPr>
              <w:spacing w:line="240" w:lineRule="auto"/>
              <w:jc w:val="left"/>
            </w:pPr>
            <w:r>
              <w:rPr>
                <w:b w:val="1"/>
                <w:bCs w:val="1"/>
                <w:color w:val="FFFFFF"/>
                <w:sz w:val="18"/>
                <w:szCs w:val="18"/>
                <w:rtl w:val="0"/>
              </w:rPr>
              <w:t xml:space="preserve">Artefact</w:t>
            </w:r>
          </w:p>
        </w:tc>
        <w:tc>
          <w:tcPr>
            <w:tcW w:w="4550" w:type="dxa"/>
            <w:shd w:val="clear" w:color="auto" w:fill="1A3A5C"/>
            <w:vAlign w:val="center"/>
          </w:tcPr>
          <w:p>
            <w:pPr>
              <w:spacing w:line="240" w:lineRule="auto"/>
              <w:jc w:val="left"/>
            </w:pPr>
            <w:r>
              <w:rPr>
                <w:b w:val="1"/>
                <w:bCs w:val="1"/>
                <w:color w:val="FFFFFF"/>
                <w:sz w:val="18"/>
                <w:szCs w:val="18"/>
                <w:rtl w:val="0"/>
              </w:rPr>
              <w:t xml:space="preserve">Description</w:t>
            </w:r>
          </w:p>
        </w:tc>
        <w:tc>
          <w:tcPr>
            <w:tcW w:w="1700" w:type="dxa"/>
            <w:shd w:val="clear" w:color="auto" w:fill="1A3A5C"/>
            <w:vAlign w:val="center"/>
          </w:tcPr>
          <w:p>
            <w:pPr>
              <w:spacing w:line="240" w:lineRule="auto"/>
              <w:jc w:val="left"/>
            </w:pPr>
            <w:r>
              <w:rPr>
                <w:b w:val="1"/>
                <w:bCs w:val="1"/>
                <w:color w:val="FFFFFF"/>
                <w:sz w:val="18"/>
                <w:szCs w:val="18"/>
                <w:rtl w:val="0"/>
              </w:rPr>
              <w:t xml:space="preserve">Size</w:t>
            </w:r>
          </w:p>
        </w:tc>
      </w:tr>
      <w:tr>
        <w:tc>
          <w:tcPr>
            <w:tcW w:w="2350" w:type="dxa"/>
            <w:vAlign w:val="center"/>
          </w:tcPr>
          <w:p>
            <w:pPr>
              <w:spacing w:line="240" w:lineRule="auto"/>
              <w:jc w:val="left"/>
            </w:pPr>
            <w:r>
              <w:rPr>
                <w:sz w:val="18"/>
                <w:szCs w:val="18"/>
                <w:rtl w:val="0"/>
              </w:rPr>
              <w:t xml:space="preserve">ppmi_tdpigd_long.csv</w:t>
            </w:r>
          </w:p>
        </w:tc>
        <w:tc>
          <w:tcPr>
            <w:tcW w:w="4550" w:type="dxa"/>
            <w:vAlign w:val="center"/>
          </w:tcPr>
          <w:p>
            <w:pPr>
              <w:spacing w:line="240" w:lineRule="auto"/>
              <w:jc w:val="left"/>
            </w:pPr>
            <w:r>
              <w:rPr>
                <w:sz w:val="18"/>
                <w:szCs w:val="18"/>
                <w:rtl w:val="0"/>
              </w:rPr>
              <w:t xml:space="preserve">Final analysis dataset. One row per patient per scheduled visit, in long format, containing the computed label, the transition target, and all candidate predictors.</w:t>
            </w:r>
          </w:p>
        </w:tc>
        <w:tc>
          <w:tcPr>
            <w:tcW w:w="1700" w:type="dxa"/>
            <w:vAlign w:val="center"/>
          </w:tcPr>
          <w:p>
            <w:pPr>
              <w:spacing w:line="240" w:lineRule="auto"/>
              <w:jc w:val="left"/>
            </w:pPr>
            <w:r>
              <w:rPr>
                <w:sz w:val="18"/>
                <w:szCs w:val="18"/>
                <w:rtl w:val="0"/>
              </w:rPr>
              <w:t xml:space="preserve">6,922 rows x 75 columns</w:t>
            </w:r>
          </w:p>
        </w:tc>
      </w:tr>
      <w:tr>
        <w:tc>
          <w:tcPr>
            <w:tcW w:w="2350" w:type="dxa"/>
            <w:vAlign w:val="center"/>
          </w:tcPr>
          <w:p>
            <w:pPr>
              <w:spacing w:line="240" w:lineRule="auto"/>
              <w:jc w:val="left"/>
            </w:pPr>
            <w:r>
              <w:rPr>
                <w:sz w:val="18"/>
                <w:szCs w:val="18"/>
                <w:rtl w:val="0"/>
              </w:rPr>
              <w:t xml:space="preserve">ppmi_tdpigd_dictionary.csv</w:t>
            </w:r>
          </w:p>
        </w:tc>
        <w:tc>
          <w:tcPr>
            <w:tcW w:w="4550" w:type="dxa"/>
            <w:vAlign w:val="center"/>
          </w:tcPr>
          <w:p>
            <w:pPr>
              <w:spacing w:line="240" w:lineRule="auto"/>
              <w:jc w:val="left"/>
            </w:pPr>
            <w:r>
              <w:rPr>
                <w:sz w:val="18"/>
                <w:szCs w:val="18"/>
                <w:rtl w:val="0"/>
              </w:rPr>
              <w:t xml:space="preserve">Data dictionary. Defines every column, its role, its feature group (permitted, banned or optional), its data type and its completeness. Feature selection is driven from this file.</w:t>
            </w:r>
          </w:p>
        </w:tc>
        <w:tc>
          <w:tcPr>
            <w:tcW w:w="1700" w:type="dxa"/>
            <w:vAlign w:val="center"/>
          </w:tcPr>
          <w:p>
            <w:pPr>
              <w:spacing w:line="240" w:lineRule="auto"/>
              <w:jc w:val="left"/>
            </w:pPr>
            <w:r>
              <w:rPr>
                <w:sz w:val="18"/>
                <w:szCs w:val="18"/>
                <w:rtl w:val="0"/>
              </w:rPr>
              <w:t xml:space="preserve">75 column definitions</w:t>
            </w:r>
          </w:p>
        </w:tc>
      </w:tr>
      <w:tr>
        <w:tc>
          <w:tcPr>
            <w:tcW w:w="2350" w:type="dxa"/>
            <w:vAlign w:val="center"/>
          </w:tcPr>
          <w:p>
            <w:pPr>
              <w:spacing w:line="240" w:lineRule="auto"/>
              <w:jc w:val="left"/>
            </w:pPr>
            <w:r>
              <w:rPr>
                <w:sz w:val="18"/>
                <w:szCs w:val="18"/>
                <w:rtl w:val="0"/>
              </w:rPr>
              <w:t xml:space="preserve">ppmi_tdpigd_runlog.txt</w:t>
            </w:r>
          </w:p>
        </w:tc>
        <w:tc>
          <w:tcPr>
            <w:tcW w:w="4550" w:type="dxa"/>
            <w:vAlign w:val="center"/>
          </w:tcPr>
          <w:p>
            <w:pPr>
              <w:spacing w:line="240" w:lineRule="auto"/>
              <w:jc w:val="left"/>
            </w:pPr>
            <w:r>
              <w:rPr>
                <w:sz w:val="18"/>
                <w:szCs w:val="18"/>
                <w:rtl w:val="0"/>
              </w:rPr>
              <w:t xml:space="preserve">Provenance log. Records row and patient counts at each filtering step, the visit codes dropped, the label distribution, flip rates and the result of the leakage assertions.</w:t>
            </w:r>
          </w:p>
        </w:tc>
        <w:tc>
          <w:tcPr>
            <w:tcW w:w="1700" w:type="dxa"/>
            <w:vAlign w:val="center"/>
          </w:tcPr>
          <w:p>
            <w:pPr>
              <w:spacing w:line="240" w:lineRule="auto"/>
              <w:jc w:val="left"/>
            </w:pPr>
            <w:r>
              <w:rPr>
                <w:sz w:val="18"/>
                <w:szCs w:val="18"/>
                <w:rtl w:val="0"/>
              </w:rPr>
              <w:t xml:space="preserve">one entry per run</w:t>
            </w:r>
          </w:p>
        </w:tc>
      </w:tr>
    </w:tbl>
    <w:p>
      <w:pPr>
        <w:spacing w:line="276" w:lineRule="auto"/>
        <w:jc w:val="both"/>
      </w:pPr>
      <w:r>
        <w:rPr>
          <w:sz w:val="8"/>
          <w:szCs w:val="8"/>
          <w:rtl w:val="0"/>
        </w:rPr>
        <w:t xml:space="preserve"/>
      </w:r>
    </w:p>
    <w:p>
      <w:pPr>
        <w:numPr>
          <w:ilvl w:val="0"/>
          <w:numId w:val="90"/>
        </w:numPr>
        <w:spacing w:line="264" w:lineRule="auto"/>
        <w:ind w:left="420" w:hanging="260"/>
        <w:jc w:val="both"/>
      </w:pPr>
      <w:r>
        <w:rPr>
          <w:b w:val="1"/>
          <w:bCs w:val="1"/>
          <w:sz w:val="22"/>
          <w:szCs w:val="22"/>
          <w:rtl w:val="0"/>
        </w:rPr>
        <w:t xml:space="preserve">Format.</w:t>
      </w:r>
      <w:r>
        <w:rPr>
          <w:sz w:val="22"/>
          <w:szCs w:val="22"/>
          <w:rtl w:val="0"/>
        </w:rPr>
        <w:t xml:space="preserve"> The final dataset is deliberately held in long format. Round-specific analysis tables are derived from it downstream rather than being stored separately, so a single file remains the authoritative source.</w:t>
      </w:r>
    </w:p>
    <w:p>
      <w:pPr>
        <w:numPr>
          <w:ilvl w:val="0"/>
          <w:numId w:val="90"/>
        </w:numPr>
        <w:spacing w:line="264" w:lineRule="auto"/>
        <w:ind w:left="420" w:hanging="260"/>
        <w:jc w:val="both"/>
      </w:pPr>
      <w:r>
        <w:rPr>
          <w:b w:val="1"/>
          <w:bCs w:val="1"/>
          <w:sz w:val="22"/>
          <w:szCs w:val="22"/>
          <w:rtl w:val="0"/>
        </w:rPr>
        <w:t xml:space="preserve">Reproducibility.</w:t>
      </w:r>
      <w:r>
        <w:rPr>
          <w:sz w:val="22"/>
          <w:szCs w:val="22"/>
          <w:rtl w:val="0"/>
        </w:rPr>
        <w:t xml:space="preserve"> No random seeds are involved in preprocessing, so re-running the script on the same extract reproduces the dataset byte-for-byte.</w:t>
      </w:r>
    </w:p>
    <w:p>
      <w:pPr>
        <w:numPr>
          <w:ilvl w:val="0"/>
          <w:numId w:val="90"/>
        </w:numPr>
        <w:spacing w:line="264" w:lineRule="auto"/>
        <w:ind w:left="420" w:hanging="260"/>
        <w:jc w:val="both"/>
      </w:pPr>
      <w:r>
        <w:rPr>
          <w:b w:val="1"/>
          <w:bCs w:val="1"/>
          <w:sz w:val="22"/>
          <w:szCs w:val="22"/>
          <w:rtl w:val="0"/>
        </w:rPr>
        <w:t xml:space="preserve">Integrity checks.</w:t>
      </w:r>
      <w:r>
        <w:rPr>
          <w:sz w:val="22"/>
          <w:szCs w:val="22"/>
          <w:rtl w:val="0"/>
        </w:rPr>
        <w:t xml:space="preserve"> The script asserts that no duplicate patient-visit key exists and that no label-defining column is present in any permitted feature group; it terminates with an error rather than writing an invalid dataset.</w:t>
      </w:r>
    </w:p>
    <w:p>
      <w:pPr>
        <w:pStyle w:val="Heading2"/>
        <w:spacing w:line="276" w:lineRule="auto"/>
        <w:jc w:val="both"/>
      </w:pPr>
      <w:r>
        <w:rPr>
          <w:b w:val="1"/>
          <w:bCs w:val="1"/>
          <w:sz w:val="24"/>
          <w:szCs w:val="24"/>
          <w:rtl w:val="0"/>
        </w:rPr>
        <w:t xml:space="preserve">5.3 Column inventory</w:t>
      </w:r>
    </w:p>
    <w:p>
      <w:pPr>
        <w:spacing w:line="276" w:lineRule="auto"/>
        <w:jc w:val="both"/>
      </w:pPr>
      <w:r>
        <w:rPr>
          <w:sz w:val="24"/>
          <w:szCs w:val="24"/>
          <w:rtl w:val="0"/>
        </w:rPr>
        <w:t xml:space="preserve">Table 3 lists every column of the final dataset and its role. Role assignment is stored in ppmi_tdpigd_dictionary.csv and drives feature selection programmatically; no column is chosen by hand at model-fitting time.</w:t>
      </w:r>
    </w:p>
    <w:tbl>
      <w:tblPr>
        <w:tblStyle w:val="Table1"/>
        <w:tblW w:w="8600" w:type="dxa"/>
        <w:tblBorders>
          <w:top w:val="single" w:sz="6" w:color="9DB2C6"/>
          <w:left w:val="single" w:sz="6" w:color="9DB2C6"/>
          <w:bottom w:val="single" w:sz="6" w:color="9DB2C6"/>
          <w:right w:val="single" w:sz="6" w:color="9DB2C6"/>
          <w:insideH w:val="single" w:sz="6" w:color="9DB2C6"/>
          <w:insideV w:val="single" w:sz="6" w:color="9DB2C6"/>
        </w:tblBorders>
        <w:tblLayout w:type="fixed"/>
      </w:tblPr>
      <w:tblGrid>
        <w:gridCol w:w="2500"/>
        <w:gridCol w:w="600"/>
        <w:gridCol w:w="5500"/>
      </w:tblGrid>
      <w:tr>
        <w:trPr>
          <w:tblHeader/>
        </w:trPr>
        <w:tc>
          <w:tcPr>
            <w:tcW w:w="2500" w:type="dxa"/>
            <w:shd w:val="clear" w:color="auto" w:fill="1A3A5C"/>
            <w:vAlign w:val="center"/>
          </w:tcPr>
          <w:p>
            <w:pPr>
              <w:spacing w:line="240" w:lineRule="auto"/>
              <w:jc w:val="left"/>
            </w:pPr>
            <w:r>
              <w:rPr>
                <w:b w:val="1"/>
                <w:bCs w:val="1"/>
                <w:color w:val="FFFFFF"/>
                <w:sz w:val="18"/>
                <w:szCs w:val="18"/>
                <w:rtl w:val="0"/>
              </w:rPr>
              <w:t xml:space="preserve">Role</w:t>
            </w:r>
          </w:p>
        </w:tc>
        <w:tc>
          <w:tcPr>
            <w:tcW w:w="600" w:type="dxa"/>
            <w:shd w:val="clear" w:color="auto" w:fill="1A3A5C"/>
            <w:vAlign w:val="center"/>
          </w:tcPr>
          <w:p>
            <w:pPr>
              <w:spacing w:line="240" w:lineRule="auto"/>
              <w:jc w:val="left"/>
            </w:pPr>
            <w:r>
              <w:rPr>
                <w:b w:val="1"/>
                <w:bCs w:val="1"/>
                <w:color w:val="FFFFFF"/>
                <w:sz w:val="18"/>
                <w:szCs w:val="18"/>
                <w:rtl w:val="0"/>
              </w:rPr>
              <w:t xml:space="preserve">n</w:t>
            </w:r>
          </w:p>
        </w:tc>
        <w:tc>
          <w:tcPr>
            <w:tcW w:w="5500" w:type="dxa"/>
            <w:shd w:val="clear" w:color="auto" w:fill="1A3A5C"/>
            <w:vAlign w:val="center"/>
          </w:tcPr>
          <w:p>
            <w:pPr>
              <w:spacing w:line="240" w:lineRule="auto"/>
              <w:jc w:val="left"/>
            </w:pPr>
            <w:r>
              <w:rPr>
                <w:b w:val="1"/>
                <w:bCs w:val="1"/>
                <w:color w:val="FFFFFF"/>
                <w:sz w:val="18"/>
                <w:szCs w:val="18"/>
                <w:rtl w:val="0"/>
              </w:rPr>
              <w:t xml:space="preserve">Meaning</w:t>
            </w:r>
          </w:p>
        </w:tc>
      </w:tr>
      <w:tr>
        <w:tc>
          <w:tcPr>
            <w:tcW w:w="2500" w:type="dxa"/>
            <w:vAlign w:val="center"/>
          </w:tcPr>
          <w:p>
            <w:pPr>
              <w:spacing w:line="240" w:lineRule="auto"/>
              <w:jc w:val="left"/>
            </w:pPr>
            <w:r>
              <w:rPr>
                <w:rFonts w:ascii="Consolas" w:hAnsi="Consolas"/>
                <w:sz w:val="18"/>
                <w:szCs w:val="18"/>
                <w:rtl w:val="0"/>
              </w:rPr>
              <w:t xml:space="preserve">Y (target)</w:t>
            </w:r>
          </w:p>
        </w:tc>
        <w:tc>
          <w:tcPr>
            <w:tcW w:w="600" w:type="dxa"/>
            <w:vAlign w:val="center"/>
          </w:tcPr>
          <w:p>
            <w:pPr>
              <w:spacing w:line="240" w:lineRule="auto"/>
              <w:jc w:val="left"/>
            </w:pPr>
            <w:r>
              <w:rPr>
                <w:sz w:val="18"/>
                <w:szCs w:val="18"/>
                <w:rtl w:val="0"/>
              </w:rPr>
              <w:t xml:space="preserve">8</w:t>
            </w:r>
          </w:p>
        </w:tc>
        <w:tc>
          <w:tcPr>
            <w:tcW w:w="5500" w:type="dxa"/>
            <w:vAlign w:val="center"/>
          </w:tcPr>
          <w:p>
            <w:pPr>
              <w:spacing w:line="240" w:lineRule="auto"/>
              <w:jc w:val="left"/>
            </w:pPr>
            <w:r>
              <w:rPr>
                <w:sz w:val="18"/>
                <w:szCs w:val="18"/>
                <w:rtl w:val="0"/>
              </w:rPr>
              <w:t xml:space="preserve">The label and its components, plus the transition targets</w:t>
            </w:r>
          </w:p>
        </w:tc>
      </w:tr>
      <w:tr>
        <w:tc>
          <w:tcPr>
            <w:tcW w:w="2500" w:type="dxa"/>
            <w:vAlign w:val="center"/>
          </w:tcPr>
          <w:p>
            <w:pPr>
              <w:spacing w:line="240" w:lineRule="auto"/>
              <w:jc w:val="left"/>
            </w:pPr>
            <w:r>
              <w:rPr>
                <w:rFonts w:ascii="Consolas" w:hAnsi="Consolas"/>
                <w:sz w:val="18"/>
                <w:szCs w:val="18"/>
                <w:rtl w:val="0"/>
              </w:rPr>
              <w:t xml:space="preserve">X (predictors)</w:t>
            </w:r>
          </w:p>
        </w:tc>
        <w:tc>
          <w:tcPr>
            <w:tcW w:w="600" w:type="dxa"/>
            <w:vAlign w:val="center"/>
          </w:tcPr>
          <w:p>
            <w:pPr>
              <w:spacing w:line="240" w:lineRule="auto"/>
              <w:jc w:val="left"/>
            </w:pPr>
            <w:r>
              <w:rPr>
                <w:sz w:val="18"/>
                <w:szCs w:val="18"/>
                <w:rtl w:val="0"/>
              </w:rPr>
              <w:t xml:space="preserve">27</w:t>
            </w:r>
          </w:p>
        </w:tc>
        <w:tc>
          <w:tcPr>
            <w:tcW w:w="5500" w:type="dxa"/>
            <w:vAlign w:val="center"/>
          </w:tcPr>
          <w:p>
            <w:pPr>
              <w:spacing w:line="240" w:lineRule="auto"/>
              <w:jc w:val="left"/>
            </w:pPr>
            <w:r>
              <w:rPr>
                <w:sz w:val="18"/>
                <w:szCs w:val="18"/>
                <w:rtl w:val="0"/>
              </w:rPr>
              <w:t xml:space="preserve">Permitted feature set used for all reported models</w:t>
            </w:r>
          </w:p>
        </w:tc>
      </w:tr>
      <w:tr>
        <w:tc>
          <w:tcPr>
            <w:tcW w:w="2500" w:type="dxa"/>
            <w:vAlign w:val="center"/>
          </w:tcPr>
          <w:p>
            <w:pPr>
              <w:spacing w:line="240" w:lineRule="auto"/>
              <w:jc w:val="left"/>
            </w:pPr>
            <w:r>
              <w:rPr>
                <w:rFonts w:ascii="Consolas" w:hAnsi="Consolas"/>
                <w:sz w:val="18"/>
                <w:szCs w:val="18"/>
                <w:rtl w:val="0"/>
              </w:rPr>
              <w:t xml:space="preserve">Excluded — defines Y</w:t>
            </w:r>
          </w:p>
        </w:tc>
        <w:tc>
          <w:tcPr>
            <w:tcW w:w="600" w:type="dxa"/>
            <w:vAlign w:val="center"/>
          </w:tcPr>
          <w:p>
            <w:pPr>
              <w:spacing w:line="240" w:lineRule="auto"/>
              <w:jc w:val="left"/>
            </w:pPr>
            <w:r>
              <w:rPr>
                <w:sz w:val="18"/>
                <w:szCs w:val="18"/>
                <w:rtl w:val="0"/>
              </w:rPr>
              <w:t xml:space="preserve">19</w:t>
            </w:r>
          </w:p>
        </w:tc>
        <w:tc>
          <w:tcPr>
            <w:tcW w:w="5500" w:type="dxa"/>
            <w:vAlign w:val="center"/>
          </w:tcPr>
          <w:p>
            <w:pPr>
              <w:spacing w:line="240" w:lineRule="auto"/>
              <w:jc w:val="left"/>
            </w:pPr>
            <w:r>
              <w:rPr>
                <w:sz w:val="18"/>
                <w:szCs w:val="18"/>
                <w:rtl w:val="0"/>
              </w:rPr>
              <w:t xml:space="preserve">Formula items and columns encoding them indirectly</w:t>
            </w:r>
          </w:p>
        </w:tc>
      </w:tr>
      <w:tr>
        <w:tc>
          <w:tcPr>
            <w:tcW w:w="2500" w:type="dxa"/>
            <w:vAlign w:val="center"/>
          </w:tcPr>
          <w:p>
            <w:pPr>
              <w:spacing w:line="240" w:lineRule="auto"/>
              <w:jc w:val="left"/>
            </w:pPr>
            <w:r>
              <w:rPr>
                <w:rFonts w:ascii="Consolas" w:hAnsi="Consolas"/>
                <w:sz w:val="18"/>
                <w:szCs w:val="18"/>
                <w:rtl w:val="0"/>
              </w:rPr>
              <w:t xml:space="preserve">Excluded — optional</w:t>
            </w:r>
          </w:p>
        </w:tc>
        <w:tc>
          <w:tcPr>
            <w:tcW w:w="600" w:type="dxa"/>
            <w:vAlign w:val="center"/>
          </w:tcPr>
          <w:p>
            <w:pPr>
              <w:spacing w:line="240" w:lineRule="auto"/>
              <w:jc w:val="left"/>
            </w:pPr>
            <w:r>
              <w:rPr>
                <w:sz w:val="18"/>
                <w:szCs w:val="18"/>
                <w:rtl w:val="0"/>
              </w:rPr>
              <w:t xml:space="preserve">12</w:t>
            </w:r>
          </w:p>
        </w:tc>
        <w:tc>
          <w:tcPr>
            <w:tcW w:w="5500" w:type="dxa"/>
            <w:vAlign w:val="center"/>
          </w:tcPr>
          <w:p>
            <w:pPr>
              <w:spacing w:line="240" w:lineRule="auto"/>
              <w:jc w:val="left"/>
            </w:pPr>
            <w:r>
              <w:rPr>
                <w:sz w:val="18"/>
                <w:szCs w:val="18"/>
                <w:rtl w:val="0"/>
              </w:rPr>
              <w:t xml:space="preserve">Imaging and genotyping; reserved for a separate variant</w:t>
            </w:r>
          </w:p>
        </w:tc>
      </w:tr>
      <w:tr>
        <w:tc>
          <w:tcPr>
            <w:tcW w:w="2500" w:type="dxa"/>
            <w:vAlign w:val="center"/>
          </w:tcPr>
          <w:p>
            <w:pPr>
              <w:spacing w:line="240" w:lineRule="auto"/>
              <w:jc w:val="left"/>
            </w:pPr>
            <w:r>
              <w:rPr>
                <w:rFonts w:ascii="Consolas" w:hAnsi="Consolas"/>
                <w:sz w:val="18"/>
                <w:szCs w:val="18"/>
                <w:rtl w:val="0"/>
              </w:rPr>
              <w:t xml:space="preserve">Excluded — keys/admin</w:t>
            </w:r>
          </w:p>
        </w:tc>
        <w:tc>
          <w:tcPr>
            <w:tcW w:w="600" w:type="dxa"/>
            <w:vAlign w:val="center"/>
          </w:tcPr>
          <w:p>
            <w:pPr>
              <w:spacing w:line="240" w:lineRule="auto"/>
              <w:jc w:val="left"/>
            </w:pPr>
            <w:r>
              <w:rPr>
                <w:sz w:val="18"/>
                <w:szCs w:val="18"/>
                <w:rtl w:val="0"/>
              </w:rPr>
              <w:t xml:space="preserve">9</w:t>
            </w:r>
          </w:p>
        </w:tc>
        <w:tc>
          <w:tcPr>
            <w:tcW w:w="5500" w:type="dxa"/>
            <w:vAlign w:val="center"/>
          </w:tcPr>
          <w:p>
            <w:pPr>
              <w:spacing w:line="240" w:lineRule="auto"/>
              <w:jc w:val="left"/>
            </w:pPr>
            <w:r>
              <w:rPr>
                <w:sz w:val="18"/>
                <w:szCs w:val="18"/>
                <w:rtl w:val="0"/>
              </w:rPr>
              <w:t xml:space="preserve">Identifiers, dates and provenance fields</w:t>
            </w:r>
          </w:p>
        </w:tc>
      </w:tr>
      <w:tr>
        <w:tc>
          <w:tcPr>
            <w:tcW w:w="2500" w:type="dxa"/>
            <w:vAlign w:val="center"/>
          </w:tcPr>
          <w:p>
            <w:pPr>
              <w:spacing w:line="240" w:lineRule="auto"/>
              <w:jc w:val="left"/>
            </w:pPr>
            <w:r>
              <w:rPr>
                <w:rFonts w:ascii="Consolas" w:hAnsi="Consolas"/>
                <w:sz w:val="18"/>
                <w:szCs w:val="18"/>
                <w:rtl w:val="0"/>
              </w:rPr>
              <w:t xml:space="preserve">Total</w:t>
            </w:r>
          </w:p>
        </w:tc>
        <w:tc>
          <w:tcPr>
            <w:tcW w:w="600" w:type="dxa"/>
            <w:vAlign w:val="center"/>
          </w:tcPr>
          <w:p>
            <w:pPr>
              <w:spacing w:line="240" w:lineRule="auto"/>
              <w:jc w:val="left"/>
            </w:pPr>
            <w:r>
              <w:rPr>
                <w:sz w:val="18"/>
                <w:szCs w:val="18"/>
                <w:rtl w:val="0"/>
              </w:rPr>
              <w:t xml:space="preserve">75</w:t>
            </w:r>
          </w:p>
        </w:tc>
        <w:tc>
          <w:tcPr>
            <w:tcW w:w="5500" w:type="dxa"/>
            <w:vAlign w:val="center"/>
          </w:tcPr>
          <w:p>
            <w:pPr>
              <w:spacing w:line="240" w:lineRule="auto"/>
              <w:jc w:val="left"/>
            </w:pPr>
            <w:r>
              <w:rPr>
                <w:sz w:val="18"/>
                <w:szCs w:val="18"/>
                <w:rtl w:val="0"/>
              </w:rPr>
              <w:t xml:space="preserve">Columns in ppmi_tdpigd_long.csv</w:t>
            </w:r>
          </w:p>
        </w:tc>
      </w:tr>
    </w:tbl>
    <w:p>
      <w:pPr>
        <w:spacing w:line="276" w:lineRule="auto"/>
        <w:jc w:val="both"/>
      </w:pPr>
      <w:r>
        <w:rPr>
          <w:sz w:val="8"/>
          <w:szCs w:val="8"/>
          <w:rtl w:val="0"/>
        </w:rPr>
        <w:t xml:space="preserve"/>
      </w:r>
    </w:p>
    <w:tbl>
      <w:tblPr>
        <w:tblStyle w:val="Table1"/>
        <w:tblW w:w="8600" w:type="dxa"/>
        <w:tblBorders>
          <w:top w:val="single" w:sz="6" w:color="9DB2C6"/>
          <w:left w:val="single" w:sz="6" w:color="9DB2C6"/>
          <w:bottom w:val="single" w:sz="6" w:color="9DB2C6"/>
          <w:right w:val="single" w:sz="6" w:color="9DB2C6"/>
          <w:insideH w:val="single" w:sz="6" w:color="9DB2C6"/>
          <w:insideV w:val="single" w:sz="6" w:color="9DB2C6"/>
        </w:tblBorders>
        <w:tblLayout w:type="fixed"/>
      </w:tblPr>
      <w:tblGrid>
        <w:gridCol w:w="1750"/>
        <w:gridCol w:w="1750"/>
        <w:gridCol w:w="2400"/>
        <w:gridCol w:w="2700"/>
      </w:tblGrid>
      <w:tr>
        <w:trPr>
          <w:tblHeader/>
        </w:trPr>
        <w:tc>
          <w:tcPr>
            <w:tcW w:w="1750" w:type="dxa"/>
            <w:shd w:val="clear" w:color="auto" w:fill="1A3A5C"/>
            <w:vAlign w:val="center"/>
          </w:tcPr>
          <w:p>
            <w:pPr>
              <w:spacing w:line="240" w:lineRule="auto"/>
              <w:jc w:val="left"/>
            </w:pPr>
            <w:r>
              <w:rPr>
                <w:b w:val="1"/>
                <w:bCs w:val="1"/>
                <w:color w:val="FFFFFF"/>
                <w:sz w:val="15"/>
                <w:szCs w:val="15"/>
                <w:rtl w:val="0"/>
              </w:rPr>
              <w:t xml:space="preserve">Column</w:t>
            </w:r>
          </w:p>
        </w:tc>
        <w:tc>
          <w:tcPr>
            <w:tcW w:w="1750" w:type="dxa"/>
            <w:shd w:val="clear" w:color="auto" w:fill="1A3A5C"/>
            <w:vAlign w:val="center"/>
          </w:tcPr>
          <w:p>
            <w:pPr>
              <w:spacing w:line="240" w:lineRule="auto"/>
              <w:jc w:val="left"/>
            </w:pPr>
            <w:r>
              <w:rPr>
                <w:b w:val="1"/>
                <w:bCs w:val="1"/>
                <w:color w:val="FFFFFF"/>
                <w:sz w:val="15"/>
                <w:szCs w:val="15"/>
                <w:rtl w:val="0"/>
              </w:rPr>
              <w:t xml:space="preserve">Role</w:t>
            </w:r>
          </w:p>
        </w:tc>
        <w:tc>
          <w:tcPr>
            <w:tcW w:w="2400" w:type="dxa"/>
            <w:shd w:val="clear" w:color="auto" w:fill="1A3A5C"/>
            <w:vAlign w:val="center"/>
          </w:tcPr>
          <w:p>
            <w:pPr>
              <w:spacing w:line="240" w:lineRule="auto"/>
              <w:jc w:val="left"/>
            </w:pPr>
            <w:r>
              <w:rPr>
                <w:b w:val="1"/>
                <w:bCs w:val="1"/>
                <w:color w:val="FFFFFF"/>
                <w:sz w:val="15"/>
                <w:szCs w:val="15"/>
                <w:rtl w:val="0"/>
              </w:rPr>
              <w:t xml:space="preserve">Source table</w:t>
            </w:r>
          </w:p>
        </w:tc>
        <w:tc>
          <w:tcPr>
            <w:tcW w:w="2700" w:type="dxa"/>
            <w:shd w:val="clear" w:color="auto" w:fill="1A3A5C"/>
            <w:vAlign w:val="center"/>
          </w:tcPr>
          <w:p>
            <w:pPr>
              <w:spacing w:line="240" w:lineRule="auto"/>
              <w:jc w:val="left"/>
            </w:pPr>
            <w:r>
              <w:rPr>
                <w:b w:val="1"/>
                <w:bCs w:val="1"/>
                <w:color w:val="FFFFFF"/>
                <w:sz w:val="15"/>
                <w:szCs w:val="15"/>
                <w:rtl w:val="0"/>
              </w:rPr>
              <w:t xml:space="preserve">Description</w:t>
            </w:r>
          </w:p>
        </w:tc>
      </w:tr>
      <w:tr>
        <w:tc>
          <w:tcPr>
            <w:tcW w:w="1750" w:type="dxa"/>
            <w:shd w:val="clear" w:color="auto" w:fill="FDECEA"/>
            <w:vAlign w:val="center"/>
          </w:tcPr>
          <w:p>
            <w:pPr>
              <w:spacing w:line="240" w:lineRule="auto"/>
              <w:jc w:val="left"/>
            </w:pPr>
            <w:r>
              <w:rPr>
                <w:rFonts w:ascii="Consolas" w:hAnsi="Consolas"/>
                <w:sz w:val="15"/>
                <w:szCs w:val="15"/>
                <w:rtl w:val="0"/>
              </w:rPr>
              <w:t xml:space="preserve">LABEL</w:t>
            </w:r>
          </w:p>
        </w:tc>
        <w:tc>
          <w:tcPr>
            <w:tcW w:w="1750" w:type="dxa"/>
            <w:shd w:val="clear" w:color="auto" w:fill="FDECEA"/>
            <w:vAlign w:val="center"/>
          </w:tcPr>
          <w:p>
            <w:pPr>
              <w:spacing w:line="240" w:lineRule="auto"/>
              <w:jc w:val="left"/>
            </w:pPr>
            <w:r>
              <w:rPr>
                <w:sz w:val="15"/>
                <w:szCs w:val="15"/>
                <w:rtl w:val="0"/>
              </w:rPr>
              <w:t xml:space="preserve">Y — target</w:t>
            </w:r>
          </w:p>
        </w:tc>
        <w:tc>
          <w:tcPr>
            <w:tcW w:w="2400" w:type="dxa"/>
            <w:shd w:val="clear" w:color="auto" w:fill="FDECEA"/>
            <w:vAlign w:val="center"/>
          </w:tcPr>
          <w:p>
            <w:pPr>
              <w:spacing w:line="240" w:lineRule="auto"/>
              <w:jc w:val="left"/>
            </w:pPr>
            <w:r>
              <w:rPr>
                <w:sz w:val="15"/>
                <w:szCs w:val="15"/>
                <w:rtl w:val="0"/>
              </w:rPr>
              <w:t xml:space="preserve">Computed (Stebbins formula)</w:t>
            </w:r>
          </w:p>
        </w:tc>
        <w:tc>
          <w:tcPr>
            <w:tcW w:w="2700" w:type="dxa"/>
            <w:shd w:val="clear" w:color="auto" w:fill="FDECEA"/>
            <w:vAlign w:val="center"/>
          </w:tcPr>
          <w:p>
            <w:pPr>
              <w:spacing w:line="240" w:lineRule="auto"/>
              <w:jc w:val="left"/>
            </w:pPr>
            <w:r>
              <w:rPr>
                <w:sz w:val="15"/>
                <w:szCs w:val="15"/>
                <w:rtl w:val="0"/>
              </w:rPr>
              <w:t xml:space="preserve">TD / PIGD / Indeterminate — the target (Y)</w:t>
            </w:r>
          </w:p>
        </w:tc>
      </w:tr>
      <w:tr>
        <w:tc>
          <w:tcPr>
            <w:tcW w:w="1750" w:type="dxa"/>
            <w:shd w:val="clear" w:color="auto" w:fill="FDECEA"/>
            <w:vAlign w:val="center"/>
          </w:tcPr>
          <w:p>
            <w:pPr>
              <w:spacing w:line="240" w:lineRule="auto"/>
              <w:jc w:val="left"/>
            </w:pPr>
            <w:r>
              <w:rPr>
                <w:rFonts w:ascii="Consolas" w:hAnsi="Consolas"/>
                <w:sz w:val="15"/>
                <w:szCs w:val="15"/>
                <w:rtl w:val="0"/>
              </w:rPr>
              <w:t xml:space="preserve">LABEL_FLIPPED_NEXT</w:t>
            </w:r>
          </w:p>
        </w:tc>
        <w:tc>
          <w:tcPr>
            <w:tcW w:w="1750" w:type="dxa"/>
            <w:shd w:val="clear" w:color="auto" w:fill="FDECEA"/>
            <w:vAlign w:val="center"/>
          </w:tcPr>
          <w:p>
            <w:pPr>
              <w:spacing w:line="240" w:lineRule="auto"/>
              <w:jc w:val="left"/>
            </w:pPr>
            <w:r>
              <w:rPr>
                <w:sz w:val="15"/>
                <w:szCs w:val="15"/>
                <w:rtl w:val="0"/>
              </w:rPr>
              <w:t xml:space="preserve">Y — target</w:t>
            </w:r>
          </w:p>
        </w:tc>
        <w:tc>
          <w:tcPr>
            <w:tcW w:w="2400" w:type="dxa"/>
            <w:shd w:val="clear" w:color="auto" w:fill="FDECEA"/>
            <w:vAlign w:val="center"/>
          </w:tcPr>
          <w:p>
            <w:pPr>
              <w:spacing w:line="240" w:lineRule="auto"/>
              <w:jc w:val="left"/>
            </w:pPr>
            <w:r>
              <w:rPr>
                <w:sz w:val="15"/>
                <w:szCs w:val="15"/>
                <w:rtl w:val="0"/>
              </w:rPr>
              <w:t xml:space="preserve">Computed (next-visit shift)</w:t>
            </w:r>
          </w:p>
        </w:tc>
        <w:tc>
          <w:tcPr>
            <w:tcW w:w="2700" w:type="dxa"/>
            <w:shd w:val="clear" w:color="auto" w:fill="FDECEA"/>
            <w:vAlign w:val="center"/>
          </w:tcPr>
          <w:p>
            <w:pPr>
              <w:spacing w:line="240" w:lineRule="auto"/>
              <w:jc w:val="left"/>
            </w:pPr>
            <w:r>
              <w:rPr>
                <w:sz w:val="15"/>
                <w:szCs w:val="15"/>
                <w:rtl w:val="0"/>
              </w:rPr>
              <w:t xml:space="preserve">Whether the label changes at the next visit (transition target)</w:t>
            </w:r>
          </w:p>
        </w:tc>
      </w:tr>
      <w:tr>
        <w:tc>
          <w:tcPr>
            <w:tcW w:w="1750" w:type="dxa"/>
            <w:shd w:val="clear" w:color="auto" w:fill="FDECEA"/>
            <w:vAlign w:val="center"/>
          </w:tcPr>
          <w:p>
            <w:pPr>
              <w:spacing w:line="240" w:lineRule="auto"/>
              <w:jc w:val="left"/>
            </w:pPr>
            <w:r>
              <w:rPr>
                <w:rFonts w:ascii="Consolas" w:hAnsi="Consolas"/>
                <w:sz w:val="15"/>
                <w:szCs w:val="15"/>
                <w:rtl w:val="0"/>
              </w:rPr>
              <w:t xml:space="preserve">MONTHS_TO_NEXT_VISIT</w:t>
            </w:r>
          </w:p>
        </w:tc>
        <w:tc>
          <w:tcPr>
            <w:tcW w:w="1750" w:type="dxa"/>
            <w:shd w:val="clear" w:color="auto" w:fill="FDECEA"/>
            <w:vAlign w:val="center"/>
          </w:tcPr>
          <w:p>
            <w:pPr>
              <w:spacing w:line="240" w:lineRule="auto"/>
              <w:jc w:val="left"/>
            </w:pPr>
            <w:r>
              <w:rPr>
                <w:sz w:val="15"/>
                <w:szCs w:val="15"/>
                <w:rtl w:val="0"/>
              </w:rPr>
              <w:t xml:space="preserve">Y — target</w:t>
            </w:r>
          </w:p>
        </w:tc>
        <w:tc>
          <w:tcPr>
            <w:tcW w:w="2400" w:type="dxa"/>
            <w:shd w:val="clear" w:color="auto" w:fill="FDECEA"/>
            <w:vAlign w:val="center"/>
          </w:tcPr>
          <w:p>
            <w:pPr>
              <w:spacing w:line="240" w:lineRule="auto"/>
              <w:jc w:val="left"/>
            </w:pPr>
            <w:r>
              <w:rPr>
                <w:sz w:val="15"/>
                <w:szCs w:val="15"/>
                <w:rtl w:val="0"/>
              </w:rPr>
              <w:t xml:space="preserve">Computed (next-visit shift)</w:t>
            </w:r>
          </w:p>
        </w:tc>
        <w:tc>
          <w:tcPr>
            <w:tcW w:w="2700" w:type="dxa"/>
            <w:shd w:val="clear" w:color="auto" w:fill="FDECEA"/>
            <w:vAlign w:val="center"/>
          </w:tcPr>
          <w:p>
            <w:pPr>
              <w:spacing w:line="240" w:lineRule="auto"/>
              <w:jc w:val="left"/>
            </w:pPr>
            <w:r>
              <w:rPr>
                <w:sz w:val="15"/>
                <w:szCs w:val="15"/>
                <w:rtl w:val="0"/>
              </w:rPr>
              <w:t xml:space="preserve">Interval to next visit</w:t>
            </w:r>
          </w:p>
        </w:tc>
      </w:tr>
      <w:tr>
        <w:tc>
          <w:tcPr>
            <w:tcW w:w="1750" w:type="dxa"/>
            <w:shd w:val="clear" w:color="auto" w:fill="FDECEA"/>
            <w:vAlign w:val="center"/>
          </w:tcPr>
          <w:p>
            <w:pPr>
              <w:spacing w:line="240" w:lineRule="auto"/>
              <w:jc w:val="left"/>
            </w:pPr>
            <w:r>
              <w:rPr>
                <w:rFonts w:ascii="Consolas" w:hAnsi="Consolas"/>
                <w:sz w:val="15"/>
                <w:szCs w:val="15"/>
                <w:rtl w:val="0"/>
              </w:rPr>
              <w:t xml:space="preserve">NEXT_LABEL</w:t>
            </w:r>
          </w:p>
        </w:tc>
        <w:tc>
          <w:tcPr>
            <w:tcW w:w="1750" w:type="dxa"/>
            <w:shd w:val="clear" w:color="auto" w:fill="FDECEA"/>
            <w:vAlign w:val="center"/>
          </w:tcPr>
          <w:p>
            <w:pPr>
              <w:spacing w:line="240" w:lineRule="auto"/>
              <w:jc w:val="left"/>
            </w:pPr>
            <w:r>
              <w:rPr>
                <w:sz w:val="15"/>
                <w:szCs w:val="15"/>
                <w:rtl w:val="0"/>
              </w:rPr>
              <w:t xml:space="preserve">Y — target</w:t>
            </w:r>
          </w:p>
        </w:tc>
        <w:tc>
          <w:tcPr>
            <w:tcW w:w="2400" w:type="dxa"/>
            <w:shd w:val="clear" w:color="auto" w:fill="FDECEA"/>
            <w:vAlign w:val="center"/>
          </w:tcPr>
          <w:p>
            <w:pPr>
              <w:spacing w:line="240" w:lineRule="auto"/>
              <w:jc w:val="left"/>
            </w:pPr>
            <w:r>
              <w:rPr>
                <w:sz w:val="15"/>
                <w:szCs w:val="15"/>
                <w:rtl w:val="0"/>
              </w:rPr>
              <w:t xml:space="preserve">Computed (next-visit shift)</w:t>
            </w:r>
          </w:p>
        </w:tc>
        <w:tc>
          <w:tcPr>
            <w:tcW w:w="2700" w:type="dxa"/>
            <w:shd w:val="clear" w:color="auto" w:fill="FDECEA"/>
            <w:vAlign w:val="center"/>
          </w:tcPr>
          <w:p>
            <w:pPr>
              <w:spacing w:line="240" w:lineRule="auto"/>
              <w:jc w:val="left"/>
            </w:pPr>
            <w:r>
              <w:rPr>
                <w:sz w:val="15"/>
                <w:szCs w:val="15"/>
                <w:rtl w:val="0"/>
              </w:rPr>
              <w:t xml:space="preserve">Label at the following visit (transition target)</w:t>
            </w:r>
          </w:p>
        </w:tc>
      </w:tr>
      <w:tr>
        <w:tc>
          <w:tcPr>
            <w:tcW w:w="1750" w:type="dxa"/>
            <w:shd w:val="clear" w:color="auto" w:fill="FDECEA"/>
            <w:vAlign w:val="center"/>
          </w:tcPr>
          <w:p>
            <w:pPr>
              <w:spacing w:line="240" w:lineRule="auto"/>
              <w:jc w:val="left"/>
            </w:pPr>
            <w:r>
              <w:rPr>
                <w:rFonts w:ascii="Consolas" w:hAnsi="Consolas"/>
                <w:sz w:val="15"/>
                <w:szCs w:val="15"/>
                <w:rtl w:val="0"/>
              </w:rPr>
              <w:t xml:space="preserve">NEXT_VISIT_MONTH</w:t>
            </w:r>
          </w:p>
        </w:tc>
        <w:tc>
          <w:tcPr>
            <w:tcW w:w="1750" w:type="dxa"/>
            <w:shd w:val="clear" w:color="auto" w:fill="FDECEA"/>
            <w:vAlign w:val="center"/>
          </w:tcPr>
          <w:p>
            <w:pPr>
              <w:spacing w:line="240" w:lineRule="auto"/>
              <w:jc w:val="left"/>
            </w:pPr>
            <w:r>
              <w:rPr>
                <w:sz w:val="15"/>
                <w:szCs w:val="15"/>
                <w:rtl w:val="0"/>
              </w:rPr>
              <w:t xml:space="preserve">Y — target</w:t>
            </w:r>
          </w:p>
        </w:tc>
        <w:tc>
          <w:tcPr>
            <w:tcW w:w="2400" w:type="dxa"/>
            <w:shd w:val="clear" w:color="auto" w:fill="FDECEA"/>
            <w:vAlign w:val="center"/>
          </w:tcPr>
          <w:p>
            <w:pPr>
              <w:spacing w:line="240" w:lineRule="auto"/>
              <w:jc w:val="left"/>
            </w:pPr>
            <w:r>
              <w:rPr>
                <w:sz w:val="15"/>
                <w:szCs w:val="15"/>
                <w:rtl w:val="0"/>
              </w:rPr>
              <w:t xml:space="preserve">Computed (next-visit shift)</w:t>
            </w:r>
          </w:p>
        </w:tc>
        <w:tc>
          <w:tcPr>
            <w:tcW w:w="2700" w:type="dxa"/>
            <w:shd w:val="clear" w:color="auto" w:fill="FDECEA"/>
            <w:vAlign w:val="center"/>
          </w:tcPr>
          <w:p>
            <w:pPr>
              <w:spacing w:line="240" w:lineRule="auto"/>
              <w:jc w:val="left"/>
            </w:pPr>
            <w:r>
              <w:rPr>
                <w:sz w:val="15"/>
                <w:szCs w:val="15"/>
                <w:rtl w:val="0"/>
              </w:rPr>
              <w:t xml:space="preserve">Month of the following visit</w:t>
            </w:r>
          </w:p>
        </w:tc>
      </w:tr>
      <w:tr>
        <w:tc>
          <w:tcPr>
            <w:tcW w:w="1750" w:type="dxa"/>
            <w:shd w:val="clear" w:color="auto" w:fill="FDECEA"/>
            <w:vAlign w:val="center"/>
          </w:tcPr>
          <w:p>
            <w:pPr>
              <w:spacing w:line="240" w:lineRule="auto"/>
              <w:jc w:val="left"/>
            </w:pPr>
            <w:r>
              <w:rPr>
                <w:rFonts w:ascii="Consolas" w:hAnsi="Consolas"/>
                <w:sz w:val="15"/>
                <w:szCs w:val="15"/>
                <w:rtl w:val="0"/>
              </w:rPr>
              <w:t xml:space="preserve">PIGD_SCORE</w:t>
            </w:r>
          </w:p>
        </w:tc>
        <w:tc>
          <w:tcPr>
            <w:tcW w:w="1750" w:type="dxa"/>
            <w:shd w:val="clear" w:color="auto" w:fill="FDECEA"/>
            <w:vAlign w:val="center"/>
          </w:tcPr>
          <w:p>
            <w:pPr>
              <w:spacing w:line="240" w:lineRule="auto"/>
              <w:jc w:val="left"/>
            </w:pPr>
            <w:r>
              <w:rPr>
                <w:sz w:val="15"/>
                <w:szCs w:val="15"/>
                <w:rtl w:val="0"/>
              </w:rPr>
              <w:t xml:space="preserve">Y — target</w:t>
            </w:r>
          </w:p>
        </w:tc>
        <w:tc>
          <w:tcPr>
            <w:tcW w:w="2400" w:type="dxa"/>
            <w:shd w:val="clear" w:color="auto" w:fill="FDECEA"/>
            <w:vAlign w:val="center"/>
          </w:tcPr>
          <w:p>
            <w:pPr>
              <w:spacing w:line="240" w:lineRule="auto"/>
              <w:jc w:val="left"/>
            </w:pPr>
            <w:r>
              <w:rPr>
                <w:sz w:val="15"/>
                <w:szCs w:val="15"/>
                <w:rtl w:val="0"/>
              </w:rPr>
              <w:t xml:space="preserve">Computed (Stebbins formula)</w:t>
            </w:r>
          </w:p>
        </w:tc>
        <w:tc>
          <w:tcPr>
            <w:tcW w:w="2700" w:type="dxa"/>
            <w:shd w:val="clear" w:color="auto" w:fill="FDECEA"/>
            <w:vAlign w:val="center"/>
          </w:tcPr>
          <w:p>
            <w:pPr>
              <w:spacing w:line="240" w:lineRule="auto"/>
              <w:jc w:val="left"/>
            </w:pPr>
            <w:r>
              <w:rPr>
                <w:sz w:val="15"/>
                <w:szCs w:val="15"/>
                <w:rtl w:val="0"/>
              </w:rPr>
              <w:t xml:space="preserve">Mean of the 5 gait/balance items (Y component)</w:t>
            </w:r>
          </w:p>
        </w:tc>
      </w:tr>
      <w:tr>
        <w:tc>
          <w:tcPr>
            <w:tcW w:w="1750" w:type="dxa"/>
            <w:shd w:val="clear" w:color="auto" w:fill="FDECEA"/>
            <w:vAlign w:val="center"/>
          </w:tcPr>
          <w:p>
            <w:pPr>
              <w:spacing w:line="240" w:lineRule="auto"/>
              <w:jc w:val="left"/>
            </w:pPr>
            <w:r>
              <w:rPr>
                <w:rFonts w:ascii="Consolas" w:hAnsi="Consolas"/>
                <w:sz w:val="15"/>
                <w:szCs w:val="15"/>
                <w:rtl w:val="0"/>
              </w:rPr>
              <w:t xml:space="preserve">TD_PIGD_RATIO</w:t>
            </w:r>
          </w:p>
        </w:tc>
        <w:tc>
          <w:tcPr>
            <w:tcW w:w="1750" w:type="dxa"/>
            <w:shd w:val="clear" w:color="auto" w:fill="FDECEA"/>
            <w:vAlign w:val="center"/>
          </w:tcPr>
          <w:p>
            <w:pPr>
              <w:spacing w:line="240" w:lineRule="auto"/>
              <w:jc w:val="left"/>
            </w:pPr>
            <w:r>
              <w:rPr>
                <w:sz w:val="15"/>
                <w:szCs w:val="15"/>
                <w:rtl w:val="0"/>
              </w:rPr>
              <w:t xml:space="preserve">Y — target</w:t>
            </w:r>
          </w:p>
        </w:tc>
        <w:tc>
          <w:tcPr>
            <w:tcW w:w="2400" w:type="dxa"/>
            <w:shd w:val="clear" w:color="auto" w:fill="FDECEA"/>
            <w:vAlign w:val="center"/>
          </w:tcPr>
          <w:p>
            <w:pPr>
              <w:spacing w:line="240" w:lineRule="auto"/>
              <w:jc w:val="left"/>
            </w:pPr>
            <w:r>
              <w:rPr>
                <w:sz w:val="15"/>
                <w:szCs w:val="15"/>
                <w:rtl w:val="0"/>
              </w:rPr>
              <w:t xml:space="preserve">Computed (Stebbins formula)</w:t>
            </w:r>
          </w:p>
        </w:tc>
        <w:tc>
          <w:tcPr>
            <w:tcW w:w="2700" w:type="dxa"/>
            <w:shd w:val="clear" w:color="auto" w:fill="FDECEA"/>
            <w:vAlign w:val="center"/>
          </w:tcPr>
          <w:p>
            <w:pPr>
              <w:spacing w:line="240" w:lineRule="auto"/>
              <w:jc w:val="left"/>
            </w:pPr>
            <w:r>
              <w:rPr>
                <w:sz w:val="15"/>
                <w:szCs w:val="15"/>
                <w:rtl w:val="0"/>
              </w:rPr>
              <w:t xml:space="preserve">Tremor / PIGD ratio (Y component)</w:t>
            </w:r>
          </w:p>
        </w:tc>
      </w:tr>
      <w:tr>
        <w:tc>
          <w:tcPr>
            <w:tcW w:w="1750" w:type="dxa"/>
            <w:shd w:val="clear" w:color="auto" w:fill="FDECEA"/>
            <w:vAlign w:val="center"/>
          </w:tcPr>
          <w:p>
            <w:pPr>
              <w:spacing w:line="240" w:lineRule="auto"/>
              <w:jc w:val="left"/>
            </w:pPr>
            <w:r>
              <w:rPr>
                <w:rFonts w:ascii="Consolas" w:hAnsi="Consolas"/>
                <w:sz w:val="15"/>
                <w:szCs w:val="15"/>
                <w:rtl w:val="0"/>
              </w:rPr>
              <w:t xml:space="preserve">TREMOR_SCORE</w:t>
            </w:r>
          </w:p>
        </w:tc>
        <w:tc>
          <w:tcPr>
            <w:tcW w:w="1750" w:type="dxa"/>
            <w:shd w:val="clear" w:color="auto" w:fill="FDECEA"/>
            <w:vAlign w:val="center"/>
          </w:tcPr>
          <w:p>
            <w:pPr>
              <w:spacing w:line="240" w:lineRule="auto"/>
              <w:jc w:val="left"/>
            </w:pPr>
            <w:r>
              <w:rPr>
                <w:sz w:val="15"/>
                <w:szCs w:val="15"/>
                <w:rtl w:val="0"/>
              </w:rPr>
              <w:t xml:space="preserve">Y — target</w:t>
            </w:r>
          </w:p>
        </w:tc>
        <w:tc>
          <w:tcPr>
            <w:tcW w:w="2400" w:type="dxa"/>
            <w:shd w:val="clear" w:color="auto" w:fill="FDECEA"/>
            <w:vAlign w:val="center"/>
          </w:tcPr>
          <w:p>
            <w:pPr>
              <w:spacing w:line="240" w:lineRule="auto"/>
              <w:jc w:val="left"/>
            </w:pPr>
            <w:r>
              <w:rPr>
                <w:sz w:val="15"/>
                <w:szCs w:val="15"/>
                <w:rtl w:val="0"/>
              </w:rPr>
              <w:t xml:space="preserve">Computed (Stebbins formula)</w:t>
            </w:r>
          </w:p>
        </w:tc>
        <w:tc>
          <w:tcPr>
            <w:tcW w:w="2700" w:type="dxa"/>
            <w:shd w:val="clear" w:color="auto" w:fill="FDECEA"/>
            <w:vAlign w:val="center"/>
          </w:tcPr>
          <w:p>
            <w:pPr>
              <w:spacing w:line="240" w:lineRule="auto"/>
              <w:jc w:val="left"/>
            </w:pPr>
            <w:r>
              <w:rPr>
                <w:sz w:val="15"/>
                <w:szCs w:val="15"/>
                <w:rtl w:val="0"/>
              </w:rPr>
              <w:t xml:space="preserve">Mean of the 11 tremor items (Y component)</w:t>
            </w:r>
          </w:p>
        </w:tc>
      </w:tr>
      <w:tr>
        <w:tc>
          <w:tcPr>
            <w:tcW w:w="1750" w:type="dxa"/>
            <w:shd w:val="clear" w:color="auto" w:fill="E9F5EC"/>
            <w:vAlign w:val="center"/>
          </w:tcPr>
          <w:p>
            <w:pPr>
              <w:spacing w:line="240" w:lineRule="auto"/>
              <w:jc w:val="left"/>
            </w:pPr>
            <w:r>
              <w:rPr>
                <w:rFonts w:ascii="Consolas" w:hAnsi="Consolas"/>
                <w:sz w:val="15"/>
                <w:szCs w:val="15"/>
                <w:rtl w:val="0"/>
              </w:rPr>
              <w:t xml:space="preserve">AGE_AT_VISIT</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Age at Visit</w:t>
            </w:r>
          </w:p>
        </w:tc>
        <w:tc>
          <w:tcPr>
            <w:tcW w:w="2700" w:type="dxa"/>
            <w:shd w:val="clear" w:color="auto" w:fill="E9F5EC"/>
            <w:vAlign w:val="center"/>
          </w:tcPr>
          <w:p>
            <w:pPr>
              <w:spacing w:line="240" w:lineRule="auto"/>
              <w:jc w:val="left"/>
            </w:pPr>
            <w:r>
              <w:rPr>
                <w:sz w:val="15"/>
                <w:szCs w:val="15"/>
                <w:rtl w:val="0"/>
              </w:rPr>
              <w:t xml:space="preserve">Age at visit</w:t>
            </w:r>
          </w:p>
        </w:tc>
      </w:tr>
      <w:tr>
        <w:tc>
          <w:tcPr>
            <w:tcW w:w="1750" w:type="dxa"/>
            <w:shd w:val="clear" w:color="auto" w:fill="E9F5EC"/>
            <w:vAlign w:val="center"/>
          </w:tcPr>
          <w:p>
            <w:pPr>
              <w:spacing w:line="240" w:lineRule="auto"/>
              <w:jc w:val="left"/>
            </w:pPr>
            <w:r>
              <w:rPr>
                <w:rFonts w:ascii="Consolas" w:hAnsi="Consolas"/>
                <w:sz w:val="15"/>
                <w:szCs w:val="15"/>
                <w:rtl w:val="0"/>
              </w:rPr>
              <w:t xml:space="preserve">ESS_TOTAL</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Epworth (item sum)</w:t>
            </w:r>
          </w:p>
        </w:tc>
        <w:tc>
          <w:tcPr>
            <w:tcW w:w="2700" w:type="dxa"/>
            <w:shd w:val="clear" w:color="auto" w:fill="E9F5EC"/>
            <w:vAlign w:val="center"/>
          </w:tcPr>
          <w:p>
            <w:pPr>
              <w:spacing w:line="240" w:lineRule="auto"/>
              <w:jc w:val="left"/>
            </w:pPr>
            <w:r>
              <w:rPr>
                <w:sz w:val="15"/>
                <w:szCs w:val="15"/>
                <w:rtl w:val="0"/>
              </w:rPr>
              <w:t xml:space="preserve">Epworth Sleepiness Scale item sum</w:t>
            </w:r>
          </w:p>
        </w:tc>
      </w:tr>
      <w:tr>
        <w:tc>
          <w:tcPr>
            <w:tcW w:w="1750" w:type="dxa"/>
            <w:shd w:val="clear" w:color="auto" w:fill="E9F5EC"/>
            <w:vAlign w:val="center"/>
          </w:tcPr>
          <w:p>
            <w:pPr>
              <w:spacing w:line="240" w:lineRule="auto"/>
              <w:jc w:val="left"/>
            </w:pPr>
            <w:r>
              <w:rPr>
                <w:rFonts w:ascii="Consolas" w:hAnsi="Consolas"/>
                <w:sz w:val="15"/>
                <w:szCs w:val="15"/>
                <w:rtl w:val="0"/>
              </w:rPr>
              <w:t xml:space="preserve">GDS_TOTAL</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GDS-15 (item sum)</w:t>
            </w:r>
          </w:p>
        </w:tc>
        <w:tc>
          <w:tcPr>
            <w:tcW w:w="2700" w:type="dxa"/>
            <w:shd w:val="clear" w:color="auto" w:fill="E9F5EC"/>
            <w:vAlign w:val="center"/>
          </w:tcPr>
          <w:p>
            <w:pPr>
              <w:spacing w:line="240" w:lineRule="auto"/>
              <w:jc w:val="left"/>
            </w:pPr>
            <w:r>
              <w:rPr>
                <w:sz w:val="15"/>
                <w:szCs w:val="15"/>
                <w:rtl w:val="0"/>
              </w:rPr>
              <w:t xml:space="preserve">Geriatric Depression Scale item sum</w:t>
            </w:r>
          </w:p>
        </w:tc>
      </w:tr>
      <w:tr>
        <w:tc>
          <w:tcPr>
            <w:tcW w:w="1750" w:type="dxa"/>
            <w:shd w:val="clear" w:color="auto" w:fill="E9F5EC"/>
            <w:vAlign w:val="center"/>
          </w:tcPr>
          <w:p>
            <w:pPr>
              <w:spacing w:line="240" w:lineRule="auto"/>
              <w:jc w:val="left"/>
            </w:pPr>
            <w:r>
              <w:rPr>
                <w:rFonts w:ascii="Consolas" w:hAnsi="Consolas"/>
                <w:sz w:val="15"/>
                <w:szCs w:val="15"/>
                <w:rtl w:val="0"/>
              </w:rPr>
              <w:t xml:space="preserve">GENETIC_COHORT</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Derived (Subject Cohort History)</w:t>
            </w:r>
          </w:p>
        </w:tc>
        <w:tc>
          <w:tcPr>
            <w:tcW w:w="2700" w:type="dxa"/>
            <w:shd w:val="clear" w:color="auto" w:fill="E9F5EC"/>
            <w:vAlign w:val="center"/>
          </w:tcPr>
          <w:p>
            <w:pPr>
              <w:spacing w:line="240" w:lineRule="auto"/>
              <w:jc w:val="left"/>
            </w:pPr>
            <w:r>
              <w:rPr>
                <w:sz w:val="15"/>
                <w:szCs w:val="15"/>
                <w:rtl w:val="0"/>
              </w:rPr>
              <w:t xml:space="preserve">Recruited into the genetic cohort (see limitation below)</w:t>
            </w:r>
          </w:p>
        </w:tc>
      </w:tr>
      <w:tr>
        <w:tc>
          <w:tcPr>
            <w:tcW w:w="1750" w:type="dxa"/>
            <w:shd w:val="clear" w:color="auto" w:fill="E9F5EC"/>
            <w:vAlign w:val="center"/>
          </w:tcPr>
          <w:p>
            <w:pPr>
              <w:spacing w:line="240" w:lineRule="auto"/>
              <w:jc w:val="left"/>
            </w:pPr>
            <w:r>
              <w:rPr>
                <w:rFonts w:ascii="Consolas" w:hAnsi="Consolas"/>
                <w:sz w:val="15"/>
                <w:szCs w:val="15"/>
                <w:rtl w:val="0"/>
              </w:rPr>
              <w:t xml:space="preserve">HANDED</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Demographics</w:t>
            </w:r>
          </w:p>
        </w:tc>
        <w:tc>
          <w:tcPr>
            <w:tcW w:w="2700" w:type="dxa"/>
            <w:shd w:val="clear" w:color="auto" w:fill="E9F5EC"/>
            <w:vAlign w:val="center"/>
          </w:tcPr>
          <w:p>
            <w:pPr>
              <w:spacing w:line="240" w:lineRule="auto"/>
              <w:jc w:val="left"/>
            </w:pPr>
            <w:r>
              <w:rPr>
                <w:sz w:val="15"/>
                <w:szCs w:val="15"/>
                <w:rtl w:val="0"/>
              </w:rPr>
              <w:t xml:space="preserve">Handedness</w:t>
            </w:r>
          </w:p>
        </w:tc>
      </w:tr>
      <w:tr>
        <w:tc>
          <w:tcPr>
            <w:tcW w:w="1750" w:type="dxa"/>
            <w:shd w:val="clear" w:color="auto" w:fill="E9F5EC"/>
            <w:vAlign w:val="center"/>
          </w:tcPr>
          <w:p>
            <w:pPr>
              <w:spacing w:line="240" w:lineRule="auto"/>
              <w:jc w:val="left"/>
            </w:pPr>
            <w:r>
              <w:rPr>
                <w:rFonts w:ascii="Consolas" w:hAnsi="Consolas"/>
                <w:sz w:val="15"/>
                <w:szCs w:val="15"/>
                <w:rtl w:val="0"/>
              </w:rPr>
              <w:t xml:space="preserve">LEDD_TOTAL_MG</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LEDD Med Log (date interval)</w:t>
            </w:r>
          </w:p>
        </w:tc>
        <w:tc>
          <w:tcPr>
            <w:tcW w:w="2700" w:type="dxa"/>
            <w:shd w:val="clear" w:color="auto" w:fill="E9F5EC"/>
            <w:vAlign w:val="center"/>
          </w:tcPr>
          <w:p>
            <w:pPr>
              <w:spacing w:line="240" w:lineRule="auto"/>
              <w:jc w:val="left"/>
            </w:pPr>
            <w:r>
              <w:rPr>
                <w:sz w:val="15"/>
                <w:szCs w:val="15"/>
                <w:rtl w:val="0"/>
              </w:rPr>
              <w:t xml:space="preserve">Levodopa-equivalent daily dose (date-interval join)</w:t>
            </w:r>
          </w:p>
        </w:tc>
      </w:tr>
      <w:tr>
        <w:tc>
          <w:tcPr>
            <w:tcW w:w="1750" w:type="dxa"/>
            <w:shd w:val="clear" w:color="auto" w:fill="E9F5EC"/>
            <w:vAlign w:val="center"/>
          </w:tcPr>
          <w:p>
            <w:pPr>
              <w:spacing w:line="240" w:lineRule="auto"/>
              <w:jc w:val="left"/>
            </w:pPr>
            <w:r>
              <w:rPr>
                <w:rFonts w:ascii="Consolas" w:hAnsi="Consolas"/>
                <w:sz w:val="15"/>
                <w:szCs w:val="15"/>
                <w:rtl w:val="0"/>
              </w:rPr>
              <w:t xml:space="preserve">MCATOT</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MoCA</w:t>
            </w:r>
          </w:p>
        </w:tc>
        <w:tc>
          <w:tcPr>
            <w:tcW w:w="2700" w:type="dxa"/>
            <w:shd w:val="clear" w:color="auto" w:fill="E9F5EC"/>
            <w:vAlign w:val="center"/>
          </w:tcPr>
          <w:p>
            <w:pPr>
              <w:spacing w:line="240" w:lineRule="auto"/>
              <w:jc w:val="left"/>
            </w:pPr>
            <w:r>
              <w:rPr>
                <w:sz w:val="15"/>
                <w:szCs w:val="15"/>
                <w:rtl w:val="0"/>
              </w:rPr>
              <w:t xml:space="preserve">MoCA total</w:t>
            </w:r>
          </w:p>
        </w:tc>
      </w:tr>
      <w:tr>
        <w:tc>
          <w:tcPr>
            <w:tcW w:w="1750" w:type="dxa"/>
            <w:shd w:val="clear" w:color="auto" w:fill="E9F5EC"/>
            <w:vAlign w:val="center"/>
          </w:tcPr>
          <w:p>
            <w:pPr>
              <w:spacing w:line="240" w:lineRule="auto"/>
              <w:jc w:val="left"/>
            </w:pPr>
            <w:r>
              <w:rPr>
                <w:rFonts w:ascii="Consolas" w:hAnsi="Consolas"/>
                <w:sz w:val="15"/>
                <w:szCs w:val="15"/>
                <w:rtl w:val="0"/>
              </w:rPr>
              <w:t xml:space="preserve">NP1PTOT</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MDS-UPDRS Part I (self-completed)</w:t>
            </w:r>
          </w:p>
        </w:tc>
        <w:tc>
          <w:tcPr>
            <w:tcW w:w="2700" w:type="dxa"/>
            <w:shd w:val="clear" w:color="auto" w:fill="E9F5EC"/>
            <w:vAlign w:val="center"/>
          </w:tcPr>
          <w:p>
            <w:pPr>
              <w:spacing w:line="240" w:lineRule="auto"/>
              <w:jc w:val="left"/>
            </w:pPr>
            <w:r>
              <w:rPr>
                <w:sz w:val="15"/>
                <w:szCs w:val="15"/>
                <w:rtl w:val="0"/>
              </w:rPr>
              <w:t xml:space="preserve">MDS-UPDRS Part I total (self-completed)</w:t>
            </w:r>
          </w:p>
        </w:tc>
      </w:tr>
      <w:tr>
        <w:tc>
          <w:tcPr>
            <w:tcW w:w="1750" w:type="dxa"/>
            <w:shd w:val="clear" w:color="auto" w:fill="E9F5EC"/>
            <w:vAlign w:val="center"/>
          </w:tcPr>
          <w:p>
            <w:pPr>
              <w:spacing w:line="240" w:lineRule="auto"/>
              <w:jc w:val="left"/>
            </w:pPr>
            <w:r>
              <w:rPr>
                <w:rFonts w:ascii="Consolas" w:hAnsi="Consolas"/>
                <w:sz w:val="15"/>
                <w:szCs w:val="15"/>
                <w:rtl w:val="0"/>
              </w:rPr>
              <w:t xml:space="preserve">NP1RTOT</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MDS-UPDRS Part I</w:t>
            </w:r>
          </w:p>
        </w:tc>
        <w:tc>
          <w:tcPr>
            <w:tcW w:w="2700" w:type="dxa"/>
            <w:shd w:val="clear" w:color="auto" w:fill="E9F5EC"/>
            <w:vAlign w:val="center"/>
          </w:tcPr>
          <w:p>
            <w:pPr>
              <w:spacing w:line="240" w:lineRule="auto"/>
              <w:jc w:val="left"/>
            </w:pPr>
            <w:r>
              <w:rPr>
                <w:sz w:val="15"/>
                <w:szCs w:val="15"/>
                <w:rtl w:val="0"/>
              </w:rPr>
              <w:t xml:space="preserve">MDS-UPDRS Part I total (rater-completed)</w:t>
            </w:r>
          </w:p>
        </w:tc>
      </w:tr>
      <w:tr>
        <w:tc>
          <w:tcPr>
            <w:tcW w:w="1750" w:type="dxa"/>
            <w:shd w:val="clear" w:color="auto" w:fill="E9F5EC"/>
            <w:vAlign w:val="center"/>
          </w:tcPr>
          <w:p>
            <w:pPr>
              <w:spacing w:line="240" w:lineRule="auto"/>
              <w:jc w:val="left"/>
            </w:pPr>
            <w:r>
              <w:rPr>
                <w:rFonts w:ascii="Consolas" w:hAnsi="Consolas"/>
                <w:sz w:val="15"/>
                <w:szCs w:val="15"/>
                <w:rtl w:val="0"/>
              </w:rPr>
              <w:t xml:space="preserve">NP2DRES</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MDS-UPDRS Part II</w:t>
            </w:r>
          </w:p>
        </w:tc>
        <w:tc>
          <w:tcPr>
            <w:tcW w:w="2700" w:type="dxa"/>
            <w:shd w:val="clear" w:color="auto" w:fill="E9F5EC"/>
            <w:vAlign w:val="center"/>
          </w:tcPr>
          <w:p>
            <w:pPr>
              <w:spacing w:line="240" w:lineRule="auto"/>
              <w:jc w:val="left"/>
            </w:pPr>
            <w:r>
              <w:rPr>
                <w:sz w:val="15"/>
                <w:szCs w:val="15"/>
                <w:rtl w:val="0"/>
              </w:rPr>
              <w:t xml:space="preserve">Dressing</w:t>
            </w:r>
          </w:p>
        </w:tc>
      </w:tr>
      <w:tr>
        <w:tc>
          <w:tcPr>
            <w:tcW w:w="1750" w:type="dxa"/>
            <w:shd w:val="clear" w:color="auto" w:fill="E9F5EC"/>
            <w:vAlign w:val="center"/>
          </w:tcPr>
          <w:p>
            <w:pPr>
              <w:spacing w:line="240" w:lineRule="auto"/>
              <w:jc w:val="left"/>
            </w:pPr>
            <w:r>
              <w:rPr>
                <w:rFonts w:ascii="Consolas" w:hAnsi="Consolas"/>
                <w:sz w:val="15"/>
                <w:szCs w:val="15"/>
                <w:rtl w:val="0"/>
              </w:rPr>
              <w:t xml:space="preserve">NP2EAT</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MDS-UPDRS Part II</w:t>
            </w:r>
          </w:p>
        </w:tc>
        <w:tc>
          <w:tcPr>
            <w:tcW w:w="2700" w:type="dxa"/>
            <w:shd w:val="clear" w:color="auto" w:fill="E9F5EC"/>
            <w:vAlign w:val="center"/>
          </w:tcPr>
          <w:p>
            <w:pPr>
              <w:spacing w:line="240" w:lineRule="auto"/>
              <w:jc w:val="left"/>
            </w:pPr>
            <w:r>
              <w:rPr>
                <w:sz w:val="15"/>
                <w:szCs w:val="15"/>
                <w:rtl w:val="0"/>
              </w:rPr>
              <w:t xml:space="preserve">Eating tasks</w:t>
            </w:r>
          </w:p>
        </w:tc>
      </w:tr>
      <w:tr>
        <w:tc>
          <w:tcPr>
            <w:tcW w:w="1750" w:type="dxa"/>
            <w:shd w:val="clear" w:color="auto" w:fill="E9F5EC"/>
            <w:vAlign w:val="center"/>
          </w:tcPr>
          <w:p>
            <w:pPr>
              <w:spacing w:line="240" w:lineRule="auto"/>
              <w:jc w:val="left"/>
            </w:pPr>
            <w:r>
              <w:rPr>
                <w:rFonts w:ascii="Consolas" w:hAnsi="Consolas"/>
                <w:sz w:val="15"/>
                <w:szCs w:val="15"/>
                <w:rtl w:val="0"/>
              </w:rPr>
              <w:t xml:space="preserve">NP2HOBB</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MDS-UPDRS Part II</w:t>
            </w:r>
          </w:p>
        </w:tc>
        <w:tc>
          <w:tcPr>
            <w:tcW w:w="2700" w:type="dxa"/>
            <w:shd w:val="clear" w:color="auto" w:fill="E9F5EC"/>
            <w:vAlign w:val="center"/>
          </w:tcPr>
          <w:p>
            <w:pPr>
              <w:spacing w:line="240" w:lineRule="auto"/>
              <w:jc w:val="left"/>
            </w:pPr>
            <w:r>
              <w:rPr>
                <w:sz w:val="15"/>
                <w:szCs w:val="15"/>
                <w:rtl w:val="0"/>
              </w:rPr>
              <w:t xml:space="preserve">Hobbies and other activities</w:t>
            </w:r>
          </w:p>
        </w:tc>
      </w:tr>
      <w:tr>
        <w:tc>
          <w:tcPr>
            <w:tcW w:w="1750" w:type="dxa"/>
            <w:shd w:val="clear" w:color="auto" w:fill="E9F5EC"/>
            <w:vAlign w:val="center"/>
          </w:tcPr>
          <w:p>
            <w:pPr>
              <w:spacing w:line="240" w:lineRule="auto"/>
              <w:jc w:val="left"/>
            </w:pPr>
            <w:r>
              <w:rPr>
                <w:rFonts w:ascii="Consolas" w:hAnsi="Consolas"/>
                <w:sz w:val="15"/>
                <w:szCs w:val="15"/>
                <w:rtl w:val="0"/>
              </w:rPr>
              <w:t xml:space="preserve">NP2HWRT</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MDS-UPDRS Part II</w:t>
            </w:r>
          </w:p>
        </w:tc>
        <w:tc>
          <w:tcPr>
            <w:tcW w:w="2700" w:type="dxa"/>
            <w:shd w:val="clear" w:color="auto" w:fill="E9F5EC"/>
            <w:vAlign w:val="center"/>
          </w:tcPr>
          <w:p>
            <w:pPr>
              <w:spacing w:line="240" w:lineRule="auto"/>
              <w:jc w:val="left"/>
            </w:pPr>
            <w:r>
              <w:rPr>
                <w:sz w:val="15"/>
                <w:szCs w:val="15"/>
                <w:rtl w:val="0"/>
              </w:rPr>
              <w:t xml:space="preserve">Handwriting</w:t>
            </w:r>
          </w:p>
        </w:tc>
      </w:tr>
      <w:tr>
        <w:tc>
          <w:tcPr>
            <w:tcW w:w="1750" w:type="dxa"/>
            <w:shd w:val="clear" w:color="auto" w:fill="E9F5EC"/>
            <w:vAlign w:val="center"/>
          </w:tcPr>
          <w:p>
            <w:pPr>
              <w:spacing w:line="240" w:lineRule="auto"/>
              <w:jc w:val="left"/>
            </w:pPr>
            <w:r>
              <w:rPr>
                <w:rFonts w:ascii="Consolas" w:hAnsi="Consolas"/>
                <w:sz w:val="15"/>
                <w:szCs w:val="15"/>
                <w:rtl w:val="0"/>
              </w:rPr>
              <w:t xml:space="preserve">NP2HYGN</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MDS-UPDRS Part II</w:t>
            </w:r>
          </w:p>
        </w:tc>
        <w:tc>
          <w:tcPr>
            <w:tcW w:w="2700" w:type="dxa"/>
            <w:shd w:val="clear" w:color="auto" w:fill="E9F5EC"/>
            <w:vAlign w:val="center"/>
          </w:tcPr>
          <w:p>
            <w:pPr>
              <w:spacing w:line="240" w:lineRule="auto"/>
              <w:jc w:val="left"/>
            </w:pPr>
            <w:r>
              <w:rPr>
                <w:sz w:val="15"/>
                <w:szCs w:val="15"/>
                <w:rtl w:val="0"/>
              </w:rPr>
              <w:t xml:space="preserve">Hygiene</w:t>
            </w:r>
          </w:p>
        </w:tc>
      </w:tr>
      <w:tr>
        <w:tc>
          <w:tcPr>
            <w:tcW w:w="1750" w:type="dxa"/>
            <w:shd w:val="clear" w:color="auto" w:fill="E9F5EC"/>
            <w:vAlign w:val="center"/>
          </w:tcPr>
          <w:p>
            <w:pPr>
              <w:spacing w:line="240" w:lineRule="auto"/>
              <w:jc w:val="left"/>
            </w:pPr>
            <w:r>
              <w:rPr>
                <w:rFonts w:ascii="Consolas" w:hAnsi="Consolas"/>
                <w:sz w:val="15"/>
                <w:szCs w:val="15"/>
                <w:rtl w:val="0"/>
              </w:rPr>
              <w:t xml:space="preserve">NP2RISE</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MDS-UPDRS Part II</w:t>
            </w:r>
          </w:p>
        </w:tc>
        <w:tc>
          <w:tcPr>
            <w:tcW w:w="2700" w:type="dxa"/>
            <w:shd w:val="clear" w:color="auto" w:fill="E9F5EC"/>
            <w:vAlign w:val="center"/>
          </w:tcPr>
          <w:p>
            <w:pPr>
              <w:spacing w:line="240" w:lineRule="auto"/>
              <w:jc w:val="left"/>
            </w:pPr>
            <w:r>
              <w:rPr>
                <w:sz w:val="15"/>
                <w:szCs w:val="15"/>
                <w:rtl w:val="0"/>
              </w:rPr>
              <w:t xml:space="preserve">Getting out of a bed, car or deep chair</w:t>
            </w:r>
          </w:p>
        </w:tc>
      </w:tr>
      <w:tr>
        <w:tc>
          <w:tcPr>
            <w:tcW w:w="1750" w:type="dxa"/>
            <w:shd w:val="clear" w:color="auto" w:fill="E9F5EC"/>
            <w:vAlign w:val="center"/>
          </w:tcPr>
          <w:p>
            <w:pPr>
              <w:spacing w:line="240" w:lineRule="auto"/>
              <w:jc w:val="left"/>
            </w:pPr>
            <w:r>
              <w:rPr>
                <w:rFonts w:ascii="Consolas" w:hAnsi="Consolas"/>
                <w:sz w:val="15"/>
                <w:szCs w:val="15"/>
                <w:rtl w:val="0"/>
              </w:rPr>
              <w:t xml:space="preserve">NP2SALV</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MDS-UPDRS Part II</w:t>
            </w:r>
          </w:p>
        </w:tc>
        <w:tc>
          <w:tcPr>
            <w:tcW w:w="2700" w:type="dxa"/>
            <w:shd w:val="clear" w:color="auto" w:fill="E9F5EC"/>
            <w:vAlign w:val="center"/>
          </w:tcPr>
          <w:p>
            <w:pPr>
              <w:spacing w:line="240" w:lineRule="auto"/>
              <w:jc w:val="left"/>
            </w:pPr>
            <w:r>
              <w:rPr>
                <w:sz w:val="15"/>
                <w:szCs w:val="15"/>
                <w:rtl w:val="0"/>
              </w:rPr>
              <w:t xml:space="preserve">Saliva and drooling</w:t>
            </w:r>
          </w:p>
        </w:tc>
      </w:tr>
      <w:tr>
        <w:tc>
          <w:tcPr>
            <w:tcW w:w="1750" w:type="dxa"/>
            <w:shd w:val="clear" w:color="auto" w:fill="E9F5EC"/>
            <w:vAlign w:val="center"/>
          </w:tcPr>
          <w:p>
            <w:pPr>
              <w:spacing w:line="240" w:lineRule="auto"/>
              <w:jc w:val="left"/>
            </w:pPr>
            <w:r>
              <w:rPr>
                <w:rFonts w:ascii="Consolas" w:hAnsi="Consolas"/>
                <w:sz w:val="15"/>
                <w:szCs w:val="15"/>
                <w:rtl w:val="0"/>
              </w:rPr>
              <w:t xml:space="preserve">NP2SPCH</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MDS-UPDRS Part II</w:t>
            </w:r>
          </w:p>
        </w:tc>
        <w:tc>
          <w:tcPr>
            <w:tcW w:w="2700" w:type="dxa"/>
            <w:shd w:val="clear" w:color="auto" w:fill="E9F5EC"/>
            <w:vAlign w:val="center"/>
          </w:tcPr>
          <w:p>
            <w:pPr>
              <w:spacing w:line="240" w:lineRule="auto"/>
              <w:jc w:val="left"/>
            </w:pPr>
            <w:r>
              <w:rPr>
                <w:sz w:val="15"/>
                <w:szCs w:val="15"/>
                <w:rtl w:val="0"/>
              </w:rPr>
              <w:t xml:space="preserve">Speech</w:t>
            </w:r>
          </w:p>
        </w:tc>
      </w:tr>
      <w:tr>
        <w:tc>
          <w:tcPr>
            <w:tcW w:w="1750" w:type="dxa"/>
            <w:shd w:val="clear" w:color="auto" w:fill="E9F5EC"/>
            <w:vAlign w:val="center"/>
          </w:tcPr>
          <w:p>
            <w:pPr>
              <w:spacing w:line="240" w:lineRule="auto"/>
              <w:jc w:val="left"/>
            </w:pPr>
            <w:r>
              <w:rPr>
                <w:rFonts w:ascii="Consolas" w:hAnsi="Consolas"/>
                <w:sz w:val="15"/>
                <w:szCs w:val="15"/>
                <w:rtl w:val="0"/>
              </w:rPr>
              <w:t xml:space="preserve">NP2SWAL</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MDS-UPDRS Part II</w:t>
            </w:r>
          </w:p>
        </w:tc>
        <w:tc>
          <w:tcPr>
            <w:tcW w:w="2700" w:type="dxa"/>
            <w:shd w:val="clear" w:color="auto" w:fill="E9F5EC"/>
            <w:vAlign w:val="center"/>
          </w:tcPr>
          <w:p>
            <w:pPr>
              <w:spacing w:line="240" w:lineRule="auto"/>
              <w:jc w:val="left"/>
            </w:pPr>
            <w:r>
              <w:rPr>
                <w:sz w:val="15"/>
                <w:szCs w:val="15"/>
                <w:rtl w:val="0"/>
              </w:rPr>
              <w:t xml:space="preserve">Chewing and swallowing</w:t>
            </w:r>
          </w:p>
        </w:tc>
      </w:tr>
      <w:tr>
        <w:tc>
          <w:tcPr>
            <w:tcW w:w="1750" w:type="dxa"/>
            <w:shd w:val="clear" w:color="auto" w:fill="E9F5EC"/>
            <w:vAlign w:val="center"/>
          </w:tcPr>
          <w:p>
            <w:pPr>
              <w:spacing w:line="240" w:lineRule="auto"/>
              <w:jc w:val="left"/>
            </w:pPr>
            <w:r>
              <w:rPr>
                <w:rFonts w:ascii="Consolas" w:hAnsi="Consolas"/>
                <w:sz w:val="15"/>
                <w:szCs w:val="15"/>
                <w:rtl w:val="0"/>
              </w:rPr>
              <w:t xml:space="preserve">NP2TURN</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MDS-UPDRS Part II</w:t>
            </w:r>
          </w:p>
        </w:tc>
        <w:tc>
          <w:tcPr>
            <w:tcW w:w="2700" w:type="dxa"/>
            <w:shd w:val="clear" w:color="auto" w:fill="E9F5EC"/>
            <w:vAlign w:val="center"/>
          </w:tcPr>
          <w:p>
            <w:pPr>
              <w:spacing w:line="240" w:lineRule="auto"/>
              <w:jc w:val="left"/>
            </w:pPr>
            <w:r>
              <w:rPr>
                <w:sz w:val="15"/>
                <w:szCs w:val="15"/>
                <w:rtl w:val="0"/>
              </w:rPr>
              <w:t xml:space="preserve">Turning in bed</w:t>
            </w:r>
          </w:p>
        </w:tc>
      </w:tr>
      <w:tr>
        <w:tc>
          <w:tcPr>
            <w:tcW w:w="1750" w:type="dxa"/>
            <w:shd w:val="clear" w:color="auto" w:fill="E9F5EC"/>
            <w:vAlign w:val="center"/>
          </w:tcPr>
          <w:p>
            <w:pPr>
              <w:spacing w:line="240" w:lineRule="auto"/>
              <w:jc w:val="left"/>
            </w:pPr>
            <w:r>
              <w:rPr>
                <w:rFonts w:ascii="Consolas" w:hAnsi="Consolas"/>
                <w:sz w:val="15"/>
                <w:szCs w:val="15"/>
                <w:rtl w:val="0"/>
              </w:rPr>
              <w:t xml:space="preserve">N_CONMEDS</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Concomitant Med Log (date interval)</w:t>
            </w:r>
          </w:p>
        </w:tc>
        <w:tc>
          <w:tcPr>
            <w:tcW w:w="2700" w:type="dxa"/>
            <w:shd w:val="clear" w:color="auto" w:fill="E9F5EC"/>
            <w:vAlign w:val="center"/>
          </w:tcPr>
          <w:p>
            <w:pPr>
              <w:spacing w:line="240" w:lineRule="auto"/>
              <w:jc w:val="left"/>
            </w:pPr>
            <w:r>
              <w:rPr>
                <w:sz w:val="15"/>
                <w:szCs w:val="15"/>
                <w:rtl w:val="0"/>
              </w:rPr>
              <w:t xml:space="preserve">Count of active concomitant medications</w:t>
            </w:r>
          </w:p>
        </w:tc>
      </w:tr>
      <w:tr>
        <w:tc>
          <w:tcPr>
            <w:tcW w:w="1750" w:type="dxa"/>
            <w:shd w:val="clear" w:color="auto" w:fill="E9F5EC"/>
            <w:vAlign w:val="center"/>
          </w:tcPr>
          <w:p>
            <w:pPr>
              <w:spacing w:line="240" w:lineRule="auto"/>
              <w:jc w:val="left"/>
            </w:pPr>
            <w:r>
              <w:rPr>
                <w:rFonts w:ascii="Consolas" w:hAnsi="Consolas"/>
                <w:sz w:val="15"/>
                <w:szCs w:val="15"/>
                <w:rtl w:val="0"/>
              </w:rPr>
              <w:t xml:space="preserve">PDTRTMNT</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MDS-UPDRS Part III</w:t>
            </w:r>
          </w:p>
        </w:tc>
        <w:tc>
          <w:tcPr>
            <w:tcW w:w="2700" w:type="dxa"/>
            <w:shd w:val="clear" w:color="auto" w:fill="E9F5EC"/>
            <w:vAlign w:val="center"/>
          </w:tcPr>
          <w:p>
            <w:pPr>
              <w:spacing w:line="240" w:lineRule="auto"/>
              <w:jc w:val="left"/>
            </w:pPr>
            <w:r>
              <w:rPr>
                <w:sz w:val="15"/>
                <w:szCs w:val="15"/>
                <w:rtl w:val="0"/>
              </w:rPr>
              <w:t xml:space="preserve">On PD treatment at this visit</w:t>
            </w:r>
          </w:p>
        </w:tc>
      </w:tr>
      <w:tr>
        <w:tc>
          <w:tcPr>
            <w:tcW w:w="1750" w:type="dxa"/>
            <w:shd w:val="clear" w:color="auto" w:fill="E9F5EC"/>
            <w:vAlign w:val="center"/>
          </w:tcPr>
          <w:p>
            <w:pPr>
              <w:spacing w:line="240" w:lineRule="auto"/>
              <w:jc w:val="left"/>
            </w:pPr>
            <w:r>
              <w:rPr>
                <w:rFonts w:ascii="Consolas" w:hAnsi="Consolas"/>
                <w:sz w:val="15"/>
                <w:szCs w:val="15"/>
                <w:rtl w:val="0"/>
              </w:rPr>
              <w:t xml:space="preserve">RBDSQ_TOTAL</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RBD Screening (item sum)</w:t>
            </w:r>
          </w:p>
        </w:tc>
        <w:tc>
          <w:tcPr>
            <w:tcW w:w="2700" w:type="dxa"/>
            <w:shd w:val="clear" w:color="auto" w:fill="E9F5EC"/>
            <w:vAlign w:val="center"/>
          </w:tcPr>
          <w:p>
            <w:pPr>
              <w:spacing w:line="240" w:lineRule="auto"/>
              <w:jc w:val="left"/>
            </w:pPr>
            <w:r>
              <w:rPr>
                <w:sz w:val="15"/>
                <w:szCs w:val="15"/>
                <w:rtl w:val="0"/>
              </w:rPr>
              <w:t xml:space="preserve">REM Sleep Behaviour Disorder screening item sum</w:t>
            </w:r>
          </w:p>
        </w:tc>
      </w:tr>
      <w:tr>
        <w:tc>
          <w:tcPr>
            <w:tcW w:w="1750" w:type="dxa"/>
            <w:shd w:val="clear" w:color="auto" w:fill="E9F5EC"/>
            <w:vAlign w:val="center"/>
          </w:tcPr>
          <w:p>
            <w:pPr>
              <w:spacing w:line="240" w:lineRule="auto"/>
              <w:jc w:val="left"/>
            </w:pPr>
            <w:r>
              <w:rPr>
                <w:rFonts w:ascii="Consolas" w:hAnsi="Consolas"/>
                <w:sz w:val="15"/>
                <w:szCs w:val="15"/>
                <w:rtl w:val="0"/>
              </w:rPr>
              <w:t xml:space="preserve">SCOPA_AUT_TOTAL</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SCOPA-AUT (item sum)</w:t>
            </w:r>
          </w:p>
        </w:tc>
        <w:tc>
          <w:tcPr>
            <w:tcW w:w="2700" w:type="dxa"/>
            <w:shd w:val="clear" w:color="auto" w:fill="E9F5EC"/>
            <w:vAlign w:val="center"/>
          </w:tcPr>
          <w:p>
            <w:pPr>
              <w:spacing w:line="240" w:lineRule="auto"/>
              <w:jc w:val="left"/>
            </w:pPr>
            <w:r>
              <w:rPr>
                <w:sz w:val="15"/>
                <w:szCs w:val="15"/>
                <w:rtl w:val="0"/>
              </w:rPr>
              <w:t xml:space="preserve">SCOPA-AUT item sum</w:t>
            </w:r>
          </w:p>
        </w:tc>
      </w:tr>
      <w:tr>
        <w:tc>
          <w:tcPr>
            <w:tcW w:w="1750" w:type="dxa"/>
            <w:shd w:val="clear" w:color="auto" w:fill="E9F5EC"/>
            <w:vAlign w:val="center"/>
          </w:tcPr>
          <w:p>
            <w:pPr>
              <w:spacing w:line="240" w:lineRule="auto"/>
              <w:jc w:val="left"/>
            </w:pPr>
            <w:r>
              <w:rPr>
                <w:rFonts w:ascii="Consolas" w:hAnsi="Consolas"/>
                <w:sz w:val="15"/>
                <w:szCs w:val="15"/>
                <w:rtl w:val="0"/>
              </w:rPr>
              <w:t xml:space="preserve">SEX</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Demographics</w:t>
            </w:r>
          </w:p>
        </w:tc>
        <w:tc>
          <w:tcPr>
            <w:tcW w:w="2700" w:type="dxa"/>
            <w:shd w:val="clear" w:color="auto" w:fill="E9F5EC"/>
            <w:vAlign w:val="center"/>
          </w:tcPr>
          <w:p>
            <w:pPr>
              <w:spacing w:line="240" w:lineRule="auto"/>
              <w:jc w:val="left"/>
            </w:pPr>
            <w:r>
              <w:rPr>
                <w:sz w:val="15"/>
                <w:szCs w:val="15"/>
                <w:rtl w:val="0"/>
              </w:rPr>
              <w:t xml:space="preserve">Sex</w:t>
            </w:r>
          </w:p>
        </w:tc>
      </w:tr>
      <w:tr>
        <w:tc>
          <w:tcPr>
            <w:tcW w:w="1750" w:type="dxa"/>
            <w:shd w:val="clear" w:color="auto" w:fill="E9F5EC"/>
            <w:vAlign w:val="center"/>
          </w:tcPr>
          <w:p>
            <w:pPr>
              <w:spacing w:line="240" w:lineRule="auto"/>
              <w:jc w:val="left"/>
            </w:pPr>
            <w:r>
              <w:rPr>
                <w:rFonts w:ascii="Consolas" w:hAnsi="Consolas"/>
                <w:sz w:val="15"/>
                <w:szCs w:val="15"/>
                <w:rtl w:val="0"/>
              </w:rPr>
              <w:t xml:space="preserve">STAI_TOTAL</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STAI (item sum)</w:t>
            </w:r>
          </w:p>
        </w:tc>
        <w:tc>
          <w:tcPr>
            <w:tcW w:w="2700" w:type="dxa"/>
            <w:shd w:val="clear" w:color="auto" w:fill="E9F5EC"/>
            <w:vAlign w:val="center"/>
          </w:tcPr>
          <w:p>
            <w:pPr>
              <w:spacing w:line="240" w:lineRule="auto"/>
              <w:jc w:val="left"/>
            </w:pPr>
            <w:r>
              <w:rPr>
                <w:sz w:val="15"/>
                <w:szCs w:val="15"/>
                <w:rtl w:val="0"/>
              </w:rPr>
              <w:t xml:space="preserve">State-Trait Anxiety Inventory item sum</w:t>
            </w:r>
          </w:p>
        </w:tc>
      </w:tr>
      <w:tr>
        <w:tc>
          <w:tcPr>
            <w:tcW w:w="1750" w:type="dxa"/>
            <w:shd w:val="clear" w:color="auto" w:fill="E9F5EC"/>
            <w:vAlign w:val="center"/>
          </w:tcPr>
          <w:p>
            <w:pPr>
              <w:spacing w:line="240" w:lineRule="auto"/>
              <w:jc w:val="left"/>
            </w:pPr>
            <w:r>
              <w:rPr>
                <w:rFonts w:ascii="Consolas" w:hAnsi="Consolas"/>
                <w:sz w:val="15"/>
                <w:szCs w:val="15"/>
                <w:rtl w:val="0"/>
              </w:rPr>
              <w:t xml:space="preserve">YRS_SINCE_DIAGNOSIS</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Derived (PD Diagnosis History + visit date)</w:t>
            </w:r>
          </w:p>
        </w:tc>
        <w:tc>
          <w:tcPr>
            <w:tcW w:w="2700" w:type="dxa"/>
            <w:shd w:val="clear" w:color="auto" w:fill="E9F5EC"/>
            <w:vAlign w:val="center"/>
          </w:tcPr>
          <w:p>
            <w:pPr>
              <w:spacing w:line="240" w:lineRule="auto"/>
              <w:jc w:val="left"/>
            </w:pPr>
            <w:r>
              <w:rPr>
                <w:sz w:val="15"/>
                <w:szCs w:val="15"/>
                <w:rtl w:val="0"/>
              </w:rPr>
              <w:t xml:space="preserve">Years since diagnosis (derived)</w:t>
            </w:r>
          </w:p>
        </w:tc>
      </w:tr>
      <w:tr>
        <w:tc>
          <w:tcPr>
            <w:tcW w:w="1750" w:type="dxa"/>
            <w:shd w:val="clear" w:color="auto" w:fill="E9F5EC"/>
            <w:vAlign w:val="center"/>
          </w:tcPr>
          <w:p>
            <w:pPr>
              <w:spacing w:line="240" w:lineRule="auto"/>
              <w:jc w:val="left"/>
            </w:pPr>
            <w:r>
              <w:rPr>
                <w:rFonts w:ascii="Consolas" w:hAnsi="Consolas"/>
                <w:sz w:val="15"/>
                <w:szCs w:val="15"/>
                <w:rtl w:val="0"/>
              </w:rPr>
              <w:t xml:space="preserve">YRS_SINCE_SYMPTOM_ONSET</w:t>
            </w:r>
          </w:p>
        </w:tc>
        <w:tc>
          <w:tcPr>
            <w:tcW w:w="1750" w:type="dxa"/>
            <w:shd w:val="clear" w:color="auto" w:fill="E9F5EC"/>
            <w:vAlign w:val="center"/>
          </w:tcPr>
          <w:p>
            <w:pPr>
              <w:spacing w:line="240" w:lineRule="auto"/>
              <w:jc w:val="left"/>
            </w:pPr>
            <w:r>
              <w:rPr>
                <w:sz w:val="15"/>
                <w:szCs w:val="15"/>
                <w:rtl w:val="0"/>
              </w:rPr>
              <w:t xml:space="preserve">X — predictor</w:t>
            </w:r>
          </w:p>
        </w:tc>
        <w:tc>
          <w:tcPr>
            <w:tcW w:w="2400" w:type="dxa"/>
            <w:shd w:val="clear" w:color="auto" w:fill="E9F5EC"/>
            <w:vAlign w:val="center"/>
          </w:tcPr>
          <w:p>
            <w:pPr>
              <w:spacing w:line="240" w:lineRule="auto"/>
              <w:jc w:val="left"/>
            </w:pPr>
            <w:r>
              <w:rPr>
                <w:sz w:val="15"/>
                <w:szCs w:val="15"/>
                <w:rtl w:val="0"/>
              </w:rPr>
              <w:t xml:space="preserve">Derived (PD Diagnosis History + visit date)</w:t>
            </w:r>
          </w:p>
        </w:tc>
        <w:tc>
          <w:tcPr>
            <w:tcW w:w="2700" w:type="dxa"/>
            <w:shd w:val="clear" w:color="auto" w:fill="E9F5EC"/>
            <w:vAlign w:val="center"/>
          </w:tcPr>
          <w:p>
            <w:pPr>
              <w:spacing w:line="240" w:lineRule="auto"/>
              <w:jc w:val="left"/>
            </w:pPr>
            <w:r>
              <w:rPr>
                <w:sz w:val="15"/>
                <w:szCs w:val="15"/>
                <w:rtl w:val="0"/>
              </w:rPr>
              <w:t xml:space="preserve">Years since symptom onset (derived)</w:t>
            </w:r>
          </w:p>
        </w:tc>
      </w:tr>
      <w:tr>
        <w:tc>
          <w:tcPr>
            <w:tcW w:w="1750" w:type="dxa"/>
            <w:shd w:val="clear" w:color="auto" w:fill="FDF3E7"/>
            <w:vAlign w:val="center"/>
          </w:tcPr>
          <w:p>
            <w:pPr>
              <w:spacing w:line="240" w:lineRule="auto"/>
              <w:jc w:val="left"/>
            </w:pPr>
            <w:r>
              <w:rPr>
                <w:rFonts w:ascii="Consolas" w:hAnsi="Consolas"/>
                <w:sz w:val="15"/>
                <w:szCs w:val="15"/>
                <w:rtl w:val="0"/>
              </w:rPr>
              <w:t xml:space="preserve">NHY</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III</w:t>
            </w:r>
          </w:p>
        </w:tc>
        <w:tc>
          <w:tcPr>
            <w:tcW w:w="2700" w:type="dxa"/>
            <w:shd w:val="clear" w:color="auto" w:fill="FDF3E7"/>
            <w:vAlign w:val="center"/>
          </w:tcPr>
          <w:p>
            <w:pPr>
              <w:spacing w:line="240" w:lineRule="auto"/>
              <w:jc w:val="left"/>
            </w:pPr>
            <w:r>
              <w:rPr>
                <w:sz w:val="15"/>
                <w:szCs w:val="15"/>
                <w:rtl w:val="0"/>
              </w:rPr>
              <w:t xml:space="preserve">Hoehn &amp; Yahr stage — stage 3 is defined by postural instability</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NP2FREZ</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w:t>
            </w:r>
          </w:p>
        </w:tc>
        <w:tc>
          <w:tcPr>
            <w:tcW w:w="2700" w:type="dxa"/>
            <w:shd w:val="clear" w:color="auto" w:fill="FDF3E7"/>
            <w:vAlign w:val="center"/>
          </w:tcPr>
          <w:p>
            <w:pPr>
              <w:spacing w:line="240" w:lineRule="auto"/>
              <w:jc w:val="left"/>
            </w:pPr>
            <w:r>
              <w:rPr>
                <w:sz w:val="15"/>
                <w:szCs w:val="15"/>
                <w:rtl w:val="0"/>
              </w:rPr>
              <w:t xml:space="preserve">Freezing (self-reported)</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NP2PTOT</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w:t>
            </w:r>
          </w:p>
        </w:tc>
        <w:tc>
          <w:tcPr>
            <w:tcW w:w="2700" w:type="dxa"/>
            <w:shd w:val="clear" w:color="auto" w:fill="FDF3E7"/>
            <w:vAlign w:val="center"/>
          </w:tcPr>
          <w:p>
            <w:pPr>
              <w:spacing w:line="240" w:lineRule="auto"/>
              <w:jc w:val="left"/>
            </w:pPr>
            <w:r>
              <w:rPr>
                <w:sz w:val="15"/>
                <w:szCs w:val="15"/>
                <w:rtl w:val="0"/>
              </w:rPr>
              <w:t xml:space="preserve">Part II total — contains the 3 items above</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NP2TRMR</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w:t>
            </w:r>
          </w:p>
        </w:tc>
        <w:tc>
          <w:tcPr>
            <w:tcW w:w="2700" w:type="dxa"/>
            <w:shd w:val="clear" w:color="auto" w:fill="FDF3E7"/>
            <w:vAlign w:val="center"/>
          </w:tcPr>
          <w:p>
            <w:pPr>
              <w:spacing w:line="240" w:lineRule="auto"/>
              <w:jc w:val="left"/>
            </w:pPr>
            <w:r>
              <w:rPr>
                <w:sz w:val="15"/>
                <w:szCs w:val="15"/>
                <w:rtl w:val="0"/>
              </w:rPr>
              <w:t xml:space="preserve">Tremor (self-reported)</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NP2WALK</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w:t>
            </w:r>
          </w:p>
        </w:tc>
        <w:tc>
          <w:tcPr>
            <w:tcW w:w="2700" w:type="dxa"/>
            <w:shd w:val="clear" w:color="auto" w:fill="FDF3E7"/>
            <w:vAlign w:val="center"/>
          </w:tcPr>
          <w:p>
            <w:pPr>
              <w:spacing w:line="240" w:lineRule="auto"/>
              <w:jc w:val="left"/>
            </w:pPr>
            <w:r>
              <w:rPr>
                <w:sz w:val="15"/>
                <w:szCs w:val="15"/>
                <w:rtl w:val="0"/>
              </w:rPr>
              <w:t xml:space="preserve">Walking and balance (self-reported)</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NP3FRZGT</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III</w:t>
            </w:r>
          </w:p>
        </w:tc>
        <w:tc>
          <w:tcPr>
            <w:tcW w:w="2700" w:type="dxa"/>
            <w:shd w:val="clear" w:color="auto" w:fill="FDF3E7"/>
            <w:vAlign w:val="center"/>
          </w:tcPr>
          <w:p>
            <w:pPr>
              <w:spacing w:line="240" w:lineRule="auto"/>
              <w:jc w:val="left"/>
            </w:pPr>
            <w:r>
              <w:rPr>
                <w:sz w:val="15"/>
                <w:szCs w:val="15"/>
                <w:rtl w:val="0"/>
              </w:rPr>
              <w:t xml:space="preserve">Freezing of gait</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NP3GAIT</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III</w:t>
            </w:r>
          </w:p>
        </w:tc>
        <w:tc>
          <w:tcPr>
            <w:tcW w:w="2700" w:type="dxa"/>
            <w:shd w:val="clear" w:color="auto" w:fill="FDF3E7"/>
            <w:vAlign w:val="center"/>
          </w:tcPr>
          <w:p>
            <w:pPr>
              <w:spacing w:line="240" w:lineRule="auto"/>
              <w:jc w:val="left"/>
            </w:pPr>
            <w:r>
              <w:rPr>
                <w:sz w:val="15"/>
                <w:szCs w:val="15"/>
                <w:rtl w:val="0"/>
              </w:rPr>
              <w:t xml:space="preserve">Gait</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NP3KTRML</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III</w:t>
            </w:r>
          </w:p>
        </w:tc>
        <w:tc>
          <w:tcPr>
            <w:tcW w:w="2700" w:type="dxa"/>
            <w:shd w:val="clear" w:color="auto" w:fill="FDF3E7"/>
            <w:vAlign w:val="center"/>
          </w:tcPr>
          <w:p>
            <w:pPr>
              <w:spacing w:line="240" w:lineRule="auto"/>
              <w:jc w:val="left"/>
            </w:pPr>
            <w:r>
              <w:rPr>
                <w:sz w:val="15"/>
                <w:szCs w:val="15"/>
                <w:rtl w:val="0"/>
              </w:rPr>
              <w:t xml:space="preserve">Kinetic tremor, left hand</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NP3KTRMR</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III</w:t>
            </w:r>
          </w:p>
        </w:tc>
        <w:tc>
          <w:tcPr>
            <w:tcW w:w="2700" w:type="dxa"/>
            <w:shd w:val="clear" w:color="auto" w:fill="FDF3E7"/>
            <w:vAlign w:val="center"/>
          </w:tcPr>
          <w:p>
            <w:pPr>
              <w:spacing w:line="240" w:lineRule="auto"/>
              <w:jc w:val="left"/>
            </w:pPr>
            <w:r>
              <w:rPr>
                <w:sz w:val="15"/>
                <w:szCs w:val="15"/>
                <w:rtl w:val="0"/>
              </w:rPr>
              <w:t xml:space="preserve">Kinetic tremor, right hand</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NP3PSTBL</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III</w:t>
            </w:r>
          </w:p>
        </w:tc>
        <w:tc>
          <w:tcPr>
            <w:tcW w:w="2700" w:type="dxa"/>
            <w:shd w:val="clear" w:color="auto" w:fill="FDF3E7"/>
            <w:vAlign w:val="center"/>
          </w:tcPr>
          <w:p>
            <w:pPr>
              <w:spacing w:line="240" w:lineRule="auto"/>
              <w:jc w:val="left"/>
            </w:pPr>
            <w:r>
              <w:rPr>
                <w:sz w:val="15"/>
                <w:szCs w:val="15"/>
                <w:rtl w:val="0"/>
              </w:rPr>
              <w:t xml:space="preserve">Postural stability</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NP3PTRML</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III</w:t>
            </w:r>
          </w:p>
        </w:tc>
        <w:tc>
          <w:tcPr>
            <w:tcW w:w="2700" w:type="dxa"/>
            <w:shd w:val="clear" w:color="auto" w:fill="FDF3E7"/>
            <w:vAlign w:val="center"/>
          </w:tcPr>
          <w:p>
            <w:pPr>
              <w:spacing w:line="240" w:lineRule="auto"/>
              <w:jc w:val="left"/>
            </w:pPr>
            <w:r>
              <w:rPr>
                <w:sz w:val="15"/>
                <w:szCs w:val="15"/>
                <w:rtl w:val="0"/>
              </w:rPr>
              <w:t xml:space="preserve">Postural tremor, left hand</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NP3PTRMR</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III</w:t>
            </w:r>
          </w:p>
        </w:tc>
        <w:tc>
          <w:tcPr>
            <w:tcW w:w="2700" w:type="dxa"/>
            <w:shd w:val="clear" w:color="auto" w:fill="FDF3E7"/>
            <w:vAlign w:val="center"/>
          </w:tcPr>
          <w:p>
            <w:pPr>
              <w:spacing w:line="240" w:lineRule="auto"/>
              <w:jc w:val="left"/>
            </w:pPr>
            <w:r>
              <w:rPr>
                <w:sz w:val="15"/>
                <w:szCs w:val="15"/>
                <w:rtl w:val="0"/>
              </w:rPr>
              <w:t xml:space="preserve">Postural tremor, right hand</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NP3RTALJ</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III</w:t>
            </w:r>
          </w:p>
        </w:tc>
        <w:tc>
          <w:tcPr>
            <w:tcW w:w="2700" w:type="dxa"/>
            <w:shd w:val="clear" w:color="auto" w:fill="FDF3E7"/>
            <w:vAlign w:val="center"/>
          </w:tcPr>
          <w:p>
            <w:pPr>
              <w:spacing w:line="240" w:lineRule="auto"/>
              <w:jc w:val="left"/>
            </w:pPr>
            <w:r>
              <w:rPr>
                <w:sz w:val="15"/>
                <w:szCs w:val="15"/>
                <w:rtl w:val="0"/>
              </w:rPr>
              <w:t xml:space="preserve">Rest tremor amplitude, lip/jaw</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NP3RTALL</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III</w:t>
            </w:r>
          </w:p>
        </w:tc>
        <w:tc>
          <w:tcPr>
            <w:tcW w:w="2700" w:type="dxa"/>
            <w:shd w:val="clear" w:color="auto" w:fill="FDF3E7"/>
            <w:vAlign w:val="center"/>
          </w:tcPr>
          <w:p>
            <w:pPr>
              <w:spacing w:line="240" w:lineRule="auto"/>
              <w:jc w:val="left"/>
            </w:pPr>
            <w:r>
              <w:rPr>
                <w:sz w:val="15"/>
                <w:szCs w:val="15"/>
                <w:rtl w:val="0"/>
              </w:rPr>
              <w:t xml:space="preserve">Rest tremor amplitude, left lower limb</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NP3RTALU</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III</w:t>
            </w:r>
          </w:p>
        </w:tc>
        <w:tc>
          <w:tcPr>
            <w:tcW w:w="2700" w:type="dxa"/>
            <w:shd w:val="clear" w:color="auto" w:fill="FDF3E7"/>
            <w:vAlign w:val="center"/>
          </w:tcPr>
          <w:p>
            <w:pPr>
              <w:spacing w:line="240" w:lineRule="auto"/>
              <w:jc w:val="left"/>
            </w:pPr>
            <w:r>
              <w:rPr>
                <w:sz w:val="15"/>
                <w:szCs w:val="15"/>
                <w:rtl w:val="0"/>
              </w:rPr>
              <w:t xml:space="preserve">Rest tremor amplitude, left upper limb</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NP3RTARL</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III</w:t>
            </w:r>
          </w:p>
        </w:tc>
        <w:tc>
          <w:tcPr>
            <w:tcW w:w="2700" w:type="dxa"/>
            <w:shd w:val="clear" w:color="auto" w:fill="FDF3E7"/>
            <w:vAlign w:val="center"/>
          </w:tcPr>
          <w:p>
            <w:pPr>
              <w:spacing w:line="240" w:lineRule="auto"/>
              <w:jc w:val="left"/>
            </w:pPr>
            <w:r>
              <w:rPr>
                <w:sz w:val="15"/>
                <w:szCs w:val="15"/>
                <w:rtl w:val="0"/>
              </w:rPr>
              <w:t xml:space="preserve">Rest tremor amplitude, right lower limb</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NP3RTARU</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III</w:t>
            </w:r>
          </w:p>
        </w:tc>
        <w:tc>
          <w:tcPr>
            <w:tcW w:w="2700" w:type="dxa"/>
            <w:shd w:val="clear" w:color="auto" w:fill="FDF3E7"/>
            <w:vAlign w:val="center"/>
          </w:tcPr>
          <w:p>
            <w:pPr>
              <w:spacing w:line="240" w:lineRule="auto"/>
              <w:jc w:val="left"/>
            </w:pPr>
            <w:r>
              <w:rPr>
                <w:sz w:val="15"/>
                <w:szCs w:val="15"/>
                <w:rtl w:val="0"/>
              </w:rPr>
              <w:t xml:space="preserve">Rest tremor amplitude, right upper limb</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NP3RTCON</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III</w:t>
            </w:r>
          </w:p>
        </w:tc>
        <w:tc>
          <w:tcPr>
            <w:tcW w:w="2700" w:type="dxa"/>
            <w:shd w:val="clear" w:color="auto" w:fill="FDF3E7"/>
            <w:vAlign w:val="center"/>
          </w:tcPr>
          <w:p>
            <w:pPr>
              <w:spacing w:line="240" w:lineRule="auto"/>
              <w:jc w:val="left"/>
            </w:pPr>
            <w:r>
              <w:rPr>
                <w:sz w:val="15"/>
                <w:szCs w:val="15"/>
                <w:rtl w:val="0"/>
              </w:rPr>
              <w:t xml:space="preserve">Constancy of rest tremor</w:t>
            </w:r>
          </w:p>
        </w:tc>
      </w:tr>
      <w:tr>
        <w:tc>
          <w:tcPr>
            <w:tcW w:w="1750" w:type="dxa"/>
            <w:shd w:val="clear" w:color="auto" w:fill="FDF3E7"/>
            <w:vAlign w:val="center"/>
          </w:tcPr>
          <w:p>
            <w:pPr>
              <w:spacing w:line="240" w:lineRule="auto"/>
              <w:jc w:val="left"/>
            </w:pPr>
            <w:r>
              <w:rPr>
                <w:rFonts w:ascii="Consolas" w:hAnsi="Consolas"/>
                <w:sz w:val="15"/>
                <w:szCs w:val="15"/>
                <w:rtl w:val="0"/>
              </w:rPr>
              <w:t xml:space="preserve">NP3TOT</w:t>
            </w:r>
          </w:p>
        </w:tc>
        <w:tc>
          <w:tcPr>
            <w:tcW w:w="1750" w:type="dxa"/>
            <w:shd w:val="clear" w:color="auto" w:fill="FDF3E7"/>
            <w:vAlign w:val="center"/>
          </w:tcPr>
          <w:p>
            <w:pPr>
              <w:spacing w:line="240" w:lineRule="auto"/>
              <w:jc w:val="left"/>
            </w:pPr>
            <w:r>
              <w:rPr>
                <w:sz w:val="15"/>
                <w:szCs w:val="15"/>
                <w:rtl w:val="0"/>
              </w:rPr>
              <w:t xml:space="preserve">Excluded — defines Y</w:t>
            </w:r>
          </w:p>
        </w:tc>
        <w:tc>
          <w:tcPr>
            <w:tcW w:w="2400" w:type="dxa"/>
            <w:shd w:val="clear" w:color="auto" w:fill="FDF3E7"/>
            <w:vAlign w:val="center"/>
          </w:tcPr>
          <w:p>
            <w:pPr>
              <w:spacing w:line="240" w:lineRule="auto"/>
              <w:jc w:val="left"/>
            </w:pPr>
            <w:r>
              <w:rPr>
                <w:sz w:val="15"/>
                <w:szCs w:val="15"/>
                <w:rtl w:val="0"/>
              </w:rPr>
              <w:t xml:space="preserve">MDS-UPDRS Part III</w:t>
            </w:r>
          </w:p>
        </w:tc>
        <w:tc>
          <w:tcPr>
            <w:tcW w:w="2700" w:type="dxa"/>
            <w:shd w:val="clear" w:color="auto" w:fill="FDF3E7"/>
            <w:vAlign w:val="center"/>
          </w:tcPr>
          <w:p>
            <w:pPr>
              <w:spacing w:line="240" w:lineRule="auto"/>
              <w:jc w:val="left"/>
            </w:pPr>
            <w:r>
              <w:rPr>
                <w:sz w:val="15"/>
                <w:szCs w:val="15"/>
                <w:rtl w:val="0"/>
              </w:rPr>
              <w:t xml:space="preserve">Part III total — contains the 13 items above</w:t>
            </w:r>
          </w:p>
        </w:tc>
      </w:tr>
      <w:tr>
        <w:tc>
          <w:tcPr>
            <w:tcW w:w="1750" w:type="dxa"/>
            <w:shd w:val="clear" w:color="auto" w:fill="F2F2F2"/>
            <w:vAlign w:val="center"/>
          </w:tcPr>
          <w:p>
            <w:pPr>
              <w:spacing w:line="240" w:lineRule="auto"/>
              <w:jc w:val="left"/>
            </w:pPr>
            <w:r>
              <w:rPr>
                <w:rFonts w:ascii="Consolas" w:hAnsi="Consolas"/>
                <w:sz w:val="15"/>
                <w:szCs w:val="15"/>
                <w:rtl w:val="0"/>
              </w:rPr>
              <w:t xml:space="preserve">APOE</w:t>
            </w:r>
          </w:p>
        </w:tc>
        <w:tc>
          <w:tcPr>
            <w:tcW w:w="1750" w:type="dxa"/>
            <w:shd w:val="clear" w:color="auto" w:fill="F2F2F2"/>
            <w:vAlign w:val="center"/>
          </w:tcPr>
          <w:p>
            <w:pPr>
              <w:spacing w:line="240" w:lineRule="auto"/>
              <w:jc w:val="left"/>
            </w:pPr>
            <w:r>
              <w:rPr>
                <w:sz w:val="15"/>
                <w:szCs w:val="15"/>
                <w:rtl w:val="0"/>
              </w:rPr>
              <w:t xml:space="preserve">Excluded — optional</w:t>
            </w:r>
          </w:p>
        </w:tc>
        <w:tc>
          <w:tcPr>
            <w:tcW w:w="2400" w:type="dxa"/>
            <w:shd w:val="clear" w:color="auto" w:fill="F2F2F2"/>
            <w:vAlign w:val="center"/>
          </w:tcPr>
          <w:p>
            <w:pPr>
              <w:spacing w:line="240" w:lineRule="auto"/>
              <w:jc w:val="left"/>
            </w:pPr>
            <w:r>
              <w:rPr>
                <w:sz w:val="15"/>
                <w:szCs w:val="15"/>
                <w:rtl w:val="0"/>
              </w:rPr>
              <w:t xml:space="preserve">IU Genetic Consensus</w:t>
            </w:r>
          </w:p>
        </w:tc>
        <w:tc>
          <w:tcPr>
            <w:tcW w:w="2700" w:type="dxa"/>
            <w:shd w:val="clear" w:color="auto" w:fill="F2F2F2"/>
            <w:vAlign w:val="center"/>
          </w:tcPr>
          <w:p>
            <w:pPr>
              <w:spacing w:line="240" w:lineRule="auto"/>
              <w:jc w:val="left"/>
            </w:pPr>
            <w:r>
              <w:rPr>
                <w:sz w:val="15"/>
                <w:szCs w:val="15"/>
                <w:rtl w:val="0"/>
              </w:rPr>
              <w:t xml:space="preserve">APOE genotype</w:t>
            </w:r>
          </w:p>
        </w:tc>
      </w:tr>
      <w:tr>
        <w:tc>
          <w:tcPr>
            <w:tcW w:w="1750" w:type="dxa"/>
            <w:shd w:val="clear" w:color="auto" w:fill="F2F2F2"/>
            <w:vAlign w:val="center"/>
          </w:tcPr>
          <w:p>
            <w:pPr>
              <w:spacing w:line="240" w:lineRule="auto"/>
              <w:jc w:val="left"/>
            </w:pPr>
            <w:r>
              <w:rPr>
                <w:rFonts w:ascii="Consolas" w:hAnsi="Consolas"/>
                <w:sz w:val="15"/>
                <w:szCs w:val="15"/>
                <w:rtl w:val="0"/>
              </w:rPr>
              <w:t xml:space="preserve">CAUDATE_REF_CWM</w:t>
            </w:r>
          </w:p>
        </w:tc>
        <w:tc>
          <w:tcPr>
            <w:tcW w:w="1750" w:type="dxa"/>
            <w:shd w:val="clear" w:color="auto" w:fill="F2F2F2"/>
            <w:vAlign w:val="center"/>
          </w:tcPr>
          <w:p>
            <w:pPr>
              <w:spacing w:line="240" w:lineRule="auto"/>
              <w:jc w:val="left"/>
            </w:pPr>
            <w:r>
              <w:rPr>
                <w:sz w:val="15"/>
                <w:szCs w:val="15"/>
                <w:rtl w:val="0"/>
              </w:rPr>
              <w:t xml:space="preserve">Excluded — optional</w:t>
            </w:r>
          </w:p>
        </w:tc>
        <w:tc>
          <w:tcPr>
            <w:tcW w:w="2400" w:type="dxa"/>
            <w:shd w:val="clear" w:color="auto" w:fill="F2F2F2"/>
            <w:vAlign w:val="center"/>
          </w:tcPr>
          <w:p>
            <w:pPr>
              <w:spacing w:line="240" w:lineRule="auto"/>
              <w:jc w:val="left"/>
            </w:pPr>
            <w:r>
              <w:rPr>
                <w:sz w:val="15"/>
                <w:szCs w:val="15"/>
                <w:rtl w:val="0"/>
              </w:rPr>
              <w:t xml:space="preserve">Xing Core Lab Quant SBR</w:t>
            </w:r>
          </w:p>
        </w:tc>
        <w:tc>
          <w:tcPr>
            <w:tcW w:w="2700" w:type="dxa"/>
            <w:shd w:val="clear" w:color="auto" w:fill="F2F2F2"/>
            <w:vAlign w:val="center"/>
          </w:tcPr>
          <w:p>
            <w:pPr>
              <w:spacing w:line="240" w:lineRule="auto"/>
              <w:jc w:val="left"/>
            </w:pPr>
            <w:r>
              <w:rPr>
                <w:sz w:val="15"/>
                <w:szCs w:val="15"/>
                <w:rtl w:val="0"/>
              </w:rPr>
              <w:t xml:space="preserve">DaTscan caudate binding ratio</w:t>
            </w:r>
          </w:p>
        </w:tc>
      </w:tr>
      <w:tr>
        <w:tc>
          <w:tcPr>
            <w:tcW w:w="1750" w:type="dxa"/>
            <w:shd w:val="clear" w:color="auto" w:fill="F2F2F2"/>
            <w:vAlign w:val="center"/>
          </w:tcPr>
          <w:p>
            <w:pPr>
              <w:spacing w:line="240" w:lineRule="auto"/>
              <w:jc w:val="left"/>
            </w:pPr>
            <w:r>
              <w:rPr>
                <w:rFonts w:ascii="Consolas" w:hAnsi="Consolas"/>
                <w:sz w:val="15"/>
                <w:szCs w:val="15"/>
                <w:rtl w:val="0"/>
              </w:rPr>
              <w:t xml:space="preserve">DATSCAN_VISINTRP</w:t>
            </w:r>
          </w:p>
        </w:tc>
        <w:tc>
          <w:tcPr>
            <w:tcW w:w="1750" w:type="dxa"/>
            <w:shd w:val="clear" w:color="auto" w:fill="F2F2F2"/>
            <w:vAlign w:val="center"/>
          </w:tcPr>
          <w:p>
            <w:pPr>
              <w:spacing w:line="240" w:lineRule="auto"/>
              <w:jc w:val="left"/>
            </w:pPr>
            <w:r>
              <w:rPr>
                <w:sz w:val="15"/>
                <w:szCs w:val="15"/>
                <w:rtl w:val="0"/>
              </w:rPr>
              <w:t xml:space="preserve">Excluded — optional</w:t>
            </w:r>
          </w:p>
        </w:tc>
        <w:tc>
          <w:tcPr>
            <w:tcW w:w="2400" w:type="dxa"/>
            <w:shd w:val="clear" w:color="auto" w:fill="F2F2F2"/>
            <w:vAlign w:val="center"/>
          </w:tcPr>
          <w:p>
            <w:pPr>
              <w:spacing w:line="240" w:lineRule="auto"/>
              <w:jc w:val="left"/>
            </w:pPr>
            <w:r>
              <w:rPr>
                <w:sz w:val="15"/>
                <w:szCs w:val="15"/>
                <w:rtl w:val="0"/>
              </w:rPr>
              <w:t xml:space="preserve">Xing Core Lab Visual Read</w:t>
            </w:r>
          </w:p>
        </w:tc>
        <w:tc>
          <w:tcPr>
            <w:tcW w:w="2700" w:type="dxa"/>
            <w:shd w:val="clear" w:color="auto" w:fill="F2F2F2"/>
            <w:vAlign w:val="center"/>
          </w:tcPr>
          <w:p>
            <w:pPr>
              <w:spacing w:line="240" w:lineRule="auto"/>
              <w:jc w:val="left"/>
            </w:pPr>
            <w:r>
              <w:rPr>
                <w:sz w:val="15"/>
                <w:szCs w:val="15"/>
                <w:rtl w:val="0"/>
              </w:rPr>
              <w:t xml:space="preserve">DaTscan visual read</w:t>
            </w:r>
          </w:p>
        </w:tc>
      </w:tr>
      <w:tr>
        <w:tc>
          <w:tcPr>
            <w:tcW w:w="1750" w:type="dxa"/>
            <w:shd w:val="clear" w:color="auto" w:fill="F2F2F2"/>
            <w:vAlign w:val="center"/>
          </w:tcPr>
          <w:p>
            <w:pPr>
              <w:spacing w:line="240" w:lineRule="auto"/>
              <w:jc w:val="left"/>
            </w:pPr>
            <w:r>
              <w:rPr>
                <w:rFonts w:ascii="Consolas" w:hAnsi="Consolas"/>
                <w:sz w:val="15"/>
                <w:szCs w:val="15"/>
                <w:rtl w:val="0"/>
              </w:rPr>
              <w:t xml:space="preserve">GBA</w:t>
            </w:r>
          </w:p>
        </w:tc>
        <w:tc>
          <w:tcPr>
            <w:tcW w:w="1750" w:type="dxa"/>
            <w:shd w:val="clear" w:color="auto" w:fill="F2F2F2"/>
            <w:vAlign w:val="center"/>
          </w:tcPr>
          <w:p>
            <w:pPr>
              <w:spacing w:line="240" w:lineRule="auto"/>
              <w:jc w:val="left"/>
            </w:pPr>
            <w:r>
              <w:rPr>
                <w:sz w:val="15"/>
                <w:szCs w:val="15"/>
                <w:rtl w:val="0"/>
              </w:rPr>
              <w:t xml:space="preserve">Excluded — optional</w:t>
            </w:r>
          </w:p>
        </w:tc>
        <w:tc>
          <w:tcPr>
            <w:tcW w:w="2400" w:type="dxa"/>
            <w:shd w:val="clear" w:color="auto" w:fill="F2F2F2"/>
            <w:vAlign w:val="center"/>
          </w:tcPr>
          <w:p>
            <w:pPr>
              <w:spacing w:line="240" w:lineRule="auto"/>
              <w:jc w:val="left"/>
            </w:pPr>
            <w:r>
              <w:rPr>
                <w:sz w:val="15"/>
                <w:szCs w:val="15"/>
                <w:rtl w:val="0"/>
              </w:rPr>
              <w:t xml:space="preserve">IU Genetic Consensus</w:t>
            </w:r>
          </w:p>
        </w:tc>
        <w:tc>
          <w:tcPr>
            <w:tcW w:w="2700" w:type="dxa"/>
            <w:shd w:val="clear" w:color="auto" w:fill="F2F2F2"/>
            <w:vAlign w:val="center"/>
          </w:tcPr>
          <w:p>
            <w:pPr>
              <w:spacing w:line="240" w:lineRule="auto"/>
              <w:jc w:val="left"/>
            </w:pPr>
            <w:r>
              <w:rPr>
                <w:sz w:val="15"/>
                <w:szCs w:val="15"/>
                <w:rtl w:val="0"/>
              </w:rPr>
              <w:t xml:space="preserve">GBA variant status</w:t>
            </w:r>
          </w:p>
        </w:tc>
      </w:tr>
      <w:tr>
        <w:tc>
          <w:tcPr>
            <w:tcW w:w="1750" w:type="dxa"/>
            <w:shd w:val="clear" w:color="auto" w:fill="F2F2F2"/>
            <w:vAlign w:val="center"/>
          </w:tcPr>
          <w:p>
            <w:pPr>
              <w:spacing w:line="240" w:lineRule="auto"/>
              <w:jc w:val="left"/>
            </w:pPr>
            <w:r>
              <w:rPr>
                <w:rFonts w:ascii="Consolas" w:hAnsi="Consolas"/>
                <w:sz w:val="15"/>
                <w:szCs w:val="15"/>
                <w:rtl w:val="0"/>
              </w:rPr>
              <w:t xml:space="preserve">LRRK2</w:t>
            </w:r>
          </w:p>
        </w:tc>
        <w:tc>
          <w:tcPr>
            <w:tcW w:w="1750" w:type="dxa"/>
            <w:shd w:val="clear" w:color="auto" w:fill="F2F2F2"/>
            <w:vAlign w:val="center"/>
          </w:tcPr>
          <w:p>
            <w:pPr>
              <w:spacing w:line="240" w:lineRule="auto"/>
              <w:jc w:val="left"/>
            </w:pPr>
            <w:r>
              <w:rPr>
                <w:sz w:val="15"/>
                <w:szCs w:val="15"/>
                <w:rtl w:val="0"/>
              </w:rPr>
              <w:t xml:space="preserve">Excluded — optional</w:t>
            </w:r>
          </w:p>
        </w:tc>
        <w:tc>
          <w:tcPr>
            <w:tcW w:w="2400" w:type="dxa"/>
            <w:shd w:val="clear" w:color="auto" w:fill="F2F2F2"/>
            <w:vAlign w:val="center"/>
          </w:tcPr>
          <w:p>
            <w:pPr>
              <w:spacing w:line="240" w:lineRule="auto"/>
              <w:jc w:val="left"/>
            </w:pPr>
            <w:r>
              <w:rPr>
                <w:sz w:val="15"/>
                <w:szCs w:val="15"/>
                <w:rtl w:val="0"/>
              </w:rPr>
              <w:t xml:space="preserve">IU Genetic Consensus</w:t>
            </w:r>
          </w:p>
        </w:tc>
        <w:tc>
          <w:tcPr>
            <w:tcW w:w="2700" w:type="dxa"/>
            <w:shd w:val="clear" w:color="auto" w:fill="F2F2F2"/>
            <w:vAlign w:val="center"/>
          </w:tcPr>
          <w:p>
            <w:pPr>
              <w:spacing w:line="240" w:lineRule="auto"/>
              <w:jc w:val="left"/>
            </w:pPr>
            <w:r>
              <w:rPr>
                <w:sz w:val="15"/>
                <w:szCs w:val="15"/>
                <w:rtl w:val="0"/>
              </w:rPr>
              <w:t xml:space="preserve">LRRK2 variant status</w:t>
            </w:r>
          </w:p>
        </w:tc>
      </w:tr>
      <w:tr>
        <w:tc>
          <w:tcPr>
            <w:tcW w:w="1750" w:type="dxa"/>
            <w:shd w:val="clear" w:color="auto" w:fill="F2F2F2"/>
            <w:vAlign w:val="center"/>
          </w:tcPr>
          <w:p>
            <w:pPr>
              <w:spacing w:line="240" w:lineRule="auto"/>
              <w:jc w:val="left"/>
            </w:pPr>
            <w:r>
              <w:rPr>
                <w:rFonts w:ascii="Consolas" w:hAnsi="Consolas"/>
                <w:sz w:val="15"/>
                <w:szCs w:val="15"/>
                <w:rtl w:val="0"/>
              </w:rPr>
              <w:t xml:space="preserve">PARK7</w:t>
            </w:r>
          </w:p>
        </w:tc>
        <w:tc>
          <w:tcPr>
            <w:tcW w:w="1750" w:type="dxa"/>
            <w:shd w:val="clear" w:color="auto" w:fill="F2F2F2"/>
            <w:vAlign w:val="center"/>
          </w:tcPr>
          <w:p>
            <w:pPr>
              <w:spacing w:line="240" w:lineRule="auto"/>
              <w:jc w:val="left"/>
            </w:pPr>
            <w:r>
              <w:rPr>
                <w:sz w:val="15"/>
                <w:szCs w:val="15"/>
                <w:rtl w:val="0"/>
              </w:rPr>
              <w:t xml:space="preserve">Excluded — optional</w:t>
            </w:r>
          </w:p>
        </w:tc>
        <w:tc>
          <w:tcPr>
            <w:tcW w:w="2400" w:type="dxa"/>
            <w:shd w:val="clear" w:color="auto" w:fill="F2F2F2"/>
            <w:vAlign w:val="center"/>
          </w:tcPr>
          <w:p>
            <w:pPr>
              <w:spacing w:line="240" w:lineRule="auto"/>
              <w:jc w:val="left"/>
            </w:pPr>
            <w:r>
              <w:rPr>
                <w:sz w:val="15"/>
                <w:szCs w:val="15"/>
                <w:rtl w:val="0"/>
              </w:rPr>
              <w:t xml:space="preserve">IU Genetic Consensus</w:t>
            </w:r>
          </w:p>
        </w:tc>
        <w:tc>
          <w:tcPr>
            <w:tcW w:w="2700" w:type="dxa"/>
            <w:shd w:val="clear" w:color="auto" w:fill="F2F2F2"/>
            <w:vAlign w:val="center"/>
          </w:tcPr>
          <w:p>
            <w:pPr>
              <w:spacing w:line="240" w:lineRule="auto"/>
              <w:jc w:val="left"/>
            </w:pPr>
            <w:r>
              <w:rPr>
                <w:sz w:val="15"/>
                <w:szCs w:val="15"/>
                <w:rtl w:val="0"/>
              </w:rPr>
              <w:t xml:space="preserve">PARK7 variant status</w:t>
            </w:r>
          </w:p>
        </w:tc>
      </w:tr>
      <w:tr>
        <w:tc>
          <w:tcPr>
            <w:tcW w:w="1750" w:type="dxa"/>
            <w:shd w:val="clear" w:color="auto" w:fill="F2F2F2"/>
            <w:vAlign w:val="center"/>
          </w:tcPr>
          <w:p>
            <w:pPr>
              <w:spacing w:line="240" w:lineRule="auto"/>
              <w:jc w:val="left"/>
            </w:pPr>
            <w:r>
              <w:rPr>
                <w:rFonts w:ascii="Consolas" w:hAnsi="Consolas"/>
                <w:sz w:val="15"/>
                <w:szCs w:val="15"/>
                <w:rtl w:val="0"/>
              </w:rPr>
              <w:t xml:space="preserve">PINK1</w:t>
            </w:r>
          </w:p>
        </w:tc>
        <w:tc>
          <w:tcPr>
            <w:tcW w:w="1750" w:type="dxa"/>
            <w:shd w:val="clear" w:color="auto" w:fill="F2F2F2"/>
            <w:vAlign w:val="center"/>
          </w:tcPr>
          <w:p>
            <w:pPr>
              <w:spacing w:line="240" w:lineRule="auto"/>
              <w:jc w:val="left"/>
            </w:pPr>
            <w:r>
              <w:rPr>
                <w:sz w:val="15"/>
                <w:szCs w:val="15"/>
                <w:rtl w:val="0"/>
              </w:rPr>
              <w:t xml:space="preserve">Excluded — optional</w:t>
            </w:r>
          </w:p>
        </w:tc>
        <w:tc>
          <w:tcPr>
            <w:tcW w:w="2400" w:type="dxa"/>
            <w:shd w:val="clear" w:color="auto" w:fill="F2F2F2"/>
            <w:vAlign w:val="center"/>
          </w:tcPr>
          <w:p>
            <w:pPr>
              <w:spacing w:line="240" w:lineRule="auto"/>
              <w:jc w:val="left"/>
            </w:pPr>
            <w:r>
              <w:rPr>
                <w:sz w:val="15"/>
                <w:szCs w:val="15"/>
                <w:rtl w:val="0"/>
              </w:rPr>
              <w:t xml:space="preserve">IU Genetic Consensus</w:t>
            </w:r>
          </w:p>
        </w:tc>
        <w:tc>
          <w:tcPr>
            <w:tcW w:w="2700" w:type="dxa"/>
            <w:shd w:val="clear" w:color="auto" w:fill="F2F2F2"/>
            <w:vAlign w:val="center"/>
          </w:tcPr>
          <w:p>
            <w:pPr>
              <w:spacing w:line="240" w:lineRule="auto"/>
              <w:jc w:val="left"/>
            </w:pPr>
            <w:r>
              <w:rPr>
                <w:sz w:val="15"/>
                <w:szCs w:val="15"/>
                <w:rtl w:val="0"/>
              </w:rPr>
              <w:t xml:space="preserve">PINK1 variant status</w:t>
            </w:r>
          </w:p>
        </w:tc>
      </w:tr>
      <w:tr>
        <w:tc>
          <w:tcPr>
            <w:tcW w:w="1750" w:type="dxa"/>
            <w:shd w:val="clear" w:color="auto" w:fill="F2F2F2"/>
            <w:vAlign w:val="center"/>
          </w:tcPr>
          <w:p>
            <w:pPr>
              <w:spacing w:line="240" w:lineRule="auto"/>
              <w:jc w:val="left"/>
            </w:pPr>
            <w:r>
              <w:rPr>
                <w:rFonts w:ascii="Consolas" w:hAnsi="Consolas"/>
                <w:sz w:val="15"/>
                <w:szCs w:val="15"/>
                <w:rtl w:val="0"/>
              </w:rPr>
              <w:t xml:space="preserve">PRKN</w:t>
            </w:r>
          </w:p>
        </w:tc>
        <w:tc>
          <w:tcPr>
            <w:tcW w:w="1750" w:type="dxa"/>
            <w:shd w:val="clear" w:color="auto" w:fill="F2F2F2"/>
            <w:vAlign w:val="center"/>
          </w:tcPr>
          <w:p>
            <w:pPr>
              <w:spacing w:line="240" w:lineRule="auto"/>
              <w:jc w:val="left"/>
            </w:pPr>
            <w:r>
              <w:rPr>
                <w:sz w:val="15"/>
                <w:szCs w:val="15"/>
                <w:rtl w:val="0"/>
              </w:rPr>
              <w:t xml:space="preserve">Excluded — optional</w:t>
            </w:r>
          </w:p>
        </w:tc>
        <w:tc>
          <w:tcPr>
            <w:tcW w:w="2400" w:type="dxa"/>
            <w:shd w:val="clear" w:color="auto" w:fill="F2F2F2"/>
            <w:vAlign w:val="center"/>
          </w:tcPr>
          <w:p>
            <w:pPr>
              <w:spacing w:line="240" w:lineRule="auto"/>
              <w:jc w:val="left"/>
            </w:pPr>
            <w:r>
              <w:rPr>
                <w:sz w:val="15"/>
                <w:szCs w:val="15"/>
                <w:rtl w:val="0"/>
              </w:rPr>
              <w:t xml:space="preserve">IU Genetic Consensus</w:t>
            </w:r>
          </w:p>
        </w:tc>
        <w:tc>
          <w:tcPr>
            <w:tcW w:w="2700" w:type="dxa"/>
            <w:shd w:val="clear" w:color="auto" w:fill="F2F2F2"/>
            <w:vAlign w:val="center"/>
          </w:tcPr>
          <w:p>
            <w:pPr>
              <w:spacing w:line="240" w:lineRule="auto"/>
              <w:jc w:val="left"/>
            </w:pPr>
            <w:r>
              <w:rPr>
                <w:sz w:val="15"/>
                <w:szCs w:val="15"/>
                <w:rtl w:val="0"/>
              </w:rPr>
              <w:t xml:space="preserve">PRKN variant status</w:t>
            </w:r>
          </w:p>
        </w:tc>
      </w:tr>
      <w:tr>
        <w:tc>
          <w:tcPr>
            <w:tcW w:w="1750" w:type="dxa"/>
            <w:shd w:val="clear" w:color="auto" w:fill="F2F2F2"/>
            <w:vAlign w:val="center"/>
          </w:tcPr>
          <w:p>
            <w:pPr>
              <w:spacing w:line="240" w:lineRule="auto"/>
              <w:jc w:val="left"/>
            </w:pPr>
            <w:r>
              <w:rPr>
                <w:rFonts w:ascii="Consolas" w:hAnsi="Consolas"/>
                <w:sz w:val="15"/>
                <w:szCs w:val="15"/>
                <w:rtl w:val="0"/>
              </w:rPr>
              <w:t xml:space="preserve">PUTAMEN_REF_CWM</w:t>
            </w:r>
          </w:p>
        </w:tc>
        <w:tc>
          <w:tcPr>
            <w:tcW w:w="1750" w:type="dxa"/>
            <w:shd w:val="clear" w:color="auto" w:fill="F2F2F2"/>
            <w:vAlign w:val="center"/>
          </w:tcPr>
          <w:p>
            <w:pPr>
              <w:spacing w:line="240" w:lineRule="auto"/>
              <w:jc w:val="left"/>
            </w:pPr>
            <w:r>
              <w:rPr>
                <w:sz w:val="15"/>
                <w:szCs w:val="15"/>
                <w:rtl w:val="0"/>
              </w:rPr>
              <w:t xml:space="preserve">Excluded — optional</w:t>
            </w:r>
          </w:p>
        </w:tc>
        <w:tc>
          <w:tcPr>
            <w:tcW w:w="2400" w:type="dxa"/>
            <w:shd w:val="clear" w:color="auto" w:fill="F2F2F2"/>
            <w:vAlign w:val="center"/>
          </w:tcPr>
          <w:p>
            <w:pPr>
              <w:spacing w:line="240" w:lineRule="auto"/>
              <w:jc w:val="left"/>
            </w:pPr>
            <w:r>
              <w:rPr>
                <w:sz w:val="15"/>
                <w:szCs w:val="15"/>
                <w:rtl w:val="0"/>
              </w:rPr>
              <w:t xml:space="preserve">Xing Core Lab Quant SBR</w:t>
            </w:r>
          </w:p>
        </w:tc>
        <w:tc>
          <w:tcPr>
            <w:tcW w:w="2700" w:type="dxa"/>
            <w:shd w:val="clear" w:color="auto" w:fill="F2F2F2"/>
            <w:vAlign w:val="center"/>
          </w:tcPr>
          <w:p>
            <w:pPr>
              <w:spacing w:line="240" w:lineRule="auto"/>
              <w:jc w:val="left"/>
            </w:pPr>
            <w:r>
              <w:rPr>
                <w:sz w:val="15"/>
                <w:szCs w:val="15"/>
                <w:rtl w:val="0"/>
              </w:rPr>
              <w:t xml:space="preserve">DaTscan putamen binding ratio</w:t>
            </w:r>
          </w:p>
        </w:tc>
      </w:tr>
      <w:tr>
        <w:tc>
          <w:tcPr>
            <w:tcW w:w="1750" w:type="dxa"/>
            <w:shd w:val="clear" w:color="auto" w:fill="F2F2F2"/>
            <w:vAlign w:val="center"/>
          </w:tcPr>
          <w:p>
            <w:pPr>
              <w:spacing w:line="240" w:lineRule="auto"/>
              <w:jc w:val="left"/>
            </w:pPr>
            <w:r>
              <w:rPr>
                <w:rFonts w:ascii="Consolas" w:hAnsi="Consolas"/>
                <w:sz w:val="15"/>
                <w:szCs w:val="15"/>
                <w:rtl w:val="0"/>
              </w:rPr>
              <w:t xml:space="preserve">SNCA</w:t>
            </w:r>
          </w:p>
        </w:tc>
        <w:tc>
          <w:tcPr>
            <w:tcW w:w="1750" w:type="dxa"/>
            <w:shd w:val="clear" w:color="auto" w:fill="F2F2F2"/>
            <w:vAlign w:val="center"/>
          </w:tcPr>
          <w:p>
            <w:pPr>
              <w:spacing w:line="240" w:lineRule="auto"/>
              <w:jc w:val="left"/>
            </w:pPr>
            <w:r>
              <w:rPr>
                <w:sz w:val="15"/>
                <w:szCs w:val="15"/>
                <w:rtl w:val="0"/>
              </w:rPr>
              <w:t xml:space="preserve">Excluded — optional</w:t>
            </w:r>
          </w:p>
        </w:tc>
        <w:tc>
          <w:tcPr>
            <w:tcW w:w="2400" w:type="dxa"/>
            <w:shd w:val="clear" w:color="auto" w:fill="F2F2F2"/>
            <w:vAlign w:val="center"/>
          </w:tcPr>
          <w:p>
            <w:pPr>
              <w:spacing w:line="240" w:lineRule="auto"/>
              <w:jc w:val="left"/>
            </w:pPr>
            <w:r>
              <w:rPr>
                <w:sz w:val="15"/>
                <w:szCs w:val="15"/>
                <w:rtl w:val="0"/>
              </w:rPr>
              <w:t xml:space="preserve">IU Genetic Consensus</w:t>
            </w:r>
          </w:p>
        </w:tc>
        <w:tc>
          <w:tcPr>
            <w:tcW w:w="2700" w:type="dxa"/>
            <w:shd w:val="clear" w:color="auto" w:fill="F2F2F2"/>
            <w:vAlign w:val="center"/>
          </w:tcPr>
          <w:p>
            <w:pPr>
              <w:spacing w:line="240" w:lineRule="auto"/>
              <w:jc w:val="left"/>
            </w:pPr>
            <w:r>
              <w:rPr>
                <w:sz w:val="15"/>
                <w:szCs w:val="15"/>
                <w:rtl w:val="0"/>
              </w:rPr>
              <w:t xml:space="preserve">SNCA variant status</w:t>
            </w:r>
          </w:p>
        </w:tc>
      </w:tr>
      <w:tr>
        <w:tc>
          <w:tcPr>
            <w:tcW w:w="1750" w:type="dxa"/>
            <w:shd w:val="clear" w:color="auto" w:fill="F2F2F2"/>
            <w:vAlign w:val="center"/>
          </w:tcPr>
          <w:p>
            <w:pPr>
              <w:spacing w:line="240" w:lineRule="auto"/>
              <w:jc w:val="left"/>
            </w:pPr>
            <w:r>
              <w:rPr>
                <w:rFonts w:ascii="Consolas" w:hAnsi="Consolas"/>
                <w:sz w:val="15"/>
                <w:szCs w:val="15"/>
                <w:rtl w:val="0"/>
              </w:rPr>
              <w:t xml:space="preserve">STRIATUM_REF_CWM</w:t>
            </w:r>
          </w:p>
        </w:tc>
        <w:tc>
          <w:tcPr>
            <w:tcW w:w="1750" w:type="dxa"/>
            <w:shd w:val="clear" w:color="auto" w:fill="F2F2F2"/>
            <w:vAlign w:val="center"/>
          </w:tcPr>
          <w:p>
            <w:pPr>
              <w:spacing w:line="240" w:lineRule="auto"/>
              <w:jc w:val="left"/>
            </w:pPr>
            <w:r>
              <w:rPr>
                <w:sz w:val="15"/>
                <w:szCs w:val="15"/>
                <w:rtl w:val="0"/>
              </w:rPr>
              <w:t xml:space="preserve">Excluded — optional</w:t>
            </w:r>
          </w:p>
        </w:tc>
        <w:tc>
          <w:tcPr>
            <w:tcW w:w="2400" w:type="dxa"/>
            <w:shd w:val="clear" w:color="auto" w:fill="F2F2F2"/>
            <w:vAlign w:val="center"/>
          </w:tcPr>
          <w:p>
            <w:pPr>
              <w:spacing w:line="240" w:lineRule="auto"/>
              <w:jc w:val="left"/>
            </w:pPr>
            <w:r>
              <w:rPr>
                <w:sz w:val="15"/>
                <w:szCs w:val="15"/>
                <w:rtl w:val="0"/>
              </w:rPr>
              <w:t xml:space="preserve">Xing Core Lab Quant SBR</w:t>
            </w:r>
          </w:p>
        </w:tc>
        <w:tc>
          <w:tcPr>
            <w:tcW w:w="2700" w:type="dxa"/>
            <w:shd w:val="clear" w:color="auto" w:fill="F2F2F2"/>
            <w:vAlign w:val="center"/>
          </w:tcPr>
          <w:p>
            <w:pPr>
              <w:spacing w:line="240" w:lineRule="auto"/>
              <w:jc w:val="left"/>
            </w:pPr>
            <w:r>
              <w:rPr>
                <w:sz w:val="15"/>
                <w:szCs w:val="15"/>
                <w:rtl w:val="0"/>
              </w:rPr>
              <w:t xml:space="preserve">DaTscan striatum binding ratio</w:t>
            </w:r>
          </w:p>
        </w:tc>
      </w:tr>
      <w:tr>
        <w:tc>
          <w:tcPr>
            <w:tcW w:w="1750" w:type="dxa"/>
            <w:shd w:val="clear" w:color="auto" w:fill="F2F2F2"/>
            <w:vAlign w:val="center"/>
          </w:tcPr>
          <w:p>
            <w:pPr>
              <w:spacing w:line="240" w:lineRule="auto"/>
              <w:jc w:val="left"/>
            </w:pPr>
            <w:r>
              <w:rPr>
                <w:rFonts w:ascii="Consolas" w:hAnsi="Consolas"/>
                <w:sz w:val="15"/>
                <w:szCs w:val="15"/>
                <w:rtl w:val="0"/>
              </w:rPr>
              <w:t xml:space="preserve">VPS35</w:t>
            </w:r>
          </w:p>
        </w:tc>
        <w:tc>
          <w:tcPr>
            <w:tcW w:w="1750" w:type="dxa"/>
            <w:shd w:val="clear" w:color="auto" w:fill="F2F2F2"/>
            <w:vAlign w:val="center"/>
          </w:tcPr>
          <w:p>
            <w:pPr>
              <w:spacing w:line="240" w:lineRule="auto"/>
              <w:jc w:val="left"/>
            </w:pPr>
            <w:r>
              <w:rPr>
                <w:sz w:val="15"/>
                <w:szCs w:val="15"/>
                <w:rtl w:val="0"/>
              </w:rPr>
              <w:t xml:space="preserve">Excluded — optional</w:t>
            </w:r>
          </w:p>
        </w:tc>
        <w:tc>
          <w:tcPr>
            <w:tcW w:w="2400" w:type="dxa"/>
            <w:shd w:val="clear" w:color="auto" w:fill="F2F2F2"/>
            <w:vAlign w:val="center"/>
          </w:tcPr>
          <w:p>
            <w:pPr>
              <w:spacing w:line="240" w:lineRule="auto"/>
              <w:jc w:val="left"/>
            </w:pPr>
            <w:r>
              <w:rPr>
                <w:sz w:val="15"/>
                <w:szCs w:val="15"/>
                <w:rtl w:val="0"/>
              </w:rPr>
              <w:t xml:space="preserve">IU Genetic Consensus</w:t>
            </w:r>
          </w:p>
        </w:tc>
        <w:tc>
          <w:tcPr>
            <w:tcW w:w="2700" w:type="dxa"/>
            <w:shd w:val="clear" w:color="auto" w:fill="F2F2F2"/>
            <w:vAlign w:val="center"/>
          </w:tcPr>
          <w:p>
            <w:pPr>
              <w:spacing w:line="240" w:lineRule="auto"/>
              <w:jc w:val="left"/>
            </w:pPr>
            <w:r>
              <w:rPr>
                <w:sz w:val="15"/>
                <w:szCs w:val="15"/>
                <w:rtl w:val="0"/>
              </w:rPr>
              <w:t xml:space="preserve">VPS35 variant status</w:t>
            </w:r>
          </w:p>
        </w:tc>
      </w:tr>
      <w:tr>
        <w:tc>
          <w:tcPr>
            <w:tcW w:w="1750" w:type="dxa"/>
            <w:shd w:val="clear" w:color="auto" w:fill="F2F2F2"/>
            <w:vAlign w:val="center"/>
          </w:tcPr>
          <w:p>
            <w:pPr>
              <w:spacing w:line="240" w:lineRule="auto"/>
              <w:jc w:val="left"/>
            </w:pPr>
            <w:r>
              <w:rPr>
                <w:rFonts w:ascii="Consolas" w:hAnsi="Consolas"/>
                <w:sz w:val="15"/>
                <w:szCs w:val="15"/>
                <w:rtl w:val="0"/>
              </w:rPr>
              <w:t xml:space="preserve">EVENT_ID</w:t>
            </w:r>
          </w:p>
        </w:tc>
        <w:tc>
          <w:tcPr>
            <w:tcW w:w="1750" w:type="dxa"/>
            <w:shd w:val="clear" w:color="auto" w:fill="F2F2F2"/>
            <w:vAlign w:val="center"/>
          </w:tcPr>
          <w:p>
            <w:pPr>
              <w:spacing w:line="240" w:lineRule="auto"/>
              <w:jc w:val="left"/>
            </w:pPr>
            <w:r>
              <w:rPr>
                <w:sz w:val="15"/>
                <w:szCs w:val="15"/>
                <w:rtl w:val="0"/>
              </w:rPr>
              <w:t xml:space="preserve">Excluded — key</w:t>
            </w:r>
          </w:p>
        </w:tc>
        <w:tc>
          <w:tcPr>
            <w:tcW w:w="2400" w:type="dxa"/>
            <w:shd w:val="clear" w:color="auto" w:fill="F2F2F2"/>
            <w:vAlign w:val="center"/>
          </w:tcPr>
          <w:p>
            <w:pPr>
              <w:spacing w:line="240" w:lineRule="auto"/>
              <w:jc w:val="left"/>
            </w:pPr>
            <w:r>
              <w:rPr>
                <w:sz w:val="15"/>
                <w:szCs w:val="15"/>
                <w:rtl w:val="0"/>
              </w:rPr>
              <w:t xml:space="preserve">Join key (all tables)</w:t>
            </w:r>
          </w:p>
        </w:tc>
        <w:tc>
          <w:tcPr>
            <w:tcW w:w="2700" w:type="dxa"/>
            <w:shd w:val="clear" w:color="auto" w:fill="F2F2F2"/>
            <w:vAlign w:val="center"/>
          </w:tcPr>
          <w:p>
            <w:pPr>
              <w:spacing w:line="240" w:lineRule="auto"/>
              <w:jc w:val="left"/>
            </w:pPr>
            <w:r>
              <w:rPr>
                <w:sz w:val="15"/>
                <w:szCs w:val="15"/>
                <w:rtl w:val="0"/>
              </w:rPr>
              <w:t xml:space="preserve">PPMI visit code</w:t>
            </w:r>
          </w:p>
        </w:tc>
      </w:tr>
      <w:tr>
        <w:tc>
          <w:tcPr>
            <w:tcW w:w="1750" w:type="dxa"/>
            <w:shd w:val="clear" w:color="auto" w:fill="F2F2F2"/>
            <w:vAlign w:val="center"/>
          </w:tcPr>
          <w:p>
            <w:pPr>
              <w:spacing w:line="240" w:lineRule="auto"/>
              <w:jc w:val="left"/>
            </w:pPr>
            <w:r>
              <w:rPr>
                <w:rFonts w:ascii="Consolas" w:hAnsi="Consolas"/>
                <w:sz w:val="15"/>
                <w:szCs w:val="15"/>
                <w:rtl w:val="0"/>
              </w:rPr>
              <w:t xml:space="preserve">INFODT</w:t>
            </w:r>
          </w:p>
        </w:tc>
        <w:tc>
          <w:tcPr>
            <w:tcW w:w="1750" w:type="dxa"/>
            <w:shd w:val="clear" w:color="auto" w:fill="F2F2F2"/>
            <w:vAlign w:val="center"/>
          </w:tcPr>
          <w:p>
            <w:pPr>
              <w:spacing w:line="240" w:lineRule="auto"/>
              <w:jc w:val="left"/>
            </w:pPr>
            <w:r>
              <w:rPr>
                <w:sz w:val="15"/>
                <w:szCs w:val="15"/>
                <w:rtl w:val="0"/>
              </w:rPr>
              <w:t xml:space="preserve">Excluded — key</w:t>
            </w:r>
          </w:p>
        </w:tc>
        <w:tc>
          <w:tcPr>
            <w:tcW w:w="2400" w:type="dxa"/>
            <w:shd w:val="clear" w:color="auto" w:fill="F2F2F2"/>
            <w:vAlign w:val="center"/>
          </w:tcPr>
          <w:p>
            <w:pPr>
              <w:spacing w:line="240" w:lineRule="auto"/>
              <w:jc w:val="left"/>
            </w:pPr>
            <w:r>
              <w:rPr>
                <w:sz w:val="15"/>
                <w:szCs w:val="15"/>
                <w:rtl w:val="0"/>
              </w:rPr>
              <w:t xml:space="preserve">MDS-UPDRS Part III</w:t>
            </w:r>
          </w:p>
        </w:tc>
        <w:tc>
          <w:tcPr>
            <w:tcW w:w="2700" w:type="dxa"/>
            <w:shd w:val="clear" w:color="auto" w:fill="F2F2F2"/>
            <w:vAlign w:val="center"/>
          </w:tcPr>
          <w:p>
            <w:pPr>
              <w:spacing w:line="240" w:lineRule="auto"/>
              <w:jc w:val="left"/>
            </w:pPr>
            <w:r>
              <w:rPr>
                <w:sz w:val="15"/>
                <w:szCs w:val="15"/>
                <w:rtl w:val="0"/>
              </w:rPr>
              <w:t xml:space="preserve">Visit date</w:t>
            </w:r>
          </w:p>
        </w:tc>
      </w:tr>
      <w:tr>
        <w:tc>
          <w:tcPr>
            <w:tcW w:w="1750" w:type="dxa"/>
            <w:shd w:val="clear" w:color="auto" w:fill="F2F2F2"/>
            <w:vAlign w:val="center"/>
          </w:tcPr>
          <w:p>
            <w:pPr>
              <w:spacing w:line="240" w:lineRule="auto"/>
              <w:jc w:val="left"/>
            </w:pPr>
            <w:r>
              <w:rPr>
                <w:rFonts w:ascii="Consolas" w:hAnsi="Consolas"/>
                <w:sz w:val="15"/>
                <w:szCs w:val="15"/>
                <w:rtl w:val="0"/>
              </w:rPr>
              <w:t xml:space="preserve">PATNO</w:t>
            </w:r>
          </w:p>
        </w:tc>
        <w:tc>
          <w:tcPr>
            <w:tcW w:w="1750" w:type="dxa"/>
            <w:shd w:val="clear" w:color="auto" w:fill="F2F2F2"/>
            <w:vAlign w:val="center"/>
          </w:tcPr>
          <w:p>
            <w:pPr>
              <w:spacing w:line="240" w:lineRule="auto"/>
              <w:jc w:val="left"/>
            </w:pPr>
            <w:r>
              <w:rPr>
                <w:sz w:val="15"/>
                <w:szCs w:val="15"/>
                <w:rtl w:val="0"/>
              </w:rPr>
              <w:t xml:space="preserve">Excluded — key</w:t>
            </w:r>
          </w:p>
        </w:tc>
        <w:tc>
          <w:tcPr>
            <w:tcW w:w="2400" w:type="dxa"/>
            <w:shd w:val="clear" w:color="auto" w:fill="F2F2F2"/>
            <w:vAlign w:val="center"/>
          </w:tcPr>
          <w:p>
            <w:pPr>
              <w:spacing w:line="240" w:lineRule="auto"/>
              <w:jc w:val="left"/>
            </w:pPr>
            <w:r>
              <w:rPr>
                <w:sz w:val="15"/>
                <w:szCs w:val="15"/>
                <w:rtl w:val="0"/>
              </w:rPr>
              <w:t xml:space="preserve">Join key (all tables)</w:t>
            </w:r>
          </w:p>
        </w:tc>
        <w:tc>
          <w:tcPr>
            <w:tcW w:w="2700" w:type="dxa"/>
            <w:shd w:val="clear" w:color="auto" w:fill="F2F2F2"/>
            <w:vAlign w:val="center"/>
          </w:tcPr>
          <w:p>
            <w:pPr>
              <w:spacing w:line="240" w:lineRule="auto"/>
              <w:jc w:val="left"/>
            </w:pPr>
            <w:r>
              <w:rPr>
                <w:sz w:val="15"/>
                <w:szCs w:val="15"/>
                <w:rtl w:val="0"/>
              </w:rPr>
              <w:t xml:space="preserve">Patient identifier</w:t>
            </w:r>
          </w:p>
        </w:tc>
      </w:tr>
      <w:tr>
        <w:tc>
          <w:tcPr>
            <w:tcW w:w="1750" w:type="dxa"/>
            <w:shd w:val="clear" w:color="auto" w:fill="F2F2F2"/>
            <w:vAlign w:val="center"/>
          </w:tcPr>
          <w:p>
            <w:pPr>
              <w:spacing w:line="240" w:lineRule="auto"/>
              <w:jc w:val="left"/>
            </w:pPr>
            <w:r>
              <w:rPr>
                <w:rFonts w:ascii="Consolas" w:hAnsi="Consolas"/>
                <w:sz w:val="15"/>
                <w:szCs w:val="15"/>
                <w:rtl w:val="0"/>
              </w:rPr>
              <w:t xml:space="preserve">VISIT_MONTH</w:t>
            </w:r>
          </w:p>
        </w:tc>
        <w:tc>
          <w:tcPr>
            <w:tcW w:w="1750" w:type="dxa"/>
            <w:shd w:val="clear" w:color="auto" w:fill="F2F2F2"/>
            <w:vAlign w:val="center"/>
          </w:tcPr>
          <w:p>
            <w:pPr>
              <w:spacing w:line="240" w:lineRule="auto"/>
              <w:jc w:val="left"/>
            </w:pPr>
            <w:r>
              <w:rPr>
                <w:sz w:val="15"/>
                <w:szCs w:val="15"/>
                <w:rtl w:val="0"/>
              </w:rPr>
              <w:t xml:space="preserve">Excluded — key</w:t>
            </w:r>
          </w:p>
        </w:tc>
        <w:tc>
          <w:tcPr>
            <w:tcW w:w="2400" w:type="dxa"/>
            <w:shd w:val="clear" w:color="auto" w:fill="F2F2F2"/>
            <w:vAlign w:val="center"/>
          </w:tcPr>
          <w:p>
            <w:pPr>
              <w:spacing w:line="240" w:lineRule="auto"/>
              <w:jc w:val="left"/>
            </w:pPr>
            <w:r>
              <w:rPr>
                <w:sz w:val="15"/>
                <w:szCs w:val="15"/>
                <w:rtl w:val="0"/>
              </w:rPr>
              <w:t xml:space="preserve">Derived (EVENT_ID)</w:t>
            </w:r>
          </w:p>
        </w:tc>
        <w:tc>
          <w:tcPr>
            <w:tcW w:w="2700" w:type="dxa"/>
            <w:shd w:val="clear" w:color="auto" w:fill="F2F2F2"/>
            <w:vAlign w:val="center"/>
          </w:tcPr>
          <w:p>
            <w:pPr>
              <w:spacing w:line="240" w:lineRule="auto"/>
              <w:jc w:val="left"/>
            </w:pPr>
            <w:r>
              <w:rPr>
                <w:sz w:val="15"/>
                <w:szCs w:val="15"/>
                <w:rtl w:val="0"/>
              </w:rPr>
              <w:t xml:space="preserve">Months since baseline (derived)</w:t>
            </w:r>
          </w:p>
        </w:tc>
      </w:tr>
      <w:tr>
        <w:tc>
          <w:tcPr>
            <w:tcW w:w="1750" w:type="dxa"/>
            <w:shd w:val="clear" w:color="auto" w:fill="F2F2F2"/>
            <w:vAlign w:val="center"/>
          </w:tcPr>
          <w:p>
            <w:pPr>
              <w:spacing w:line="240" w:lineRule="auto"/>
              <w:jc w:val="left"/>
            </w:pPr>
            <w:r>
              <w:rPr>
                <w:rFonts w:ascii="Consolas" w:hAnsi="Consolas"/>
                <w:sz w:val="15"/>
                <w:szCs w:val="15"/>
                <w:rtl w:val="0"/>
              </w:rPr>
              <w:t xml:space="preserve">APPRDX</w:t>
            </w:r>
          </w:p>
        </w:tc>
        <w:tc>
          <w:tcPr>
            <w:tcW w:w="1750" w:type="dxa"/>
            <w:shd w:val="clear" w:color="auto" w:fill="F2F2F2"/>
            <w:vAlign w:val="center"/>
          </w:tcPr>
          <w:p>
            <w:pPr>
              <w:spacing w:line="240" w:lineRule="auto"/>
              <w:jc w:val="left"/>
            </w:pPr>
            <w:r>
              <w:rPr>
                <w:sz w:val="15"/>
                <w:szCs w:val="15"/>
                <w:rtl w:val="0"/>
              </w:rPr>
              <w:t xml:space="preserve">Excluded — admin</w:t>
            </w:r>
          </w:p>
        </w:tc>
        <w:tc>
          <w:tcPr>
            <w:tcW w:w="2400" w:type="dxa"/>
            <w:shd w:val="clear" w:color="auto" w:fill="F2F2F2"/>
            <w:vAlign w:val="center"/>
          </w:tcPr>
          <w:p>
            <w:pPr>
              <w:spacing w:line="240" w:lineRule="auto"/>
              <w:jc w:val="left"/>
            </w:pPr>
            <w:r>
              <w:rPr>
                <w:sz w:val="15"/>
                <w:szCs w:val="15"/>
                <w:rtl w:val="0"/>
              </w:rPr>
              <w:t xml:space="preserve">Subject Cohort History</w:t>
            </w:r>
          </w:p>
        </w:tc>
        <w:tc>
          <w:tcPr>
            <w:tcW w:w="2700" w:type="dxa"/>
            <w:shd w:val="clear" w:color="auto" w:fill="F2F2F2"/>
            <w:vAlign w:val="center"/>
          </w:tcPr>
          <w:p>
            <w:pPr>
              <w:spacing w:line="240" w:lineRule="auto"/>
              <w:jc w:val="left"/>
            </w:pPr>
            <w:r>
              <w:rPr>
                <w:sz w:val="15"/>
                <w:szCs w:val="15"/>
                <w:rtl w:val="0"/>
              </w:rPr>
              <w:t xml:space="preserve">PPMI diagnostic sub-code</w:t>
            </w:r>
          </w:p>
        </w:tc>
      </w:tr>
      <w:tr>
        <w:tc>
          <w:tcPr>
            <w:tcW w:w="1750" w:type="dxa"/>
            <w:shd w:val="clear" w:color="auto" w:fill="F2F2F2"/>
            <w:vAlign w:val="center"/>
          </w:tcPr>
          <w:p>
            <w:pPr>
              <w:spacing w:line="240" w:lineRule="auto"/>
              <w:jc w:val="left"/>
            </w:pPr>
            <w:r>
              <w:rPr>
                <w:rFonts w:ascii="Consolas" w:hAnsi="Consolas"/>
                <w:sz w:val="15"/>
                <w:szCs w:val="15"/>
                <w:rtl w:val="0"/>
              </w:rPr>
              <w:t xml:space="preserve">COHORT</w:t>
            </w:r>
          </w:p>
        </w:tc>
        <w:tc>
          <w:tcPr>
            <w:tcW w:w="1750" w:type="dxa"/>
            <w:shd w:val="clear" w:color="auto" w:fill="F2F2F2"/>
            <w:vAlign w:val="center"/>
          </w:tcPr>
          <w:p>
            <w:pPr>
              <w:spacing w:line="240" w:lineRule="auto"/>
              <w:jc w:val="left"/>
            </w:pPr>
            <w:r>
              <w:rPr>
                <w:sz w:val="15"/>
                <w:szCs w:val="15"/>
                <w:rtl w:val="0"/>
              </w:rPr>
              <w:t xml:space="preserve">Excluded — admin</w:t>
            </w:r>
          </w:p>
        </w:tc>
        <w:tc>
          <w:tcPr>
            <w:tcW w:w="2400" w:type="dxa"/>
            <w:shd w:val="clear" w:color="auto" w:fill="F2F2F2"/>
            <w:vAlign w:val="center"/>
          </w:tcPr>
          <w:p>
            <w:pPr>
              <w:spacing w:line="240" w:lineRule="auto"/>
              <w:jc w:val="left"/>
            </w:pPr>
            <w:r>
              <w:rPr>
                <w:sz w:val="15"/>
                <w:szCs w:val="15"/>
                <w:rtl w:val="0"/>
              </w:rPr>
              <w:t xml:space="preserve">Subject Cohort History</w:t>
            </w:r>
          </w:p>
        </w:tc>
        <w:tc>
          <w:tcPr>
            <w:tcW w:w="2700" w:type="dxa"/>
            <w:shd w:val="clear" w:color="auto" w:fill="F2F2F2"/>
            <w:vAlign w:val="center"/>
          </w:tcPr>
          <w:p>
            <w:pPr>
              <w:spacing w:line="240" w:lineRule="auto"/>
              <w:jc w:val="left"/>
            </w:pPr>
            <w:r>
              <w:rPr>
                <w:sz w:val="15"/>
                <w:szCs w:val="15"/>
                <w:rtl w:val="0"/>
              </w:rPr>
              <w:t xml:space="preserve">PPMI cohort code</w:t>
            </w:r>
          </w:p>
        </w:tc>
      </w:tr>
      <w:tr>
        <w:tc>
          <w:tcPr>
            <w:tcW w:w="1750" w:type="dxa"/>
            <w:shd w:val="clear" w:color="auto" w:fill="F2F2F2"/>
            <w:vAlign w:val="center"/>
          </w:tcPr>
          <w:p>
            <w:pPr>
              <w:spacing w:line="240" w:lineRule="auto"/>
              <w:jc w:val="left"/>
            </w:pPr>
            <w:r>
              <w:rPr>
                <w:rFonts w:ascii="Consolas" w:hAnsi="Consolas"/>
                <w:sz w:val="15"/>
                <w:szCs w:val="15"/>
                <w:rtl w:val="0"/>
              </w:rPr>
              <w:t xml:space="preserve">PDDXDT</w:t>
            </w:r>
          </w:p>
        </w:tc>
        <w:tc>
          <w:tcPr>
            <w:tcW w:w="1750" w:type="dxa"/>
            <w:shd w:val="clear" w:color="auto" w:fill="F2F2F2"/>
            <w:vAlign w:val="center"/>
          </w:tcPr>
          <w:p>
            <w:pPr>
              <w:spacing w:line="240" w:lineRule="auto"/>
              <w:jc w:val="left"/>
            </w:pPr>
            <w:r>
              <w:rPr>
                <w:sz w:val="15"/>
                <w:szCs w:val="15"/>
                <w:rtl w:val="0"/>
              </w:rPr>
              <w:t xml:space="preserve">Excluded — admin</w:t>
            </w:r>
          </w:p>
        </w:tc>
        <w:tc>
          <w:tcPr>
            <w:tcW w:w="2400" w:type="dxa"/>
            <w:shd w:val="clear" w:color="auto" w:fill="F2F2F2"/>
            <w:vAlign w:val="center"/>
          </w:tcPr>
          <w:p>
            <w:pPr>
              <w:spacing w:line="240" w:lineRule="auto"/>
              <w:jc w:val="left"/>
            </w:pPr>
            <w:r>
              <w:rPr>
                <w:sz w:val="15"/>
                <w:szCs w:val="15"/>
                <w:rtl w:val="0"/>
              </w:rPr>
              <w:t xml:space="preserve">PD Diagnosis History</w:t>
            </w:r>
          </w:p>
        </w:tc>
        <w:tc>
          <w:tcPr>
            <w:tcW w:w="2700" w:type="dxa"/>
            <w:shd w:val="clear" w:color="auto" w:fill="F2F2F2"/>
            <w:vAlign w:val="center"/>
          </w:tcPr>
          <w:p>
            <w:pPr>
              <w:spacing w:line="240" w:lineRule="auto"/>
              <w:jc w:val="left"/>
            </w:pPr>
            <w:r>
              <w:rPr>
                <w:sz w:val="15"/>
                <w:szCs w:val="15"/>
                <w:rtl w:val="0"/>
              </w:rPr>
              <w:t xml:space="preserve">Diagnosis date (source)</w:t>
            </w:r>
          </w:p>
        </w:tc>
      </w:tr>
      <w:tr>
        <w:tc>
          <w:tcPr>
            <w:tcW w:w="1750" w:type="dxa"/>
            <w:shd w:val="clear" w:color="auto" w:fill="F2F2F2"/>
            <w:vAlign w:val="center"/>
          </w:tcPr>
          <w:p>
            <w:pPr>
              <w:spacing w:line="240" w:lineRule="auto"/>
              <w:jc w:val="left"/>
            </w:pPr>
            <w:r>
              <w:rPr>
                <w:rFonts w:ascii="Consolas" w:hAnsi="Consolas"/>
                <w:sz w:val="15"/>
                <w:szCs w:val="15"/>
                <w:rtl w:val="0"/>
              </w:rPr>
              <w:t xml:space="preserve">PDSTATE_USED</w:t>
            </w:r>
          </w:p>
        </w:tc>
        <w:tc>
          <w:tcPr>
            <w:tcW w:w="1750" w:type="dxa"/>
            <w:shd w:val="clear" w:color="auto" w:fill="F2F2F2"/>
            <w:vAlign w:val="center"/>
          </w:tcPr>
          <w:p>
            <w:pPr>
              <w:spacing w:line="240" w:lineRule="auto"/>
              <w:jc w:val="left"/>
            </w:pPr>
            <w:r>
              <w:rPr>
                <w:sz w:val="15"/>
                <w:szCs w:val="15"/>
                <w:rtl w:val="0"/>
              </w:rPr>
              <w:t xml:space="preserve">Excluded — admin</w:t>
            </w:r>
          </w:p>
        </w:tc>
        <w:tc>
          <w:tcPr>
            <w:tcW w:w="2400" w:type="dxa"/>
            <w:shd w:val="clear" w:color="auto" w:fill="F2F2F2"/>
            <w:vAlign w:val="center"/>
          </w:tcPr>
          <w:p>
            <w:pPr>
              <w:spacing w:line="240" w:lineRule="auto"/>
              <w:jc w:val="left"/>
            </w:pPr>
            <w:r>
              <w:rPr>
                <w:sz w:val="15"/>
                <w:szCs w:val="15"/>
                <w:rtl w:val="0"/>
              </w:rPr>
              <w:t xml:space="preserve">MDS-UPDRS Part III</w:t>
            </w:r>
          </w:p>
        </w:tc>
        <w:tc>
          <w:tcPr>
            <w:tcW w:w="2700" w:type="dxa"/>
            <w:shd w:val="clear" w:color="auto" w:fill="F2F2F2"/>
            <w:vAlign w:val="center"/>
          </w:tcPr>
          <w:p>
            <w:pPr>
              <w:spacing w:line="240" w:lineRule="auto"/>
              <w:jc w:val="left"/>
            </w:pPr>
            <w:r>
              <w:rPr>
                <w:sz w:val="15"/>
                <w:szCs w:val="15"/>
                <w:rtl w:val="0"/>
              </w:rPr>
              <w:t xml:space="preserve">Medication state of the retained Part III record</w:t>
            </w:r>
          </w:p>
        </w:tc>
      </w:tr>
      <w:tr>
        <w:tc>
          <w:tcPr>
            <w:tcW w:w="1750" w:type="dxa"/>
            <w:shd w:val="clear" w:color="auto" w:fill="F2F2F2"/>
            <w:vAlign w:val="center"/>
          </w:tcPr>
          <w:p>
            <w:pPr>
              <w:spacing w:line="240" w:lineRule="auto"/>
              <w:jc w:val="left"/>
            </w:pPr>
            <w:r>
              <w:rPr>
                <w:rFonts w:ascii="Consolas" w:hAnsi="Consolas"/>
                <w:sz w:val="15"/>
                <w:szCs w:val="15"/>
                <w:rtl w:val="0"/>
              </w:rPr>
              <w:t xml:space="preserve">SXDT</w:t>
            </w:r>
          </w:p>
        </w:tc>
        <w:tc>
          <w:tcPr>
            <w:tcW w:w="1750" w:type="dxa"/>
            <w:shd w:val="clear" w:color="auto" w:fill="F2F2F2"/>
            <w:vAlign w:val="center"/>
          </w:tcPr>
          <w:p>
            <w:pPr>
              <w:spacing w:line="240" w:lineRule="auto"/>
              <w:jc w:val="left"/>
            </w:pPr>
            <w:r>
              <w:rPr>
                <w:sz w:val="15"/>
                <w:szCs w:val="15"/>
                <w:rtl w:val="0"/>
              </w:rPr>
              <w:t xml:space="preserve">Excluded — admin</w:t>
            </w:r>
          </w:p>
        </w:tc>
        <w:tc>
          <w:tcPr>
            <w:tcW w:w="2400" w:type="dxa"/>
            <w:shd w:val="clear" w:color="auto" w:fill="F2F2F2"/>
            <w:vAlign w:val="center"/>
          </w:tcPr>
          <w:p>
            <w:pPr>
              <w:spacing w:line="240" w:lineRule="auto"/>
              <w:jc w:val="left"/>
            </w:pPr>
            <w:r>
              <w:rPr>
                <w:sz w:val="15"/>
                <w:szCs w:val="15"/>
                <w:rtl w:val="0"/>
              </w:rPr>
              <w:t xml:space="preserve">PD Diagnosis History</w:t>
            </w:r>
          </w:p>
        </w:tc>
        <w:tc>
          <w:tcPr>
            <w:tcW w:w="2700" w:type="dxa"/>
            <w:shd w:val="clear" w:color="auto" w:fill="F2F2F2"/>
            <w:vAlign w:val="center"/>
          </w:tcPr>
          <w:p>
            <w:pPr>
              <w:spacing w:line="240" w:lineRule="auto"/>
              <w:jc w:val="left"/>
            </w:pPr>
            <w:r>
              <w:rPr>
                <w:sz w:val="15"/>
                <w:szCs w:val="15"/>
                <w:rtl w:val="0"/>
              </w:rPr>
              <w:t xml:space="preserve">Symptom onset date (source)</w:t>
            </w:r>
          </w:p>
        </w:tc>
      </w:tr>
    </w:tbl>
    <w:p>
      <w:pPr>
        <w:spacing w:line="276" w:lineRule="auto"/>
        <w:jc w:val="both"/>
      </w:pPr>
      <w:r>
        <w:rPr>
          <w:sz w:val="8"/>
          <w:szCs w:val="8"/>
          <w:rtl w:val="0"/>
        </w:rPr>
        <w:t xml:space="preserve"/>
      </w:r>
    </w:p>
    <w:p>
      <w:pPr>
        <w:spacing w:line="276" w:lineRule="auto"/>
        <w:jc w:val="center"/>
      </w:pPr>
      <w:r>
        <w:rPr>
          <w:i w:val="1"/>
          <w:sz w:val="20"/>
          <w:szCs w:val="20"/>
          <w:rtl w:val="0"/>
        </w:rPr>
        <w:t xml:space="preserve">Table 3. Complete column inventory of ppmi_tdpigd_long.csv (75 columns), with the source table each column was drawn from.</w:t>
      </w:r>
    </w:p>
    <w:p>
      <w:pPr>
        <w:numPr>
          <w:ilvl w:val="0"/>
          <w:numId w:val="90"/>
        </w:numPr>
        <w:spacing w:line="264" w:lineRule="auto"/>
        <w:ind w:left="420" w:hanging="260"/>
        <w:jc w:val="both"/>
      </w:pPr>
      <w:r>
        <w:rPr>
          <w:b w:val="1"/>
          <w:bCs w:val="1"/>
          <w:sz w:val="22"/>
          <w:szCs w:val="22"/>
          <w:rtl w:val="0"/>
        </w:rPr>
        <w:t xml:space="preserve">Why the three Part II formula items are excluded.</w:t>
      </w:r>
      <w:r>
        <w:rPr>
          <w:sz w:val="22"/>
          <w:szCs w:val="22"/>
          <w:rtl w:val="0"/>
        </w:rPr>
        <w:t xml:space="preserve"> NP2TRMR, NP2WALK and NP2FREZ are self-reported and inexpensive to collect, but they are inputs to the label formula. Under the strict policy adopted here, any column participating in the computation of Y is excluded from X regardless of collection cost.</w:t>
      </w:r>
    </w:p>
    <w:p>
      <w:pPr>
        <w:numPr>
          <w:ilvl w:val="0"/>
          <w:numId w:val="90"/>
        </w:numPr>
        <w:spacing w:line="264" w:lineRule="auto"/>
        <w:ind w:left="420" w:hanging="260"/>
        <w:jc w:val="both"/>
      </w:pPr>
      <w:r>
        <w:rPr>
          <w:b w:val="1"/>
          <w:bCs w:val="1"/>
          <w:sz w:val="22"/>
          <w:szCs w:val="22"/>
          <w:rtl w:val="0"/>
        </w:rPr>
        <w:t xml:space="preserve">Why the remaining Part III items are absent entirely.</w:t>
      </w:r>
      <w:r>
        <w:rPr>
          <w:sz w:val="22"/>
          <w:szCs w:val="22"/>
          <w:rtl w:val="0"/>
        </w:rPr>
        <w:t xml:space="preserve"> Only the 13 Part III items required by the formula were extracted; the other examination items were not carried into the dataset.</w:t>
      </w:r>
    </w:p>
    <w:p>
      <w:pPr>
        <w:numPr>
          <w:ilvl w:val="0"/>
          <w:numId w:val="90"/>
        </w:numPr>
        <w:spacing w:line="264" w:lineRule="auto"/>
        <w:ind w:left="420" w:hanging="260"/>
        <w:jc w:val="both"/>
      </w:pPr>
      <w:r>
        <w:rPr>
          <w:b w:val="1"/>
          <w:bCs w:val="1"/>
          <w:sz w:val="22"/>
          <w:szCs w:val="22"/>
          <w:rtl w:val="0"/>
        </w:rPr>
        <w:t xml:space="preserve">GENETIC_COHORT caveat.</w:t>
      </w:r>
      <w:r>
        <w:rPr>
          <w:sz w:val="22"/>
          <w:szCs w:val="22"/>
          <w:rtl w:val="0"/>
        </w:rPr>
        <w:t xml:space="preserve"> This flag records the PPMI recruitment arm rather than a clinical measurement, and the arms differ in class balance (52% TD in the genetic arm against 78% in the sporadic arm). It is retained in the dataset for stratification, but results should be reported with it removed from X, and stratified by arm.</w:t>
      </w:r>
    </w:p>
    <w:p>
      <w:pPr>
        <w:pStyle w:val="Heading2"/>
        <w:spacing w:line="276" w:lineRule="auto"/>
        <w:jc w:val="both"/>
      </w:pPr>
      <w:r>
        <w:rPr>
          <w:b w:val="1"/>
          <w:bCs w:val="1"/>
          <w:sz w:val="24"/>
          <w:szCs w:val="24"/>
          <w:rtl w:val="0"/>
        </w:rPr>
        <w:t xml:space="preserve">5.4 Dataset overview</w:t>
      </w:r>
    </w:p>
    <w:p>
      <w:pPr>
        <w:spacing w:line="276" w:lineRule="auto"/>
        <w:jc w:val="both"/>
      </w:pPr>
      <w:r>
        <w:rPr>
          <w:sz w:val="24"/>
          <w:szCs w:val="24"/>
          <w:rtl w:val="0"/>
        </w:rPr>
        <w:t xml:space="preserve">The project uses the PPMI cohort throughout. Figure 1 summarises the cohort funnel, the resulting class balance, and the measured instability of the label.</w:t>
      </w:r>
    </w:p>
    <w:p>
      <w:pPr>
        <w:spacing w:before="160" w:after="80"/>
        <w:jc w:val="center"/>
      </w:pPr>
      <w:r>
        <w:rPr>
          <w:noProof/>
        </w:rPr>
        <w:drawing>
          <wp:inline distT="0" distB="0" distL="0" distR="0">
            <wp:extent cx="6035040" cy="1993392"/>
            <wp:effectExtent l="0" t="0" r="0" b="0"/>
            <wp:docPr id="3211" name="Figure 1"/>
            <a:graphic xmlns:a="http://schemas.openxmlformats.org/drawingml/2006/main">
              <a:graphicData uri="http://schemas.openxmlformats.org/drawingml/2006/picture">
                <pic:pic xmlns:pic="http://schemas.openxmlformats.org/drawingml/2006/picture">
                  <pic:nvPicPr>
                    <pic:cNvPr id="0" name="Figure 1"/>
                    <pic:cNvPicPr/>
                  </pic:nvPicPr>
                  <pic:blipFill>
                    <a:blip r:embed="rId901"/>
                    <a:stretch>
                      <a:fillRect/>
                    </a:stretch>
                  </pic:blipFill>
                  <pic:spPr>
                    <a:xfrm>
                      <a:off x="0" y="0"/>
                      <a:ext cx="6035040" cy="1993392"/>
                    </a:xfrm>
                    <a:prstGeom prst="rect">
                      <a:avLst/>
                    </a:prstGeom>
                  </pic:spPr>
                </pic:pic>
              </a:graphicData>
            </a:graphic>
          </wp:inline>
        </w:drawing>
      </w:r>
    </w:p>
    <w:p>
      <w:pPr>
        <w:spacing w:line="276" w:lineRule="auto"/>
        <w:jc w:val="center"/>
      </w:pPr>
      <w:r>
        <w:rPr>
          <w:i w:val="1"/>
          <w:sz w:val="20"/>
          <w:szCs w:val="20"/>
          <w:rtl w:val="0"/>
        </w:rPr>
        <w:t xml:space="preserve">Figure 1. Cohort funnel, label distribution, and label instability across consecutive visits.</w:t>
      </w:r>
    </w:p>
    <w:tbl>
      <w:tblPr>
        <w:tblStyle w:val="Table1"/>
        <w:tblW w:w="8400" w:type="dxa"/>
        <w:tblBorders>
          <w:top w:val="single" w:sz="6" w:color="9DB2C6"/>
          <w:left w:val="single" w:sz="6" w:color="9DB2C6"/>
          <w:bottom w:val="single" w:sz="6" w:color="9DB2C6"/>
          <w:right w:val="single" w:sz="6" w:color="9DB2C6"/>
          <w:insideH w:val="single" w:sz="6" w:color="9DB2C6"/>
          <w:insideV w:val="single" w:sz="6" w:color="9DB2C6"/>
        </w:tblBorders>
        <w:tblLayout w:type="fixed"/>
      </w:tblPr>
      <w:tblGrid>
        <w:gridCol w:w="5200"/>
        <w:gridCol w:w="3200"/>
      </w:tblGrid>
      <w:tr>
        <w:trPr>
          <w:tblHeader/>
        </w:trPr>
        <w:tc>
          <w:tcPr>
            <w:tcW w:w="5200" w:type="dxa"/>
            <w:shd w:val="clear" w:color="auto" w:fill="1A3A5C"/>
            <w:vAlign w:val="center"/>
          </w:tcPr>
          <w:p>
            <w:pPr>
              <w:spacing w:line="240" w:lineRule="auto"/>
              <w:jc w:val="left"/>
            </w:pPr>
            <w:r>
              <w:rPr>
                <w:b w:val="1"/>
                <w:bCs w:val="1"/>
                <w:color w:val="FFFFFF"/>
                <w:sz w:val="18"/>
                <w:szCs w:val="18"/>
                <w:rtl w:val="0"/>
              </w:rPr>
              <w:t xml:space="preserve">Property</w:t>
            </w:r>
          </w:p>
        </w:tc>
        <w:tc>
          <w:tcPr>
            <w:tcW w:w="3200" w:type="dxa"/>
            <w:shd w:val="clear" w:color="auto" w:fill="1A3A5C"/>
            <w:vAlign w:val="center"/>
          </w:tcPr>
          <w:p>
            <w:pPr>
              <w:spacing w:line="240" w:lineRule="auto"/>
              <w:jc w:val="left"/>
            </w:pPr>
            <w:r>
              <w:rPr>
                <w:b w:val="1"/>
                <w:bCs w:val="1"/>
                <w:color w:val="FFFFFF"/>
                <w:sz w:val="18"/>
                <w:szCs w:val="18"/>
                <w:rtl w:val="0"/>
              </w:rPr>
              <w:t xml:space="preserve">Value</w:t>
            </w:r>
          </w:p>
        </w:tc>
      </w:tr>
      <w:tr>
        <w:tc>
          <w:tcPr>
            <w:tcW w:w="5200" w:type="dxa"/>
            <w:vAlign w:val="center"/>
          </w:tcPr>
          <w:p>
            <w:pPr>
              <w:spacing w:line="240" w:lineRule="auto"/>
              <w:jc w:val="left"/>
            </w:pPr>
            <w:r>
              <w:rPr>
                <w:sz w:val="18"/>
                <w:szCs w:val="18"/>
                <w:rtl w:val="0"/>
              </w:rPr>
              <w:t xml:space="preserve">Patients (PD cohort, COHORT == 1)</w:t>
            </w:r>
          </w:p>
        </w:tc>
        <w:tc>
          <w:tcPr>
            <w:tcW w:w="3200" w:type="dxa"/>
            <w:vAlign w:val="center"/>
          </w:tcPr>
          <w:p>
            <w:pPr>
              <w:spacing w:line="240" w:lineRule="auto"/>
              <w:jc w:val="left"/>
            </w:pPr>
            <w:r>
              <w:rPr>
                <w:sz w:val="18"/>
                <w:szCs w:val="18"/>
                <w:rtl w:val="0"/>
              </w:rPr>
              <w:t xml:space="preserve">439</w:t>
            </w:r>
          </w:p>
        </w:tc>
      </w:tr>
      <w:tr>
        <w:tc>
          <w:tcPr>
            <w:tcW w:w="5200" w:type="dxa"/>
            <w:vAlign w:val="center"/>
          </w:tcPr>
          <w:p>
            <w:pPr>
              <w:spacing w:line="240" w:lineRule="auto"/>
              <w:jc w:val="left"/>
            </w:pPr>
            <w:r>
              <w:rPr>
                <w:sz w:val="18"/>
                <w:szCs w:val="18"/>
                <w:rtl w:val="0"/>
              </w:rPr>
              <w:t xml:space="preserve">Sporadic PD (APPRDX == 1)</w:t>
            </w:r>
          </w:p>
        </w:tc>
        <w:tc>
          <w:tcPr>
            <w:tcW w:w="3200" w:type="dxa"/>
            <w:vAlign w:val="center"/>
          </w:tcPr>
          <w:p>
            <w:pPr>
              <w:spacing w:line="240" w:lineRule="auto"/>
              <w:jc w:val="left"/>
            </w:pPr>
            <w:r>
              <w:rPr>
                <w:sz w:val="18"/>
                <w:szCs w:val="18"/>
                <w:rtl w:val="0"/>
              </w:rPr>
              <w:t xml:space="preserve">242</w:t>
            </w:r>
          </w:p>
        </w:tc>
      </w:tr>
      <w:tr>
        <w:tc>
          <w:tcPr>
            <w:tcW w:w="5200" w:type="dxa"/>
            <w:vAlign w:val="center"/>
          </w:tcPr>
          <w:p>
            <w:pPr>
              <w:spacing w:line="240" w:lineRule="auto"/>
              <w:jc w:val="left"/>
            </w:pPr>
            <w:r>
              <w:rPr>
                <w:sz w:val="18"/>
                <w:szCs w:val="18"/>
                <w:rtl w:val="0"/>
              </w:rPr>
              <w:t xml:space="preserve">Genetic-cohort PD (APPRDX == 5)</w:t>
            </w:r>
          </w:p>
        </w:tc>
        <w:tc>
          <w:tcPr>
            <w:tcW w:w="3200" w:type="dxa"/>
            <w:vAlign w:val="center"/>
          </w:tcPr>
          <w:p>
            <w:pPr>
              <w:spacing w:line="240" w:lineRule="auto"/>
              <w:jc w:val="left"/>
            </w:pPr>
            <w:r>
              <w:rPr>
                <w:sz w:val="18"/>
                <w:szCs w:val="18"/>
                <w:rtl w:val="0"/>
              </w:rPr>
              <w:t xml:space="preserve">197</w:t>
            </w:r>
          </w:p>
        </w:tc>
      </w:tr>
      <w:tr>
        <w:tc>
          <w:tcPr>
            <w:tcW w:w="5200" w:type="dxa"/>
            <w:vAlign w:val="center"/>
          </w:tcPr>
          <w:p>
            <w:pPr>
              <w:spacing w:line="240" w:lineRule="auto"/>
              <w:jc w:val="left"/>
            </w:pPr>
            <w:r>
              <w:rPr>
                <w:sz w:val="18"/>
                <w:szCs w:val="18"/>
                <w:rtl w:val="0"/>
              </w:rPr>
              <w:t xml:space="preserve">Patient-visits after filtering</w:t>
            </w:r>
          </w:p>
        </w:tc>
        <w:tc>
          <w:tcPr>
            <w:tcW w:w="3200" w:type="dxa"/>
            <w:vAlign w:val="center"/>
          </w:tcPr>
          <w:p>
            <w:pPr>
              <w:spacing w:line="240" w:lineRule="auto"/>
              <w:jc w:val="left"/>
            </w:pPr>
            <w:r>
              <w:rPr>
                <w:sz w:val="18"/>
                <w:szCs w:val="18"/>
                <w:rtl w:val="0"/>
              </w:rPr>
              <w:t xml:space="preserve">6,922</w:t>
            </w:r>
          </w:p>
        </w:tc>
      </w:tr>
      <w:tr>
        <w:tc>
          <w:tcPr>
            <w:tcW w:w="5200" w:type="dxa"/>
            <w:vAlign w:val="center"/>
          </w:tcPr>
          <w:p>
            <w:pPr>
              <w:spacing w:line="240" w:lineRule="auto"/>
              <w:jc w:val="left"/>
            </w:pPr>
            <w:r>
              <w:rPr>
                <w:sz w:val="18"/>
                <w:szCs w:val="18"/>
                <w:rtl w:val="0"/>
              </w:rPr>
              <w:t xml:space="preserve">Visits with a fully computable label</w:t>
            </w:r>
          </w:p>
        </w:tc>
        <w:tc>
          <w:tcPr>
            <w:tcW w:w="3200" w:type="dxa"/>
            <w:vAlign w:val="center"/>
          </w:tcPr>
          <w:p>
            <w:pPr>
              <w:spacing w:line="240" w:lineRule="auto"/>
              <w:jc w:val="left"/>
            </w:pPr>
            <w:r>
              <w:rPr>
                <w:sz w:val="18"/>
                <w:szCs w:val="18"/>
                <w:rtl w:val="0"/>
              </w:rPr>
              <w:t xml:space="preserve">5,742 (83.0%)</w:t>
            </w:r>
          </w:p>
        </w:tc>
      </w:tr>
      <w:tr>
        <w:tc>
          <w:tcPr>
            <w:tcW w:w="5200" w:type="dxa"/>
            <w:vAlign w:val="center"/>
          </w:tcPr>
          <w:p>
            <w:pPr>
              <w:spacing w:line="240" w:lineRule="auto"/>
              <w:jc w:val="left"/>
            </w:pPr>
            <w:r>
              <w:rPr>
                <w:sz w:val="18"/>
                <w:szCs w:val="18"/>
                <w:rtl w:val="0"/>
              </w:rPr>
              <w:t xml:space="preserve">Columns in the analysis table</w:t>
            </w:r>
          </w:p>
        </w:tc>
        <w:tc>
          <w:tcPr>
            <w:tcW w:w="3200" w:type="dxa"/>
            <w:vAlign w:val="center"/>
          </w:tcPr>
          <w:p>
            <w:pPr>
              <w:spacing w:line="240" w:lineRule="auto"/>
              <w:jc w:val="left"/>
            </w:pPr>
            <w:r>
              <w:rPr>
                <w:sz w:val="18"/>
                <w:szCs w:val="18"/>
                <w:rtl w:val="0"/>
              </w:rPr>
              <w:t xml:space="preserve">75</w:t>
            </w:r>
          </w:p>
        </w:tc>
      </w:tr>
      <w:tr>
        <w:tc>
          <w:tcPr>
            <w:tcW w:w="5200" w:type="dxa"/>
            <w:vAlign w:val="center"/>
          </w:tcPr>
          <w:p>
            <w:pPr>
              <w:spacing w:line="240" w:lineRule="auto"/>
              <w:jc w:val="left"/>
            </w:pPr>
            <w:r>
              <w:rPr>
                <w:sz w:val="18"/>
                <w:szCs w:val="18"/>
                <w:rtl w:val="0"/>
              </w:rPr>
              <w:t xml:space="preserve">Duplicate patient-visit keys</w:t>
            </w:r>
          </w:p>
        </w:tc>
        <w:tc>
          <w:tcPr>
            <w:tcW w:w="3200" w:type="dxa"/>
            <w:vAlign w:val="center"/>
          </w:tcPr>
          <w:p>
            <w:pPr>
              <w:spacing w:line="240" w:lineRule="auto"/>
              <w:jc w:val="left"/>
            </w:pPr>
            <w:r>
              <w:rPr>
                <w:sz w:val="18"/>
                <w:szCs w:val="18"/>
                <w:rtl w:val="0"/>
              </w:rPr>
              <w:t xml:space="preserve">0 (asserted in code)</w:t>
            </w:r>
          </w:p>
        </w:tc>
      </w:tr>
    </w:tbl>
    <w:p>
      <w:pPr>
        <w:spacing w:line="276" w:lineRule="auto"/>
        <w:jc w:val="both"/>
      </w:pPr>
      <w:r>
        <w:rPr>
          <w:sz w:val="8"/>
          <w:szCs w:val="8"/>
          <w:rtl w:val="0"/>
        </w:rPr>
        <w:t xml:space="preserve"/>
      </w:r>
    </w:p>
    <w:p>
      <w:pPr>
        <w:pStyle w:val="Heading2"/>
        <w:spacing w:line="276" w:lineRule="auto"/>
        <w:jc w:val="both"/>
      </w:pPr>
      <w:r>
        <w:rPr>
          <w:b w:val="1"/>
          <w:bCs w:val="1"/>
          <w:sz w:val="24"/>
          <w:szCs w:val="24"/>
          <w:rtl w:val="0"/>
        </w:rPr>
        <w:t xml:space="preserve">5.5 Why the target was changed</w:t>
      </w:r>
    </w:p>
    <w:p>
      <w:pPr>
        <w:numPr>
          <w:ilvl w:val="0"/>
          <w:numId w:val="90"/>
        </w:numPr>
        <w:spacing w:line="264" w:lineRule="auto"/>
        <w:ind w:left="420" w:hanging="260"/>
        <w:jc w:val="both"/>
      </w:pPr>
      <w:r>
        <w:rPr>
          <w:b w:val="1"/>
          <w:bCs w:val="1"/>
          <w:sz w:val="22"/>
          <w:szCs w:val="22"/>
          <w:rtl w:val="0"/>
        </w:rPr>
        <w:t xml:space="preserve">Original target.</w:t>
      </w:r>
      <w:r>
        <w:rPr>
          <w:sz w:val="22"/>
          <w:szCs w:val="22"/>
          <w:rtl w:val="0"/>
        </w:rPr>
        <w:t xml:space="preserve"> K-Means on per-patient decline rates (motor, cognitive, autonomic) produced 'slow', 'moderate' and 'fast' progressor groups.</w:t>
      </w:r>
    </w:p>
    <w:p>
      <w:pPr>
        <w:numPr>
          <w:ilvl w:val="0"/>
          <w:numId w:val="90"/>
        </w:numPr>
        <w:spacing w:line="264" w:lineRule="auto"/>
        <w:ind w:left="420" w:hanging="260"/>
        <w:jc w:val="both"/>
      </w:pPr>
      <w:r>
        <w:rPr>
          <w:b w:val="1"/>
          <w:bCs w:val="1"/>
          <w:sz w:val="22"/>
          <w:szCs w:val="22"/>
          <w:rtl w:val="0"/>
        </w:rPr>
        <w:t xml:space="preserve">Structural problem.</w:t>
      </w:r>
      <w:r>
        <w:rPr>
          <w:sz w:val="22"/>
          <w:szCs w:val="22"/>
          <w:rtl w:val="0"/>
        </w:rPr>
        <w:t xml:space="preserve"> K-Means returns exactly three groups by construction, whether or not three groups exist in the data.</w:t>
      </w:r>
    </w:p>
    <w:p>
      <w:pPr>
        <w:numPr>
          <w:ilvl w:val="0"/>
          <w:numId w:val="90"/>
        </w:numPr>
        <w:spacing w:line="264" w:lineRule="auto"/>
        <w:ind w:left="420" w:hanging="260"/>
        <w:jc w:val="both"/>
      </w:pPr>
      <w:r>
        <w:rPr>
          <w:b w:val="1"/>
          <w:bCs w:val="1"/>
          <w:sz w:val="22"/>
          <w:szCs w:val="22"/>
          <w:rtl w:val="0"/>
        </w:rPr>
        <w:t xml:space="preserve">Evidence against it.</w:t>
      </w:r>
      <w:r>
        <w:rPr>
          <w:sz w:val="22"/>
          <w:szCs w:val="22"/>
          <w:rtl w:val="0"/>
        </w:rPr>
        <w:t xml:space="preserve"> Re-clustering the same features with HDBSCAN, which does not fix the cluster count, failed to recover three separated groups and labelled 39% of patients unclassifiable.</w:t>
      </w:r>
    </w:p>
    <w:p>
      <w:pPr>
        <w:numPr>
          <w:ilvl w:val="0"/>
          <w:numId w:val="90"/>
        </w:numPr>
        <w:spacing w:line="264" w:lineRule="auto"/>
        <w:ind w:left="420" w:hanging="260"/>
        <w:jc w:val="both"/>
      </w:pPr>
      <w:r>
        <w:rPr>
          <w:b w:val="1"/>
          <w:bCs w:val="1"/>
          <w:sz w:val="22"/>
          <w:szCs w:val="22"/>
          <w:rtl w:val="0"/>
        </w:rPr>
        <w:t xml:space="preserve">Verification problem.</w:t>
      </w:r>
      <w:r>
        <w:rPr>
          <w:sz w:val="22"/>
          <w:szCs w:val="22"/>
          <w:rtl w:val="0"/>
        </w:rPr>
        <w:t xml:space="preserve"> A self-derived subtype needs independent clinical sign-off before it can serve as ground truth, which was not achievable within the project timeline.</w:t>
      </w:r>
    </w:p>
    <w:p>
      <w:pPr>
        <w:numPr>
          <w:ilvl w:val="0"/>
          <w:numId w:val="90"/>
        </w:numPr>
        <w:spacing w:line="264" w:lineRule="auto"/>
        <w:ind w:left="420" w:hanging="260"/>
        <w:jc w:val="both"/>
      </w:pPr>
      <w:r>
        <w:rPr>
          <w:b w:val="1"/>
          <w:bCs w:val="1"/>
          <w:sz w:val="22"/>
          <w:szCs w:val="22"/>
          <w:rtl w:val="0"/>
        </w:rPr>
        <w:t xml:space="preserve">Resolution.</w:t>
      </w:r>
      <w:r>
        <w:rPr>
          <w:sz w:val="22"/>
          <w:szCs w:val="22"/>
          <w:rtl w:val="0"/>
        </w:rPr>
        <w:t xml:space="preserve"> The target is now TD / PIGD / indeterminate, computed from the published Jankovic (1990) and Stebbins et al. (2013) formula. Only correct application of a peer-reviewed formula needs to be demonstrated, not a new clinical concept.</w:t>
      </w:r>
    </w:p>
    <w:p>
      <w:pPr>
        <w:pStyle w:val="Heading2"/>
        <w:spacing w:line="276" w:lineRule="auto"/>
        <w:jc w:val="both"/>
      </w:pPr>
      <w:r>
        <w:rPr>
          <w:b w:val="1"/>
          <w:bCs w:val="1"/>
          <w:sz w:val="24"/>
          <w:szCs w:val="24"/>
          <w:rtl w:val="0"/>
        </w:rPr>
        <w:t xml:space="preserve">5.6 Preprocessing pipeline</w:t>
      </w:r>
    </w:p>
    <w:p>
      <w:pPr>
        <w:spacing w:line="276" w:lineRule="auto"/>
        <w:jc w:val="both"/>
      </w:pPr>
      <w:r>
        <w:rPr>
          <w:sz w:val="24"/>
          <w:szCs w:val="24"/>
          <w:rtl w:val="0"/>
        </w:rPr>
        <w:t xml:space="preserve">Preprocessing is performed by a single deterministic script that emits the analysis table, a machine-readable data dictionary, and a provenance log recording counts at every step. Figure 2 shows the pipeline and, critically, the point at which columns are split so that label-defining data cannot reach the model.</w:t>
      </w:r>
    </w:p>
    <w:p>
      <w:pPr>
        <w:spacing w:before="160" w:after="80"/>
        <w:jc w:val="center"/>
      </w:pPr>
      <w:r>
        <w:rPr>
          <w:noProof/>
        </w:rPr>
        <w:drawing>
          <wp:inline distT="0" distB="0" distL="0" distR="0">
            <wp:extent cx="5943600" cy="3931920"/>
            <wp:effectExtent l="0" t="0" r="0" b="0"/>
            <wp:docPr id="8206" name="Figure 2"/>
            <a:graphic xmlns:a="http://schemas.openxmlformats.org/drawingml/2006/main">
              <a:graphicData uri="http://schemas.openxmlformats.org/drawingml/2006/picture">
                <pic:pic xmlns:pic="http://schemas.openxmlformats.org/drawingml/2006/picture">
                  <pic:nvPicPr>
                    <pic:cNvPr id="0" name="Figure 2"/>
                    <pic:cNvPicPr/>
                  </pic:nvPicPr>
                  <pic:blipFill>
                    <a:blip r:embed="rId900"/>
                    <a:stretch>
                      <a:fillRect/>
                    </a:stretch>
                  </pic:blipFill>
                  <pic:spPr>
                    <a:xfrm>
                      <a:off x="0" y="0"/>
                      <a:ext cx="5943600" cy="3931920"/>
                    </a:xfrm>
                    <a:prstGeom prst="rect">
                      <a:avLst/>
                    </a:prstGeom>
                  </pic:spPr>
                </pic:pic>
              </a:graphicData>
            </a:graphic>
          </wp:inline>
        </w:drawing>
      </w:r>
    </w:p>
    <w:p>
      <w:pPr>
        <w:spacing w:line="276" w:lineRule="auto"/>
        <w:jc w:val="center"/>
      </w:pPr>
      <w:r>
        <w:rPr>
          <w:i w:val="1"/>
          <w:sz w:val="20"/>
          <w:szCs w:val="20"/>
          <w:rtl w:val="0"/>
        </w:rPr>
        <w:t xml:space="preserve">Figure 2. Preprocessing pipeline and leakage control. Branch A computes the label; Branch B supplies the permitted features. The branches converge only at model training.</w:t>
      </w:r>
    </w:p>
    <w:p>
      <w:pPr>
        <w:spacing w:line="276" w:lineRule="auto"/>
        <w:jc w:val="both"/>
      </w:pPr>
      <w:r>
        <w:rPr>
          <w:b w:val="1"/>
          <w:bCs w:val="1"/>
          <w:sz w:val="22"/>
          <w:szCs w:val="22"/>
          <w:rtl w:val="0"/>
        </w:rPr>
        <w:t xml:space="preserve">Step-by-step:</w:t>
      </w:r>
    </w:p>
    <w:p>
      <w:pPr>
        <w:numPr>
          <w:ilvl w:val="0"/>
          <w:numId w:val="90"/>
        </w:numPr>
        <w:spacing w:line="264" w:lineRule="auto"/>
        <w:ind w:left="420" w:hanging="260"/>
        <w:jc w:val="both"/>
      </w:pPr>
      <w:r>
        <w:rPr>
          <w:b w:val="1"/>
          <w:bCs w:val="1"/>
          <w:sz w:val="22"/>
          <w:szCs w:val="22"/>
          <w:rtl w:val="0"/>
        </w:rPr>
        <w:t xml:space="preserve">Cohort.</w:t>
      </w:r>
      <w:r>
        <w:rPr>
          <w:sz w:val="22"/>
          <w:szCs w:val="22"/>
          <w:rtl w:val="0"/>
        </w:rPr>
        <w:t xml:space="preserve"> Select COHORT == 1 (PPMI Parkinson's disease cohort) → 439 patients, comprising sporadic PD (n = 242) and genetic-cohort PD (n = 197). A flag retains the distinction, since the genetic arm is enriched for LRRK2, GBA and SNCA carriers by recruitment design.</w:t>
      </w:r>
    </w:p>
    <w:p>
      <w:pPr>
        <w:numPr>
          <w:ilvl w:val="0"/>
          <w:numId w:val="90"/>
        </w:numPr>
        <w:spacing w:line="264" w:lineRule="auto"/>
        <w:ind w:left="420" w:hanging="260"/>
        <w:jc w:val="both"/>
      </w:pPr>
      <w:r>
        <w:rPr>
          <w:b w:val="1"/>
          <w:bCs w:val="1"/>
          <w:sz w:val="22"/>
          <w:szCs w:val="22"/>
          <w:rtl w:val="0"/>
        </w:rPr>
        <w:t xml:space="preserve">Join.</w:t>
      </w:r>
      <w:r>
        <w:rPr>
          <w:sz w:val="22"/>
          <w:szCs w:val="22"/>
          <w:rtl w:val="0"/>
        </w:rPr>
        <w:t xml:space="preserve"> Nineteen source tables merged in total: 12 visit-level tables by outer join on PATNO + EVENT_ID, 5 static per-patient tables by left join on PATNO, and 2 medication logs by date interval.</w:t>
      </w:r>
    </w:p>
    <w:p>
      <w:pPr>
        <w:numPr>
          <w:ilvl w:val="0"/>
          <w:numId w:val="90"/>
        </w:numPr>
        <w:spacing w:line="264" w:lineRule="auto"/>
        <w:ind w:left="420" w:hanging="260"/>
        <w:jc w:val="both"/>
      </w:pPr>
      <w:r>
        <w:rPr>
          <w:b w:val="1"/>
          <w:bCs w:val="1"/>
          <w:sz w:val="22"/>
          <w:szCs w:val="22"/>
          <w:rtl w:val="0"/>
        </w:rPr>
        <w:t xml:space="preserve">Medication.</w:t>
      </w:r>
      <w:r>
        <w:rPr>
          <w:sz w:val="22"/>
          <w:szCs w:val="22"/>
          <w:rtl w:val="0"/>
        </w:rPr>
        <w:t xml:space="preserve"> Joined by date interval, not visit code: the LEDD and concomitant-medication logs are running records whose visit field only takes the values LOG, ED or SC, so a conventional key join silently returns an empty column.</w:t>
      </w:r>
    </w:p>
    <w:p>
      <w:pPr>
        <w:numPr>
          <w:ilvl w:val="0"/>
          <w:numId w:val="90"/>
        </w:numPr>
        <w:spacing w:line="264" w:lineRule="auto"/>
        <w:ind w:left="420" w:hanging="260"/>
        <w:jc w:val="both"/>
      </w:pPr>
      <w:r>
        <w:rPr>
          <w:b w:val="1"/>
          <w:bCs w:val="1"/>
          <w:sz w:val="22"/>
          <w:szCs w:val="22"/>
          <w:rtl w:val="0"/>
        </w:rPr>
        <w:t xml:space="preserve">Item-level extraction.</w:t>
      </w:r>
      <w:r>
        <w:rPr>
          <w:sz w:val="22"/>
          <w:szCs w:val="22"/>
          <w:rtl w:val="0"/>
        </w:rPr>
        <w:t xml:space="preserve"> The 3 required Part II items (99.9-100% present) and 13 required Part III items (94.1-94.2% present) are extracted individually, because the formula operates on items rather than part totals.</w:t>
      </w:r>
    </w:p>
    <w:p>
      <w:pPr>
        <w:numPr>
          <w:ilvl w:val="0"/>
          <w:numId w:val="90"/>
        </w:numPr>
        <w:spacing w:line="264" w:lineRule="auto"/>
        <w:ind w:left="420" w:hanging="260"/>
        <w:jc w:val="both"/>
      </w:pPr>
      <w:r>
        <w:rPr>
          <w:b w:val="1"/>
          <w:bCs w:val="1"/>
          <w:sz w:val="22"/>
          <w:szCs w:val="22"/>
          <w:rtl w:val="0"/>
        </w:rPr>
        <w:t xml:space="preserve">Medication state.</w:t>
      </w:r>
      <w:r>
        <w:rPr>
          <w:sz w:val="22"/>
          <w:szCs w:val="22"/>
          <w:rtl w:val="0"/>
        </w:rPr>
        <w:t xml:space="preserve"> One record per patient-visit is kept, preferring the OFF-medication assessment, since dopaminergic treatment suppresses tremor and can shift the ratio.</w:t>
      </w:r>
    </w:p>
    <w:p>
      <w:pPr>
        <w:numPr>
          <w:ilvl w:val="0"/>
          <w:numId w:val="90"/>
        </w:numPr>
        <w:spacing w:line="264" w:lineRule="auto"/>
        <w:ind w:left="420" w:hanging="260"/>
        <w:jc w:val="both"/>
      </w:pPr>
      <w:r>
        <w:rPr>
          <w:b w:val="1"/>
          <w:bCs w:val="1"/>
          <w:sz w:val="22"/>
          <w:szCs w:val="22"/>
          <w:rtl w:val="0"/>
        </w:rPr>
        <w:t xml:space="preserve">Visits.</w:t>
      </w:r>
      <w:r>
        <w:rPr>
          <w:sz w:val="22"/>
          <w:szCs w:val="22"/>
          <w:rtl w:val="0"/>
        </w:rPr>
        <w:t xml:space="preserve"> Visit codes mapped to months (BL = 0 … V20 = 96); 3,703 rows with non-scheduled codes dropped. No minimum follow-up filter is applied, as the label is computed independently at each visit.</w:t>
      </w:r>
    </w:p>
    <w:p>
      <w:pPr>
        <w:numPr>
          <w:ilvl w:val="0"/>
          <w:numId w:val="90"/>
        </w:numPr>
        <w:spacing w:line="264" w:lineRule="auto"/>
        <w:ind w:left="420" w:hanging="260"/>
        <w:jc w:val="both"/>
      </w:pPr>
      <w:r>
        <w:rPr>
          <w:b w:val="1"/>
          <w:bCs w:val="1"/>
          <w:sz w:val="22"/>
          <w:szCs w:val="22"/>
          <w:rtl w:val="0"/>
        </w:rPr>
        <w:t xml:space="preserve">Missing data.</w:t>
      </w:r>
      <w:r>
        <w:rPr>
          <w:sz w:val="22"/>
          <w:szCs w:val="22"/>
          <w:rtl w:val="0"/>
        </w:rPr>
        <w:t xml:space="preserve"> Retained as NaN. Blanket median imputation previously flattened DaTscan binding ratio to a constant and destroyed a real signal; imputing before splitting also leaks test-fold information. Gradient-boosted trees handle NaN natively.</w:t>
      </w:r>
    </w:p>
    <w:p>
      <w:pPr>
        <w:spacing w:line="276" w:lineRule="auto"/>
        <w:jc w:val="both"/>
      </w:pPr>
      <w:r>
        <w:rPr>
          <w:sz w:val="22"/>
          <w:szCs w:val="22"/>
          <w:rtl w:val="0"/>
        </w:rPr>
        <w:t xml:space="preserve">Validation of the medication join. Median levodopa-equivalent daily dose by visit month confirms the interval logic: 0 mg at baseline is expected, because PPMI recruits de novo, drug-naive patients.</w:t>
      </w:r>
    </w:p>
    <w:tbl>
      <w:tblPr>
        <w:tblStyle w:val="Table1"/>
        <w:tblW w:w="8300" w:type="dxa"/>
        <w:tblBorders>
          <w:top w:val="single" w:sz="6" w:color="9DB2C6"/>
          <w:left w:val="single" w:sz="6" w:color="9DB2C6"/>
          <w:bottom w:val="single" w:sz="6" w:color="9DB2C6"/>
          <w:right w:val="single" w:sz="6" w:color="9DB2C6"/>
          <w:insideH w:val="single" w:sz="6" w:color="9DB2C6"/>
          <w:insideV w:val="single" w:sz="6" w:color="9DB2C6"/>
        </w:tblBorders>
        <w:tblLayout w:type="fixed"/>
      </w:tblPr>
      <w:tblGrid>
        <w:gridCol w:w="2300"/>
        <w:gridCol w:w="1200"/>
        <w:gridCol w:w="1200"/>
        <w:gridCol w:w="1200"/>
        <w:gridCol w:w="1200"/>
        <w:gridCol w:w="1200"/>
      </w:tblGrid>
      <w:tr>
        <w:trPr>
          <w:tblHeader/>
        </w:trPr>
        <w:tc>
          <w:tcPr>
            <w:tcW w:w="2300" w:type="dxa"/>
            <w:shd w:val="clear" w:color="auto" w:fill="1A3A5C"/>
            <w:vAlign w:val="center"/>
          </w:tcPr>
          <w:p>
            <w:pPr>
              <w:spacing w:line="240" w:lineRule="auto"/>
              <w:jc w:val="left"/>
            </w:pPr>
            <w:r>
              <w:rPr>
                <w:b w:val="1"/>
                <w:bCs w:val="1"/>
                <w:color w:val="FFFFFF"/>
                <w:sz w:val="18"/>
                <w:szCs w:val="18"/>
                <w:rtl w:val="0"/>
              </w:rPr>
              <w:t xml:space="preserve">Visit month</w:t>
            </w:r>
          </w:p>
        </w:tc>
        <w:tc>
          <w:tcPr>
            <w:tcW w:w="1200" w:type="dxa"/>
            <w:shd w:val="clear" w:color="auto" w:fill="1A3A5C"/>
            <w:vAlign w:val="center"/>
          </w:tcPr>
          <w:p>
            <w:pPr>
              <w:spacing w:line="240" w:lineRule="auto"/>
              <w:jc w:val="left"/>
            </w:pPr>
            <w:r>
              <w:rPr>
                <w:b w:val="1"/>
                <w:bCs w:val="1"/>
                <w:color w:val="FFFFFF"/>
                <w:sz w:val="18"/>
                <w:szCs w:val="18"/>
                <w:rtl w:val="0"/>
              </w:rPr>
              <w:t xml:space="preserve">0</w:t>
            </w:r>
          </w:p>
        </w:tc>
        <w:tc>
          <w:tcPr>
            <w:tcW w:w="1200" w:type="dxa"/>
            <w:shd w:val="clear" w:color="auto" w:fill="1A3A5C"/>
            <w:vAlign w:val="center"/>
          </w:tcPr>
          <w:p>
            <w:pPr>
              <w:spacing w:line="240" w:lineRule="auto"/>
              <w:jc w:val="left"/>
            </w:pPr>
            <w:r>
              <w:rPr>
                <w:b w:val="1"/>
                <w:bCs w:val="1"/>
                <w:color w:val="FFFFFF"/>
                <w:sz w:val="18"/>
                <w:szCs w:val="18"/>
                <w:rtl w:val="0"/>
              </w:rPr>
              <w:t xml:space="preserve">6</w:t>
            </w:r>
          </w:p>
        </w:tc>
        <w:tc>
          <w:tcPr>
            <w:tcW w:w="1200" w:type="dxa"/>
            <w:shd w:val="clear" w:color="auto" w:fill="1A3A5C"/>
            <w:vAlign w:val="center"/>
          </w:tcPr>
          <w:p>
            <w:pPr>
              <w:spacing w:line="240" w:lineRule="auto"/>
              <w:jc w:val="left"/>
            </w:pPr>
            <w:r>
              <w:rPr>
                <w:b w:val="1"/>
                <w:bCs w:val="1"/>
                <w:color w:val="FFFFFF"/>
                <w:sz w:val="18"/>
                <w:szCs w:val="18"/>
                <w:rtl w:val="0"/>
              </w:rPr>
              <w:t xml:space="preserve">12</w:t>
            </w:r>
          </w:p>
        </w:tc>
        <w:tc>
          <w:tcPr>
            <w:tcW w:w="1200" w:type="dxa"/>
            <w:shd w:val="clear" w:color="auto" w:fill="1A3A5C"/>
            <w:vAlign w:val="center"/>
          </w:tcPr>
          <w:p>
            <w:pPr>
              <w:spacing w:line="240" w:lineRule="auto"/>
              <w:jc w:val="left"/>
            </w:pPr>
            <w:r>
              <w:rPr>
                <w:b w:val="1"/>
                <w:bCs w:val="1"/>
                <w:color w:val="FFFFFF"/>
                <w:sz w:val="18"/>
                <w:szCs w:val="18"/>
                <w:rtl w:val="0"/>
              </w:rPr>
              <w:t xml:space="preserve">18</w:t>
            </w:r>
          </w:p>
        </w:tc>
        <w:tc>
          <w:tcPr>
            <w:tcW w:w="1200" w:type="dxa"/>
            <w:shd w:val="clear" w:color="auto" w:fill="1A3A5C"/>
            <w:vAlign w:val="center"/>
          </w:tcPr>
          <w:p>
            <w:pPr>
              <w:spacing w:line="240" w:lineRule="auto"/>
              <w:jc w:val="left"/>
            </w:pPr>
            <w:r>
              <w:rPr>
                <w:b w:val="1"/>
                <w:bCs w:val="1"/>
                <w:color w:val="FFFFFF"/>
                <w:sz w:val="18"/>
                <w:szCs w:val="18"/>
                <w:rtl w:val="0"/>
              </w:rPr>
              <w:t xml:space="preserve">24</w:t>
            </w:r>
          </w:p>
        </w:tc>
      </w:tr>
      <w:tr>
        <w:tc>
          <w:tcPr>
            <w:tcW w:w="2300" w:type="dxa"/>
            <w:vAlign w:val="center"/>
          </w:tcPr>
          <w:p>
            <w:pPr>
              <w:spacing w:line="240" w:lineRule="auto"/>
              <w:jc w:val="left"/>
            </w:pPr>
            <w:r>
              <w:rPr>
                <w:sz w:val="18"/>
                <w:szCs w:val="18"/>
                <w:rtl w:val="0"/>
              </w:rPr>
              <w:t xml:space="preserve">Median LEDD (mg)</w:t>
            </w:r>
          </w:p>
        </w:tc>
        <w:tc>
          <w:tcPr>
            <w:tcW w:w="1200" w:type="dxa"/>
            <w:vAlign w:val="center"/>
          </w:tcPr>
          <w:p>
            <w:pPr>
              <w:spacing w:line="240" w:lineRule="auto"/>
              <w:jc w:val="left"/>
            </w:pPr>
            <w:r>
              <w:rPr>
                <w:sz w:val="18"/>
                <w:szCs w:val="18"/>
                <w:rtl w:val="0"/>
              </w:rPr>
              <w:t xml:space="preserve">0</w:t>
            </w:r>
          </w:p>
        </w:tc>
        <w:tc>
          <w:tcPr>
            <w:tcW w:w="1200" w:type="dxa"/>
            <w:vAlign w:val="center"/>
          </w:tcPr>
          <w:p>
            <w:pPr>
              <w:spacing w:line="240" w:lineRule="auto"/>
              <w:jc w:val="left"/>
            </w:pPr>
            <w:r>
              <w:rPr>
                <w:sz w:val="18"/>
                <w:szCs w:val="18"/>
                <w:rtl w:val="0"/>
              </w:rPr>
              <w:t xml:space="preserve">179</w:t>
            </w:r>
          </w:p>
        </w:tc>
        <w:tc>
          <w:tcPr>
            <w:tcW w:w="1200" w:type="dxa"/>
            <w:vAlign w:val="center"/>
          </w:tcPr>
          <w:p>
            <w:pPr>
              <w:spacing w:line="240" w:lineRule="auto"/>
              <w:jc w:val="left"/>
            </w:pPr>
            <w:r>
              <w:rPr>
                <w:sz w:val="18"/>
                <w:szCs w:val="18"/>
                <w:rtl w:val="0"/>
              </w:rPr>
              <w:t xml:space="preserve">300</w:t>
            </w:r>
          </w:p>
        </w:tc>
        <w:tc>
          <w:tcPr>
            <w:tcW w:w="1200" w:type="dxa"/>
            <w:vAlign w:val="center"/>
          </w:tcPr>
          <w:p>
            <w:pPr>
              <w:spacing w:line="240" w:lineRule="auto"/>
              <w:jc w:val="left"/>
            </w:pPr>
            <w:r>
              <w:rPr>
                <w:sz w:val="18"/>
                <w:szCs w:val="18"/>
                <w:rtl w:val="0"/>
              </w:rPr>
              <w:t xml:space="preserve">400</w:t>
            </w:r>
          </w:p>
        </w:tc>
        <w:tc>
          <w:tcPr>
            <w:tcW w:w="1200" w:type="dxa"/>
            <w:vAlign w:val="center"/>
          </w:tcPr>
          <w:p>
            <w:pPr>
              <w:spacing w:line="240" w:lineRule="auto"/>
              <w:jc w:val="left"/>
            </w:pPr>
            <w:r>
              <w:rPr>
                <w:sz w:val="18"/>
                <w:szCs w:val="18"/>
                <w:rtl w:val="0"/>
              </w:rPr>
              <w:t xml:space="preserve">500</w:t>
            </w:r>
          </w:p>
        </w:tc>
      </w:tr>
    </w:tbl>
    <w:p>
      <w:pPr>
        <w:spacing w:line="276" w:lineRule="auto"/>
        <w:jc w:val="both"/>
      </w:pPr>
      <w:r>
        <w:rPr>
          <w:sz w:val="8"/>
          <w:szCs w:val="8"/>
          <w:rtl w:val="0"/>
        </w:rPr>
        <w:t xml:space="preserve"/>
      </w:r>
    </w:p>
    <w:p>
      <w:pPr>
        <w:pStyle w:val="Heading2"/>
        <w:spacing w:line="276" w:lineRule="auto"/>
        <w:jc w:val="both"/>
      </w:pPr>
      <w:r>
        <w:rPr>
          <w:b w:val="1"/>
          <w:bCs w:val="1"/>
          <w:sz w:val="24"/>
          <w:szCs w:val="24"/>
          <w:rtl w:val="0"/>
        </w:rPr>
        <w:t xml:space="preserve">5.7 Label definition and verification</w:t>
      </w:r>
    </w:p>
    <w:p>
      <w:pPr>
        <w:numPr>
          <w:ilvl w:val="0"/>
          <w:numId w:val="90"/>
        </w:numPr>
        <w:spacing w:line="264" w:lineRule="auto"/>
        <w:ind w:left="420" w:hanging="260"/>
        <w:jc w:val="both"/>
      </w:pPr>
      <w:r>
        <w:rPr>
          <w:b w:val="1"/>
          <w:bCs w:val="1"/>
          <w:sz w:val="22"/>
          <w:szCs w:val="22"/>
          <w:rtl w:val="0"/>
        </w:rPr>
        <w:t xml:space="preserve">Tremor score</w:t>
      </w:r>
      <w:r>
        <w:rPr>
          <w:sz w:val="22"/>
          <w:szCs w:val="22"/>
          <w:rtl w:val="0"/>
        </w:rPr>
        <w:t xml:space="preserve"> = mean of 11 items (1 patient-reported, 10 examiner-scored).</w:t>
      </w:r>
    </w:p>
    <w:p>
      <w:pPr>
        <w:numPr>
          <w:ilvl w:val="0"/>
          <w:numId w:val="90"/>
        </w:numPr>
        <w:spacing w:line="264" w:lineRule="auto"/>
        <w:ind w:left="420" w:hanging="260"/>
        <w:jc w:val="both"/>
      </w:pPr>
      <w:r>
        <w:rPr>
          <w:b w:val="1"/>
          <w:bCs w:val="1"/>
          <w:sz w:val="22"/>
          <w:szCs w:val="22"/>
          <w:rtl w:val="0"/>
        </w:rPr>
        <w:t xml:space="preserve">PIGD score</w:t>
      </w:r>
      <w:r>
        <w:rPr>
          <w:sz w:val="22"/>
          <w:szCs w:val="22"/>
          <w:rtl w:val="0"/>
        </w:rPr>
        <w:t xml:space="preserve"> = mean of 5 items (2 patient-reported, 3 examiner-scored).</w:t>
      </w:r>
    </w:p>
    <w:p>
      <w:pPr>
        <w:numPr>
          <w:ilvl w:val="0"/>
          <w:numId w:val="90"/>
        </w:numPr>
        <w:spacing w:line="264" w:lineRule="auto"/>
        <w:ind w:left="420" w:hanging="260"/>
        <w:jc w:val="both"/>
      </w:pPr>
      <w:r>
        <w:rPr>
          <w:b w:val="1"/>
          <w:bCs w:val="1"/>
          <w:sz w:val="22"/>
          <w:szCs w:val="22"/>
          <w:rtl w:val="0"/>
        </w:rPr>
        <w:t xml:space="preserve">Classification.</w:t>
      </w:r>
      <w:r>
        <w:rPr>
          <w:sz w:val="22"/>
          <w:szCs w:val="22"/>
          <w:rtl w:val="0"/>
        </w:rPr>
        <w:t xml:space="preserve"> ratio = tremor / PIGD; ≥ 1.15 → TD, ≤ 0.90 → PIGD, otherwise indeterminate.</w:t>
      </w:r>
    </w:p>
    <w:p>
      <w:pPr>
        <w:numPr>
          <w:ilvl w:val="0"/>
          <w:numId w:val="90"/>
        </w:numPr>
        <w:spacing w:line="264" w:lineRule="auto"/>
        <w:ind w:left="420" w:hanging="260"/>
        <w:jc w:val="both"/>
      </w:pPr>
      <w:r>
        <w:rPr>
          <w:b w:val="1"/>
          <w:bCs w:val="1"/>
          <w:sz w:val="22"/>
          <w:szCs w:val="22"/>
          <w:rtl w:val="0"/>
        </w:rPr>
        <w:t xml:space="preserve">Completeness rule.</w:t>
      </w:r>
      <w:r>
        <w:rPr>
          <w:sz w:val="22"/>
          <w:szCs w:val="22"/>
          <w:rtl w:val="0"/>
        </w:rPr>
        <w:t xml:space="preserve"> A label is assigned only when all 16 items are present, so no label derives from a partial mean; 17% of rows therefore remain unlabelled, concentrated at later visits where the motor exam was not administered.</w:t>
      </w:r>
    </w:p>
    <w:p>
      <w:pPr>
        <w:numPr>
          <w:ilvl w:val="0"/>
          <w:numId w:val="90"/>
        </w:numPr>
        <w:spacing w:line="264" w:lineRule="auto"/>
        <w:ind w:left="420" w:hanging="260"/>
        <w:jc w:val="both"/>
      </w:pPr>
      <w:r>
        <w:rPr>
          <w:b w:val="1"/>
          <w:bCs w:val="1"/>
          <w:sz w:val="22"/>
          <w:szCs w:val="22"/>
          <w:rtl w:val="0"/>
        </w:rPr>
        <w:t xml:space="preserve">Undefined ratio.</w:t>
      </w:r>
      <w:r>
        <w:rPr>
          <w:sz w:val="22"/>
          <w:szCs w:val="22"/>
          <w:rtl w:val="0"/>
        </w:rPr>
        <w:t xml:space="preserve"> Where the PIGD score is zero, the row is assigned TD if the tremor score is positive and indeterminate if both are zero. This affects 845 rows (14.7% of labelled rows) and warrants a sensitivity analysis.</w:t>
      </w:r>
    </w:p>
    <w:p>
      <w:pPr>
        <w:numPr>
          <w:ilvl w:val="0"/>
          <w:numId w:val="90"/>
        </w:numPr>
        <w:spacing w:line="264" w:lineRule="auto"/>
        <w:ind w:left="420" w:hanging="260"/>
        <w:jc w:val="both"/>
      </w:pPr>
      <w:r>
        <w:rPr>
          <w:b w:val="1"/>
          <w:bCs w:val="1"/>
          <w:sz w:val="22"/>
          <w:szCs w:val="22"/>
          <w:rtl w:val="0"/>
        </w:rPr>
        <w:t xml:space="preserve">Verification.</w:t>
      </w:r>
      <w:r>
        <w:rPr>
          <w:sz w:val="22"/>
          <w:szCs w:val="22"/>
          <w:rtl w:val="0"/>
        </w:rPr>
        <w:t xml:space="preserve"> Every label was recomputed independently from its two component scores: 0 mismatches across all 5,742 labelled rows.</w:t>
      </w:r>
    </w:p>
    <w:p>
      <w:pPr>
        <w:pStyle w:val="Heading2"/>
        <w:spacing w:line="276" w:lineRule="auto"/>
        <w:jc w:val="both"/>
      </w:pPr>
      <w:r>
        <w:rPr>
          <w:b w:val="1"/>
          <w:bCs w:val="1"/>
          <w:sz w:val="24"/>
          <w:szCs w:val="24"/>
          <w:rtl w:val="0"/>
        </w:rPr>
        <w:t xml:space="preserve">5.8 Leakage control</w:t>
      </w:r>
    </w:p>
    <w:p>
      <w:pPr>
        <w:spacing w:line="276" w:lineRule="auto"/>
        <w:jc w:val="both"/>
      </w:pPr>
      <w:r>
        <w:rPr>
          <w:sz w:val="24"/>
          <w:szCs w:val="24"/>
          <w:rtl w:val="0"/>
        </w:rPr>
        <w:t xml:space="preserve">The label is a deterministic function of 16 MDS-UPDRS items, so a model permitted to see them would re-derive arithmetic rather than learn. Supplying them raises accuracy to 0.906 while measuring nothing of interest. Feature eligibility is therefore enforced programmatically, and the script aborts if a banned column reaches a feature group.</w:t>
      </w:r>
    </w:p>
    <w:tbl>
      <w:tblPr>
        <w:tblStyle w:val="Table1"/>
        <w:tblW w:w="8400" w:type="dxa"/>
        <w:tblBorders>
          <w:top w:val="single" w:sz="6" w:color="9DB2C6"/>
          <w:left w:val="single" w:sz="6" w:color="9DB2C6"/>
          <w:bottom w:val="single" w:sz="6" w:color="9DB2C6"/>
          <w:right w:val="single" w:sz="6" w:color="9DB2C6"/>
          <w:insideH w:val="single" w:sz="6" w:color="9DB2C6"/>
          <w:insideV w:val="single" w:sz="6" w:color="9DB2C6"/>
        </w:tblBorders>
        <w:tblLayout w:type="fixed"/>
      </w:tblPr>
      <w:tblGrid>
        <w:gridCol w:w="2100"/>
        <w:gridCol w:w="700"/>
        <w:gridCol w:w="4200"/>
        <w:gridCol w:w="1400"/>
      </w:tblGrid>
      <w:tr>
        <w:trPr>
          <w:tblHeader/>
        </w:trPr>
        <w:tc>
          <w:tcPr>
            <w:tcW w:w="2100" w:type="dxa"/>
            <w:shd w:val="clear" w:color="auto" w:fill="1A3A5C"/>
            <w:vAlign w:val="center"/>
          </w:tcPr>
          <w:p>
            <w:pPr>
              <w:spacing w:line="240" w:lineRule="auto"/>
              <w:jc w:val="left"/>
            </w:pPr>
            <w:r>
              <w:rPr>
                <w:b w:val="1"/>
                <w:bCs w:val="1"/>
                <w:color w:val="FFFFFF"/>
                <w:sz w:val="18"/>
                <w:szCs w:val="18"/>
                <w:rtl w:val="0"/>
              </w:rPr>
              <w:t xml:space="preserve">Group</w:t>
            </w:r>
          </w:p>
        </w:tc>
        <w:tc>
          <w:tcPr>
            <w:tcW w:w="700" w:type="dxa"/>
            <w:shd w:val="clear" w:color="auto" w:fill="1A3A5C"/>
            <w:vAlign w:val="center"/>
          </w:tcPr>
          <w:p>
            <w:pPr>
              <w:spacing w:line="240" w:lineRule="auto"/>
              <w:jc w:val="left"/>
            </w:pPr>
            <w:r>
              <w:rPr>
                <w:b w:val="1"/>
                <w:bCs w:val="1"/>
                <w:color w:val="FFFFFF"/>
                <w:sz w:val="18"/>
                <w:szCs w:val="18"/>
                <w:rtl w:val="0"/>
              </w:rPr>
              <w:t xml:space="preserve">Count</w:t>
            </w:r>
          </w:p>
        </w:tc>
        <w:tc>
          <w:tcPr>
            <w:tcW w:w="4200" w:type="dxa"/>
            <w:shd w:val="clear" w:color="auto" w:fill="1A3A5C"/>
            <w:vAlign w:val="center"/>
          </w:tcPr>
          <w:p>
            <w:pPr>
              <w:spacing w:line="240" w:lineRule="auto"/>
              <w:jc w:val="left"/>
            </w:pPr>
            <w:r>
              <w:rPr>
                <w:b w:val="1"/>
                <w:bCs w:val="1"/>
                <w:color w:val="FFFFFF"/>
                <w:sz w:val="18"/>
                <w:szCs w:val="18"/>
                <w:rtl w:val="0"/>
              </w:rPr>
              <w:t xml:space="preserve">Contents</w:t>
            </w:r>
          </w:p>
        </w:tc>
        <w:tc>
          <w:tcPr>
            <w:tcW w:w="1400" w:type="dxa"/>
            <w:shd w:val="clear" w:color="auto" w:fill="1A3A5C"/>
            <w:vAlign w:val="center"/>
          </w:tcPr>
          <w:p>
            <w:pPr>
              <w:spacing w:line="240" w:lineRule="auto"/>
              <w:jc w:val="left"/>
            </w:pPr>
            <w:r>
              <w:rPr>
                <w:b w:val="1"/>
                <w:bCs w:val="1"/>
                <w:color w:val="FFFFFF"/>
                <w:sz w:val="18"/>
                <w:szCs w:val="18"/>
                <w:rtl w:val="0"/>
              </w:rPr>
              <w:t xml:space="preserve">Model input?</w:t>
            </w:r>
          </w:p>
        </w:tc>
      </w:tr>
      <w:tr>
        <w:tc>
          <w:tcPr>
            <w:tcW w:w="2100" w:type="dxa"/>
            <w:vAlign w:val="center"/>
          </w:tcPr>
          <w:p>
            <w:pPr>
              <w:spacing w:line="240" w:lineRule="auto"/>
              <w:jc w:val="left"/>
            </w:pPr>
            <w:r>
              <w:rPr>
                <w:sz w:val="18"/>
                <w:szCs w:val="18"/>
                <w:rtl w:val="0"/>
              </w:rPr>
              <w:t xml:space="preserve">Label-defining (Part III)</w:t>
            </w:r>
          </w:p>
        </w:tc>
        <w:tc>
          <w:tcPr>
            <w:tcW w:w="700" w:type="dxa"/>
            <w:vAlign w:val="center"/>
          </w:tcPr>
          <w:p>
            <w:pPr>
              <w:spacing w:line="240" w:lineRule="auto"/>
              <w:jc w:val="left"/>
            </w:pPr>
            <w:r>
              <w:rPr>
                <w:sz w:val="18"/>
                <w:szCs w:val="18"/>
                <w:rtl w:val="0"/>
              </w:rPr>
              <w:t xml:space="preserve">13</w:t>
            </w:r>
          </w:p>
        </w:tc>
        <w:tc>
          <w:tcPr>
            <w:tcW w:w="4200" w:type="dxa"/>
            <w:vAlign w:val="center"/>
          </w:tcPr>
          <w:p>
            <w:pPr>
              <w:spacing w:line="240" w:lineRule="auto"/>
              <w:jc w:val="left"/>
            </w:pPr>
            <w:r>
              <w:rPr>
                <w:sz w:val="18"/>
                <w:szCs w:val="18"/>
                <w:rtl w:val="0"/>
              </w:rPr>
              <w:t xml:space="preserve">10 tremor items + gait, freezing of gait, postural stability</w:t>
            </w:r>
          </w:p>
        </w:tc>
        <w:tc>
          <w:tcPr>
            <w:tcW w:w="1400" w:type="dxa"/>
            <w:vAlign w:val="center"/>
          </w:tcPr>
          <w:p>
            <w:pPr>
              <w:spacing w:line="240" w:lineRule="auto"/>
              <w:jc w:val="left"/>
            </w:pPr>
            <w:r>
              <w:rPr>
                <w:sz w:val="18"/>
                <w:szCs w:val="18"/>
                <w:rtl w:val="0"/>
              </w:rPr>
              <w:t xml:space="preserve">Never</w:t>
            </w:r>
          </w:p>
        </w:tc>
      </w:tr>
      <w:tr>
        <w:tc>
          <w:tcPr>
            <w:tcW w:w="2100" w:type="dxa"/>
            <w:vAlign w:val="center"/>
          </w:tcPr>
          <w:p>
            <w:pPr>
              <w:spacing w:line="240" w:lineRule="auto"/>
              <w:jc w:val="left"/>
            </w:pPr>
            <w:r>
              <w:rPr>
                <w:sz w:val="18"/>
                <w:szCs w:val="18"/>
                <w:rtl w:val="0"/>
              </w:rPr>
              <w:t xml:space="preserve">Label-defining (Part II)</w:t>
            </w:r>
          </w:p>
        </w:tc>
        <w:tc>
          <w:tcPr>
            <w:tcW w:w="700" w:type="dxa"/>
            <w:vAlign w:val="center"/>
          </w:tcPr>
          <w:p>
            <w:pPr>
              <w:spacing w:line="240" w:lineRule="auto"/>
              <w:jc w:val="left"/>
            </w:pPr>
            <w:r>
              <w:rPr>
                <w:sz w:val="18"/>
                <w:szCs w:val="18"/>
                <w:rtl w:val="0"/>
              </w:rPr>
              <w:t xml:space="preserve">3</w:t>
            </w:r>
          </w:p>
        </w:tc>
        <w:tc>
          <w:tcPr>
            <w:tcW w:w="4200" w:type="dxa"/>
            <w:vAlign w:val="center"/>
          </w:tcPr>
          <w:p>
            <w:pPr>
              <w:spacing w:line="240" w:lineRule="auto"/>
              <w:jc w:val="left"/>
            </w:pPr>
            <w:r>
              <w:rPr>
                <w:sz w:val="18"/>
                <w:szCs w:val="18"/>
                <w:rtl w:val="0"/>
              </w:rPr>
              <w:t xml:space="preserve">NP2TRMR, NP2WALK, NP2FREZ (patient-reported)</w:t>
            </w:r>
          </w:p>
        </w:tc>
        <w:tc>
          <w:tcPr>
            <w:tcW w:w="1400" w:type="dxa"/>
            <w:vAlign w:val="center"/>
          </w:tcPr>
          <w:p>
            <w:pPr>
              <w:spacing w:line="240" w:lineRule="auto"/>
              <w:jc w:val="left"/>
            </w:pPr>
            <w:r>
              <w:rPr>
                <w:sz w:val="18"/>
                <w:szCs w:val="18"/>
                <w:rtl w:val="0"/>
              </w:rPr>
              <w:t xml:space="preserve">Never</w:t>
            </w:r>
          </w:p>
        </w:tc>
      </w:tr>
      <w:tr>
        <w:tc>
          <w:tcPr>
            <w:tcW w:w="2100" w:type="dxa"/>
            <w:vAlign w:val="center"/>
          </w:tcPr>
          <w:p>
            <w:pPr>
              <w:spacing w:line="240" w:lineRule="auto"/>
              <w:jc w:val="left"/>
            </w:pPr>
            <w:r>
              <w:rPr>
                <w:sz w:val="18"/>
                <w:szCs w:val="18"/>
                <w:rtl w:val="0"/>
              </w:rPr>
              <w:t xml:space="preserve">Indirect encoders</w:t>
            </w:r>
          </w:p>
        </w:tc>
        <w:tc>
          <w:tcPr>
            <w:tcW w:w="700" w:type="dxa"/>
            <w:vAlign w:val="center"/>
          </w:tcPr>
          <w:p>
            <w:pPr>
              <w:spacing w:line="240" w:lineRule="auto"/>
              <w:jc w:val="left"/>
            </w:pPr>
            <w:r>
              <w:rPr>
                <w:sz w:val="18"/>
                <w:szCs w:val="18"/>
                <w:rtl w:val="0"/>
              </w:rPr>
              <w:t xml:space="preserve">3</w:t>
            </w:r>
          </w:p>
        </w:tc>
        <w:tc>
          <w:tcPr>
            <w:tcW w:w="4200" w:type="dxa"/>
            <w:vAlign w:val="center"/>
          </w:tcPr>
          <w:p>
            <w:pPr>
              <w:spacing w:line="240" w:lineRule="auto"/>
              <w:jc w:val="left"/>
            </w:pPr>
            <w:r>
              <w:rPr>
                <w:sz w:val="18"/>
                <w:szCs w:val="18"/>
                <w:rtl w:val="0"/>
              </w:rPr>
              <w:t xml:space="preserve">NP3TOT, NP2PTOT (sums containing the above), NHY (stage 3 is defined by postural instability)</w:t>
            </w:r>
          </w:p>
        </w:tc>
        <w:tc>
          <w:tcPr>
            <w:tcW w:w="1400" w:type="dxa"/>
            <w:vAlign w:val="center"/>
          </w:tcPr>
          <w:p>
            <w:pPr>
              <w:spacing w:line="240" w:lineRule="auto"/>
              <w:jc w:val="left"/>
            </w:pPr>
            <w:r>
              <w:rPr>
                <w:sz w:val="18"/>
                <w:szCs w:val="18"/>
                <w:rtl w:val="0"/>
              </w:rPr>
              <w:t xml:space="preserve">Never</w:t>
            </w:r>
          </w:p>
        </w:tc>
      </w:tr>
      <w:tr>
        <w:tc>
          <w:tcPr>
            <w:tcW w:w="2100" w:type="dxa"/>
            <w:vAlign w:val="center"/>
          </w:tcPr>
          <w:p>
            <w:pPr>
              <w:spacing w:line="240" w:lineRule="auto"/>
              <w:jc w:val="left"/>
            </w:pPr>
            <w:r>
              <w:rPr>
                <w:sz w:val="18"/>
                <w:szCs w:val="18"/>
                <w:rtl w:val="0"/>
              </w:rPr>
              <w:t xml:space="preserve">Permitted features</w:t>
            </w:r>
          </w:p>
        </w:tc>
        <w:tc>
          <w:tcPr>
            <w:tcW w:w="700" w:type="dxa"/>
            <w:vAlign w:val="center"/>
          </w:tcPr>
          <w:p>
            <w:pPr>
              <w:spacing w:line="240" w:lineRule="auto"/>
              <w:jc w:val="left"/>
            </w:pPr>
            <w:r>
              <w:rPr>
                <w:sz w:val="18"/>
                <w:szCs w:val="18"/>
                <w:rtl w:val="0"/>
              </w:rPr>
              <w:t xml:space="preserve">27</w:t>
            </w:r>
          </w:p>
        </w:tc>
        <w:tc>
          <w:tcPr>
            <w:tcW w:w="4200" w:type="dxa"/>
            <w:vAlign w:val="center"/>
          </w:tcPr>
          <w:p>
            <w:pPr>
              <w:spacing w:line="240" w:lineRule="auto"/>
              <w:jc w:val="left"/>
            </w:pPr>
            <w:r>
              <w:rPr>
                <w:sz w:val="18"/>
                <w:szCs w:val="18"/>
                <w:rtl w:val="0"/>
              </w:rPr>
              <w:t xml:space="preserve">10 non-formula MDS-UPDRS Part II items, 6 non-motor instrument totals, medication, demographics, disease duration</w:t>
            </w:r>
          </w:p>
        </w:tc>
        <w:tc>
          <w:tcPr>
            <w:tcW w:w="1400" w:type="dxa"/>
            <w:vAlign w:val="center"/>
          </w:tcPr>
          <w:p>
            <w:pPr>
              <w:spacing w:line="240" w:lineRule="auto"/>
              <w:jc w:val="left"/>
            </w:pPr>
            <w:r>
              <w:rPr>
                <w:sz w:val="18"/>
                <w:szCs w:val="18"/>
                <w:rtl w:val="0"/>
              </w:rPr>
              <w:t xml:space="preserve">Yes</w:t>
            </w:r>
          </w:p>
        </w:tc>
      </w:tr>
      <w:tr>
        <w:tc>
          <w:tcPr>
            <w:tcW w:w="2100" w:type="dxa"/>
            <w:vAlign w:val="center"/>
          </w:tcPr>
          <w:p>
            <w:pPr>
              <w:spacing w:line="240" w:lineRule="auto"/>
              <w:jc w:val="left"/>
            </w:pPr>
            <w:r>
              <w:rPr>
                <w:sz w:val="18"/>
                <w:szCs w:val="18"/>
                <w:rtl w:val="0"/>
              </w:rPr>
              <w:t xml:space="preserve">Resource-dependent</w:t>
            </w:r>
          </w:p>
        </w:tc>
        <w:tc>
          <w:tcPr>
            <w:tcW w:w="700" w:type="dxa"/>
            <w:vAlign w:val="center"/>
          </w:tcPr>
          <w:p>
            <w:pPr>
              <w:spacing w:line="240" w:lineRule="auto"/>
              <w:jc w:val="left"/>
            </w:pPr>
            <w:r>
              <w:rPr>
                <w:sz w:val="18"/>
                <w:szCs w:val="18"/>
                <w:rtl w:val="0"/>
              </w:rPr>
              <w:t xml:space="preserve">12</w:t>
            </w:r>
          </w:p>
        </w:tc>
        <w:tc>
          <w:tcPr>
            <w:tcW w:w="4200" w:type="dxa"/>
            <w:vAlign w:val="center"/>
          </w:tcPr>
          <w:p>
            <w:pPr>
              <w:spacing w:line="240" w:lineRule="auto"/>
              <w:jc w:val="left"/>
            </w:pPr>
            <w:r>
              <w:rPr>
                <w:sz w:val="18"/>
                <w:szCs w:val="18"/>
                <w:rtl w:val="0"/>
              </w:rPr>
              <w:t xml:space="preserve">DaTscan measures and gene columns</w:t>
            </w:r>
          </w:p>
        </w:tc>
        <w:tc>
          <w:tcPr>
            <w:tcW w:w="1400" w:type="dxa"/>
            <w:vAlign w:val="center"/>
          </w:tcPr>
          <w:p>
            <w:pPr>
              <w:spacing w:line="240" w:lineRule="auto"/>
              <w:jc w:val="left"/>
            </w:pPr>
            <w:r>
              <w:rPr>
                <w:sz w:val="18"/>
                <w:szCs w:val="18"/>
                <w:rtl w:val="0"/>
              </w:rPr>
              <w:t xml:space="preserve">Optional variant</w:t>
            </w:r>
          </w:p>
        </w:tc>
      </w:tr>
    </w:tbl>
    <w:p>
      <w:pPr>
        <w:spacing w:line="276" w:lineRule="auto"/>
        <w:jc w:val="both"/>
      </w:pPr>
      <w:r>
        <w:rPr>
          <w:sz w:val="8"/>
          <w:szCs w:val="8"/>
          <w:rtl w:val="0"/>
        </w:rPr>
        <w:t xml:space="preserve"/>
      </w:r>
    </w:p>
    <w:p>
      <w:pPr>
        <w:pStyle w:val="Heading2"/>
        <w:spacing w:line="276" w:lineRule="auto"/>
        <w:jc w:val="both"/>
      </w:pPr>
      <w:r>
        <w:rPr>
          <w:b w:val="1"/>
          <w:bCs w:val="1"/>
          <w:sz w:val="24"/>
          <w:szCs w:val="24"/>
          <w:rtl w:val="0"/>
        </w:rPr>
        <w:t xml:space="preserve">5.9 Label instability</w:t>
      </w:r>
    </w:p>
    <w:p>
      <w:pPr>
        <w:spacing w:line="276" w:lineRule="auto"/>
        <w:jc w:val="both"/>
      </w:pPr>
      <w:r>
        <w:rPr>
          <w:sz w:val="24"/>
          <w:szCs w:val="24"/>
          <w:rtl w:val="0"/>
        </w:rPr>
        <w:t xml:space="preserve">Each visit is paired with the following scheduled visit to derive the transition target (4,918 consecutive pairs with both labels known).</w:t>
      </w:r>
    </w:p>
    <w:tbl>
      <w:tblPr>
        <w:tblStyle w:val="Table1"/>
        <w:tblW w:w="7600" w:type="dxa"/>
        <w:tblBorders>
          <w:top w:val="single" w:sz="6" w:color="9DB2C6"/>
          <w:left w:val="single" w:sz="6" w:color="9DB2C6"/>
          <w:bottom w:val="single" w:sz="6" w:color="9DB2C6"/>
          <w:right w:val="single" w:sz="6" w:color="9DB2C6"/>
          <w:insideH w:val="single" w:sz="6" w:color="9DB2C6"/>
          <w:insideV w:val="single" w:sz="6" w:color="9DB2C6"/>
        </w:tblBorders>
        <w:tblLayout w:type="fixed"/>
      </w:tblPr>
      <w:tblGrid>
        <w:gridCol w:w="2600"/>
        <w:gridCol w:w="3000"/>
        <w:gridCol w:w="2000"/>
      </w:tblGrid>
      <w:tr>
        <w:trPr>
          <w:tblHeader/>
        </w:trPr>
        <w:tc>
          <w:tcPr>
            <w:tcW w:w="2600" w:type="dxa"/>
            <w:shd w:val="clear" w:color="auto" w:fill="1A3A5C"/>
            <w:vAlign w:val="center"/>
          </w:tcPr>
          <w:p>
            <w:pPr>
              <w:spacing w:line="240" w:lineRule="auto"/>
              <w:jc w:val="left"/>
            </w:pPr>
            <w:r>
              <w:rPr>
                <w:b w:val="1"/>
                <w:bCs w:val="1"/>
                <w:color w:val="FFFFFF"/>
                <w:sz w:val="18"/>
                <w:szCs w:val="18"/>
                <w:rtl w:val="0"/>
              </w:rPr>
              <w:t xml:space="preserve">Current label</w:t>
            </w:r>
          </w:p>
        </w:tc>
        <w:tc>
          <w:tcPr>
            <w:tcW w:w="3000" w:type="dxa"/>
            <w:shd w:val="clear" w:color="auto" w:fill="1A3A5C"/>
            <w:vAlign w:val="center"/>
          </w:tcPr>
          <w:p>
            <w:pPr>
              <w:spacing w:line="240" w:lineRule="auto"/>
              <w:jc w:val="left"/>
            </w:pPr>
            <w:r>
              <w:rPr>
                <w:b w:val="1"/>
                <w:bCs w:val="1"/>
                <w:color w:val="FFFFFF"/>
                <w:sz w:val="18"/>
                <w:szCs w:val="18"/>
                <w:rtl w:val="0"/>
              </w:rPr>
              <w:t xml:space="preserve">Flip rate at next visit</w:t>
            </w:r>
          </w:p>
        </w:tc>
        <w:tc>
          <w:tcPr>
            <w:tcW w:w="2000" w:type="dxa"/>
            <w:shd w:val="clear" w:color="auto" w:fill="1A3A5C"/>
            <w:vAlign w:val="center"/>
          </w:tcPr>
          <w:p>
            <w:pPr>
              <w:spacing w:line="240" w:lineRule="auto"/>
              <w:jc w:val="left"/>
            </w:pPr>
            <w:r>
              <w:rPr>
                <w:b w:val="1"/>
                <w:bCs w:val="1"/>
                <w:color w:val="FFFFFF"/>
                <w:sz w:val="18"/>
                <w:szCs w:val="18"/>
                <w:rtl w:val="0"/>
              </w:rPr>
              <w:t xml:space="preserve">Visit pairs</w:t>
            </w:r>
          </w:p>
        </w:tc>
      </w:tr>
      <w:tr>
        <w:tc>
          <w:tcPr>
            <w:tcW w:w="2600" w:type="dxa"/>
            <w:vAlign w:val="center"/>
          </w:tcPr>
          <w:p>
            <w:pPr>
              <w:spacing w:line="240" w:lineRule="auto"/>
              <w:jc w:val="left"/>
            </w:pPr>
            <w:r>
              <w:rPr>
                <w:sz w:val="18"/>
                <w:szCs w:val="18"/>
                <w:rtl w:val="0"/>
              </w:rPr>
              <w:t xml:space="preserve">TD</w:t>
            </w:r>
          </w:p>
        </w:tc>
        <w:tc>
          <w:tcPr>
            <w:tcW w:w="3000" w:type="dxa"/>
            <w:vAlign w:val="center"/>
          </w:tcPr>
          <w:p>
            <w:pPr>
              <w:spacing w:line="240" w:lineRule="auto"/>
              <w:jc w:val="left"/>
            </w:pPr>
            <w:r>
              <w:rPr>
                <w:sz w:val="18"/>
                <w:szCs w:val="18"/>
                <w:rtl w:val="0"/>
              </w:rPr>
              <w:t xml:space="preserve">20.9%</w:t>
            </w:r>
          </w:p>
        </w:tc>
        <w:tc>
          <w:tcPr>
            <w:tcW w:w="2000" w:type="dxa"/>
            <w:vAlign w:val="center"/>
          </w:tcPr>
          <w:p>
            <w:pPr>
              <w:spacing w:line="240" w:lineRule="auto"/>
              <w:jc w:val="left"/>
            </w:pPr>
            <w:r>
              <w:rPr>
                <w:sz w:val="18"/>
                <w:szCs w:val="18"/>
                <w:rtl w:val="0"/>
              </w:rPr>
              <w:t xml:space="preserve">2,744</w:t>
            </w:r>
          </w:p>
        </w:tc>
      </w:tr>
      <w:tr>
        <w:tc>
          <w:tcPr>
            <w:tcW w:w="2600" w:type="dxa"/>
            <w:vAlign w:val="center"/>
          </w:tcPr>
          <w:p>
            <w:pPr>
              <w:spacing w:line="240" w:lineRule="auto"/>
              <w:jc w:val="left"/>
            </w:pPr>
            <w:r>
              <w:rPr>
                <w:sz w:val="18"/>
                <w:szCs w:val="18"/>
                <w:rtl w:val="0"/>
              </w:rPr>
              <w:t xml:space="preserve">PIGD</w:t>
            </w:r>
          </w:p>
        </w:tc>
        <w:tc>
          <w:tcPr>
            <w:tcW w:w="3000" w:type="dxa"/>
            <w:vAlign w:val="center"/>
          </w:tcPr>
          <w:p>
            <w:pPr>
              <w:spacing w:line="240" w:lineRule="auto"/>
              <w:jc w:val="left"/>
            </w:pPr>
            <w:r>
              <w:rPr>
                <w:sz w:val="18"/>
                <w:szCs w:val="18"/>
                <w:rtl w:val="0"/>
              </w:rPr>
              <w:t xml:space="preserve">27.1%</w:t>
            </w:r>
          </w:p>
        </w:tc>
        <w:tc>
          <w:tcPr>
            <w:tcW w:w="2000" w:type="dxa"/>
            <w:vAlign w:val="center"/>
          </w:tcPr>
          <w:p>
            <w:pPr>
              <w:spacing w:line="240" w:lineRule="auto"/>
              <w:jc w:val="left"/>
            </w:pPr>
            <w:r>
              <w:rPr>
                <w:sz w:val="18"/>
                <w:szCs w:val="18"/>
                <w:rtl w:val="0"/>
              </w:rPr>
              <w:t xml:space="preserve">1,629</w:t>
            </w:r>
          </w:p>
        </w:tc>
      </w:tr>
      <w:tr>
        <w:tc>
          <w:tcPr>
            <w:tcW w:w="2600" w:type="dxa"/>
            <w:vAlign w:val="center"/>
          </w:tcPr>
          <w:p>
            <w:pPr>
              <w:spacing w:line="240" w:lineRule="auto"/>
              <w:jc w:val="left"/>
            </w:pPr>
            <w:r>
              <w:rPr>
                <w:sz w:val="18"/>
                <w:szCs w:val="18"/>
                <w:rtl w:val="0"/>
              </w:rPr>
              <w:t xml:space="preserve">Indeterminate</w:t>
            </w:r>
          </w:p>
        </w:tc>
        <w:tc>
          <w:tcPr>
            <w:tcW w:w="3000" w:type="dxa"/>
            <w:vAlign w:val="center"/>
          </w:tcPr>
          <w:p>
            <w:pPr>
              <w:spacing w:line="240" w:lineRule="auto"/>
              <w:jc w:val="left"/>
            </w:pPr>
            <w:r>
              <w:rPr>
                <w:sz w:val="18"/>
                <w:szCs w:val="18"/>
                <w:rtl w:val="0"/>
              </w:rPr>
              <w:t xml:space="preserve">76.3%</w:t>
            </w:r>
          </w:p>
        </w:tc>
        <w:tc>
          <w:tcPr>
            <w:tcW w:w="2000" w:type="dxa"/>
            <w:vAlign w:val="center"/>
          </w:tcPr>
          <w:p>
            <w:pPr>
              <w:spacing w:line="240" w:lineRule="auto"/>
              <w:jc w:val="left"/>
            </w:pPr>
            <w:r>
              <w:rPr>
                <w:sz w:val="18"/>
                <w:szCs w:val="18"/>
                <w:rtl w:val="0"/>
              </w:rPr>
              <w:t xml:space="preserve">545</w:t>
            </w:r>
          </w:p>
        </w:tc>
      </w:tr>
      <w:tr>
        <w:tc>
          <w:tcPr>
            <w:tcW w:w="2600" w:type="dxa"/>
            <w:vAlign w:val="center"/>
          </w:tcPr>
          <w:p>
            <w:pPr>
              <w:spacing w:line="240" w:lineRule="auto"/>
              <w:jc w:val="left"/>
            </w:pPr>
            <w:r>
              <w:rPr>
                <w:sz w:val="18"/>
                <w:szCs w:val="18"/>
                <w:rtl w:val="0"/>
              </w:rPr>
              <w:t xml:space="preserve">Overall</w:t>
            </w:r>
          </w:p>
        </w:tc>
        <w:tc>
          <w:tcPr>
            <w:tcW w:w="3000" w:type="dxa"/>
            <w:vAlign w:val="center"/>
          </w:tcPr>
          <w:p>
            <w:pPr>
              <w:spacing w:line="240" w:lineRule="auto"/>
              <w:jc w:val="left"/>
            </w:pPr>
            <w:r>
              <w:rPr>
                <w:sz w:val="18"/>
                <w:szCs w:val="18"/>
                <w:rtl w:val="0"/>
              </w:rPr>
              <w:t xml:space="preserve">29.1%</w:t>
            </w:r>
          </w:p>
        </w:tc>
        <w:tc>
          <w:tcPr>
            <w:tcW w:w="2000" w:type="dxa"/>
            <w:vAlign w:val="center"/>
          </w:tcPr>
          <w:p>
            <w:pPr>
              <w:spacing w:line="240" w:lineRule="auto"/>
              <w:jc w:val="left"/>
            </w:pPr>
            <w:r>
              <w:rPr>
                <w:sz w:val="18"/>
                <w:szCs w:val="18"/>
                <w:rtl w:val="0"/>
              </w:rPr>
              <w:t xml:space="preserve">4,918</w:t>
            </w:r>
          </w:p>
        </w:tc>
      </w:tr>
    </w:tbl>
    <w:p>
      <w:pPr>
        <w:spacing w:line="276" w:lineRule="auto"/>
        <w:jc w:val="both"/>
      </w:pPr>
      <w:r>
        <w:rPr>
          <w:sz w:val="8"/>
          <w:szCs w:val="8"/>
          <w:rtl w:val="0"/>
        </w:rPr>
        <w:t xml:space="preserve"/>
      </w:r>
    </w:p>
    <w:p>
      <w:pPr>
        <w:numPr>
          <w:ilvl w:val="0"/>
          <w:numId w:val="90"/>
        </w:numPr>
        <w:spacing w:line="264" w:lineRule="auto"/>
        <w:ind w:left="420" w:hanging="260"/>
        <w:jc w:val="both"/>
      </w:pPr>
      <w:r>
        <w:rPr>
          <w:sz w:val="22"/>
          <w:szCs w:val="22"/>
          <w:rtl w:val="0"/>
        </w:rPr>
        <w:t xml:space="preserve">355 of 439 patients (80.9%) change label at least once.</w:t>
      </w:r>
    </w:p>
    <w:p>
      <w:pPr>
        <w:numPr>
          <w:ilvl w:val="0"/>
          <w:numId w:val="90"/>
        </w:numPr>
        <w:spacing w:line="264" w:lineRule="auto"/>
        <w:ind w:left="420" w:hanging="260"/>
        <w:jc w:val="both"/>
      </w:pPr>
      <w:r>
        <w:rPr>
          <w:sz w:val="22"/>
          <w:szCs w:val="22"/>
          <w:rtl w:val="0"/>
        </w:rPr>
        <w:t xml:space="preserve">The overall rate independently corroborates the 33-50% reclassification range reported in the literature, supporting correct implementation of the formula.</w:t>
      </w:r>
    </w:p>
    <w:p>
      <w:pPr>
        <w:numPr>
          <w:ilvl w:val="0"/>
          <w:numId w:val="90"/>
        </w:numPr>
        <w:spacing w:line="264" w:lineRule="auto"/>
        <w:ind w:left="420" w:hanging="260"/>
        <w:jc w:val="both"/>
      </w:pPr>
      <w:r>
        <w:rPr>
          <w:sz w:val="22"/>
          <w:szCs w:val="22"/>
          <w:rtl w:val="0"/>
        </w:rPr>
        <w:t xml:space="preserve">Indeterminate is markedly unstable, consistent with it being a narrow boundary band (0.90 &lt; ratio &lt; 1.15) rather than a distinct clinical entity.</w:t>
      </w:r>
    </w:p>
    <w:p>
      <w:pPr>
        <w:pStyle w:val="Heading2"/>
        <w:spacing w:line="276" w:lineRule="auto"/>
        <w:jc w:val="both"/>
      </w:pPr>
      <w:r>
        <w:rPr>
          <w:b w:val="1"/>
          <w:bCs w:val="1"/>
          <w:sz w:val="24"/>
          <w:szCs w:val="24"/>
          <w:rtl w:val="0"/>
        </w:rPr>
        <w:t xml:space="preserve">5.10 Consequences for modelling</w:t>
      </w:r>
    </w:p>
    <w:p>
      <w:pPr>
        <w:numPr>
          <w:ilvl w:val="0"/>
          <w:numId w:val="90"/>
        </w:numPr>
        <w:spacing w:line="264" w:lineRule="auto"/>
        <w:ind w:left="420" w:hanging="260"/>
        <w:jc w:val="both"/>
      </w:pPr>
      <w:r>
        <w:rPr>
          <w:b w:val="1"/>
          <w:bCs w:val="1"/>
          <w:sz w:val="22"/>
          <w:szCs w:val="22"/>
          <w:rtl w:val="0"/>
        </w:rPr>
        <w:t xml:space="preserve">Class imbalance.</w:t>
      </w:r>
      <w:r>
        <w:rPr>
          <w:sz w:val="22"/>
          <w:szCs w:val="22"/>
          <w:rtl w:val="0"/>
        </w:rPr>
        <w:t xml:space="preserve"> 52.6% TD, 36.6% PIGD, 10.8% indeterminate at visit level, requiring class weighting and per-class reporting rather than aggregate accuracy.</w:t>
      </w:r>
    </w:p>
    <w:p>
      <w:pPr>
        <w:numPr>
          <w:ilvl w:val="0"/>
          <w:numId w:val="90"/>
        </w:numPr>
        <w:spacing w:line="264" w:lineRule="auto"/>
        <w:ind w:left="420" w:hanging="260"/>
        <w:jc w:val="both"/>
      </w:pPr>
      <w:r>
        <w:rPr>
          <w:b w:val="1"/>
          <w:bCs w:val="1"/>
          <w:sz w:val="22"/>
          <w:szCs w:val="22"/>
          <w:rtl w:val="0"/>
        </w:rPr>
        <w:t xml:space="preserve">Grouped validation is mandatory.</w:t>
      </w:r>
      <w:r>
        <w:rPr>
          <w:sz w:val="22"/>
          <w:szCs w:val="22"/>
          <w:rtl w:val="0"/>
        </w:rPr>
        <w:t xml:space="preserve"> Each patient contributes roughly 16 rows, so a row-wise split would place the same patient in both training and test partitions; all cross-validation is grouped by patient identifier.</w:t>
      </w:r>
    </w:p>
    <w:p>
      <w:pPr>
        <w:numPr>
          <w:ilvl w:val="0"/>
          <w:numId w:val="90"/>
        </w:numPr>
        <w:spacing w:line="264" w:lineRule="auto"/>
        <w:ind w:left="420" w:hanging="260"/>
        <w:jc w:val="both"/>
      </w:pPr>
      <w:r>
        <w:rPr>
          <w:b w:val="1"/>
          <w:bCs w:val="1"/>
          <w:sz w:val="22"/>
          <w:szCs w:val="22"/>
          <w:rtl w:val="0"/>
        </w:rPr>
        <w:t xml:space="preserve">Structural missingness.</w:t>
      </w:r>
      <w:r>
        <w:rPr>
          <w:sz w:val="22"/>
          <w:szCs w:val="22"/>
          <w:rtl w:val="0"/>
        </w:rPr>
        <w:t xml:space="preserve"> PPMI administers a full battery at annual visits but a subset at interim visits, so MoCA is 52.3% present and the autonomic, mood, anxiety and sleep instrument totals approximately 67% present. This is missing-by-design, not corruption.</w:t>
      </w:r>
    </w:p>
    <w:p>
      <w:pPr>
        <w:numPr>
          <w:ilvl w:val="0"/>
          <w:numId w:val="90"/>
        </w:numPr>
        <w:spacing w:line="264" w:lineRule="auto"/>
        <w:ind w:left="420" w:hanging="260"/>
        <w:jc w:val="both"/>
      </w:pPr>
      <w:r>
        <w:rPr>
          <w:b w:val="1"/>
          <w:bCs w:val="1"/>
          <w:sz w:val="22"/>
          <w:szCs w:val="22"/>
          <w:rtl w:val="0"/>
        </w:rPr>
        <w:t xml:space="preserve">Round structure.</w:t>
      </w:r>
      <w:r>
        <w:rPr>
          <w:sz w:val="22"/>
          <w:szCs w:val="22"/>
          <w:rtl w:val="0"/>
        </w:rPr>
        <w:t xml:space="preserve"> Round-specific datasets are produced downstream by appending a suffixed copy of the time-varying features per included visit plus between-visit differences.</w:t>
      </w:r>
    </w:p>
    <w:tbl>
      <w:tblPr>
        <w:tblStyle w:val="Table1"/>
        <w:tblW w:w="8700" w:type="dxa"/>
        <w:tblBorders>
          <w:top w:val="single" w:sz="6" w:color="9DB2C6"/>
          <w:left w:val="single" w:sz="6" w:color="9DB2C6"/>
          <w:bottom w:val="single" w:sz="6" w:color="9DB2C6"/>
          <w:right w:val="single" w:sz="6" w:color="9DB2C6"/>
          <w:insideH w:val="single" w:sz="6" w:color="9DB2C6"/>
          <w:insideV w:val="single" w:sz="6" w:color="9DB2C6"/>
        </w:tblBorders>
        <w:tblLayout w:type="fixed"/>
      </w:tblPr>
      <w:tblGrid>
        <w:gridCol w:w="1100"/>
        <w:gridCol w:w="3300"/>
        <w:gridCol w:w="2200"/>
        <w:gridCol w:w="2100"/>
      </w:tblGrid>
      <w:tr>
        <w:trPr>
          <w:tblHeader/>
        </w:trPr>
        <w:tc>
          <w:tcPr>
            <w:tcW w:w="1100" w:type="dxa"/>
            <w:shd w:val="clear" w:color="auto" w:fill="1A3A5C"/>
            <w:vAlign w:val="center"/>
          </w:tcPr>
          <w:p>
            <w:pPr>
              <w:spacing w:line="240" w:lineRule="auto"/>
              <w:jc w:val="left"/>
            </w:pPr>
            <w:r>
              <w:rPr>
                <w:b w:val="1"/>
                <w:bCs w:val="1"/>
                <w:color w:val="FFFFFF"/>
                <w:sz w:val="18"/>
                <w:szCs w:val="18"/>
                <w:rtl w:val="0"/>
              </w:rPr>
              <w:t xml:space="preserve">Round</w:t>
            </w:r>
          </w:p>
        </w:tc>
        <w:tc>
          <w:tcPr>
            <w:tcW w:w="3300" w:type="dxa"/>
            <w:shd w:val="clear" w:color="auto" w:fill="1A3A5C"/>
            <w:vAlign w:val="center"/>
          </w:tcPr>
          <w:p>
            <w:pPr>
              <w:spacing w:line="240" w:lineRule="auto"/>
              <w:jc w:val="left"/>
            </w:pPr>
            <w:r>
              <w:rPr>
                <w:b w:val="1"/>
                <w:bCs w:val="1"/>
                <w:color w:val="FFFFFF"/>
                <w:sz w:val="18"/>
                <w:szCs w:val="18"/>
                <w:rtl w:val="0"/>
              </w:rPr>
              <w:t xml:space="preserve">Visits included</w:t>
            </w:r>
          </w:p>
        </w:tc>
        <w:tc>
          <w:tcPr>
            <w:tcW w:w="2200" w:type="dxa"/>
            <w:shd w:val="clear" w:color="auto" w:fill="1A3A5C"/>
            <w:vAlign w:val="center"/>
          </w:tcPr>
          <w:p>
            <w:pPr>
              <w:spacing w:line="240" w:lineRule="auto"/>
              <w:jc w:val="left"/>
            </w:pPr>
            <w:r>
              <w:rPr>
                <w:b w:val="1"/>
                <w:bCs w:val="1"/>
                <w:color w:val="FFFFFF"/>
                <w:sz w:val="18"/>
                <w:szCs w:val="18"/>
                <w:rtl w:val="0"/>
              </w:rPr>
              <w:t xml:space="preserve">Patients available</w:t>
            </w:r>
          </w:p>
        </w:tc>
        <w:tc>
          <w:tcPr>
            <w:tcW w:w="2100" w:type="dxa"/>
            <w:shd w:val="clear" w:color="auto" w:fill="1A3A5C"/>
            <w:vAlign w:val="center"/>
          </w:tcPr>
          <w:p>
            <w:pPr>
              <w:spacing w:line="240" w:lineRule="auto"/>
              <w:jc w:val="left"/>
            </w:pPr>
            <w:r>
              <w:rPr>
                <w:b w:val="1"/>
                <w:bCs w:val="1"/>
                <w:color w:val="FFFFFF"/>
                <w:sz w:val="18"/>
                <w:szCs w:val="18"/>
                <w:rtl w:val="0"/>
              </w:rPr>
              <w:t xml:space="preserve">Approx. feature count</w:t>
            </w:r>
          </w:p>
        </w:tc>
      </w:tr>
      <w:tr>
        <w:tc>
          <w:tcPr>
            <w:tcW w:w="1100" w:type="dxa"/>
            <w:vAlign w:val="center"/>
          </w:tcPr>
          <w:p>
            <w:pPr>
              <w:spacing w:line="240" w:lineRule="auto"/>
              <w:jc w:val="left"/>
            </w:pPr>
            <w:r>
              <w:rPr>
                <w:sz w:val="18"/>
                <w:szCs w:val="18"/>
                <w:rtl w:val="0"/>
              </w:rPr>
              <w:t xml:space="preserve">1</w:t>
            </w:r>
          </w:p>
        </w:tc>
        <w:tc>
          <w:tcPr>
            <w:tcW w:w="3300" w:type="dxa"/>
            <w:vAlign w:val="center"/>
          </w:tcPr>
          <w:p>
            <w:pPr>
              <w:spacing w:line="240" w:lineRule="auto"/>
              <w:jc w:val="left"/>
            </w:pPr>
            <w:r>
              <w:rPr>
                <w:sz w:val="18"/>
                <w:szCs w:val="18"/>
                <w:rtl w:val="0"/>
              </w:rPr>
              <w:t xml:space="preserve">Baseline</w:t>
            </w:r>
          </w:p>
        </w:tc>
        <w:tc>
          <w:tcPr>
            <w:tcW w:w="2200" w:type="dxa"/>
            <w:vAlign w:val="center"/>
          </w:tcPr>
          <w:p>
            <w:pPr>
              <w:spacing w:line="240" w:lineRule="auto"/>
              <w:jc w:val="left"/>
            </w:pPr>
            <w:r>
              <w:rPr>
                <w:sz w:val="18"/>
                <w:szCs w:val="18"/>
                <w:rtl w:val="0"/>
              </w:rPr>
              <w:t xml:space="preserve">438</w:t>
            </w:r>
          </w:p>
        </w:tc>
        <w:tc>
          <w:tcPr>
            <w:tcW w:w="2100" w:type="dxa"/>
            <w:vAlign w:val="center"/>
          </w:tcPr>
          <w:p>
            <w:pPr>
              <w:spacing w:line="240" w:lineRule="auto"/>
              <w:jc w:val="left"/>
            </w:pPr>
            <w:r>
              <w:rPr>
                <w:sz w:val="18"/>
                <w:szCs w:val="18"/>
                <w:rtl w:val="0"/>
              </w:rPr>
              <w:t xml:space="preserve">41</w:t>
            </w:r>
          </w:p>
        </w:tc>
      </w:tr>
      <w:tr>
        <w:tc>
          <w:tcPr>
            <w:tcW w:w="1100" w:type="dxa"/>
            <w:vAlign w:val="center"/>
          </w:tcPr>
          <w:p>
            <w:pPr>
              <w:spacing w:line="240" w:lineRule="auto"/>
              <w:jc w:val="left"/>
            </w:pPr>
            <w:r>
              <w:rPr>
                <w:sz w:val="18"/>
                <w:szCs w:val="18"/>
                <w:rtl w:val="0"/>
              </w:rPr>
              <w:t xml:space="preserve">2</w:t>
            </w:r>
          </w:p>
        </w:tc>
        <w:tc>
          <w:tcPr>
            <w:tcW w:w="3300" w:type="dxa"/>
            <w:vAlign w:val="center"/>
          </w:tcPr>
          <w:p>
            <w:pPr>
              <w:spacing w:line="240" w:lineRule="auto"/>
              <w:jc w:val="left"/>
            </w:pPr>
            <w:r>
              <w:rPr>
                <w:sz w:val="18"/>
                <w:szCs w:val="18"/>
                <w:rtl w:val="0"/>
              </w:rPr>
              <w:t xml:space="preserve">Baseline + 6 months</w:t>
            </w:r>
          </w:p>
        </w:tc>
        <w:tc>
          <w:tcPr>
            <w:tcW w:w="2200" w:type="dxa"/>
            <w:vAlign w:val="center"/>
          </w:tcPr>
          <w:p>
            <w:pPr>
              <w:spacing w:line="240" w:lineRule="auto"/>
              <w:jc w:val="left"/>
            </w:pPr>
            <w:r>
              <w:rPr>
                <w:sz w:val="18"/>
                <w:szCs w:val="18"/>
                <w:rtl w:val="0"/>
              </w:rPr>
              <w:t xml:space="preserve">349</w:t>
            </w:r>
          </w:p>
        </w:tc>
        <w:tc>
          <w:tcPr>
            <w:tcW w:w="2100" w:type="dxa"/>
            <w:vAlign w:val="center"/>
          </w:tcPr>
          <w:p>
            <w:pPr>
              <w:spacing w:line="240" w:lineRule="auto"/>
              <w:jc w:val="left"/>
            </w:pPr>
            <w:r>
              <w:rPr>
                <w:sz w:val="18"/>
                <w:szCs w:val="18"/>
                <w:rtl w:val="0"/>
              </w:rPr>
              <w:t xml:space="preserve">83</w:t>
            </w:r>
          </w:p>
        </w:tc>
      </w:tr>
      <w:tr>
        <w:tc>
          <w:tcPr>
            <w:tcW w:w="1100" w:type="dxa"/>
            <w:vAlign w:val="center"/>
          </w:tcPr>
          <w:p>
            <w:pPr>
              <w:spacing w:line="240" w:lineRule="auto"/>
              <w:jc w:val="left"/>
            </w:pPr>
            <w:r>
              <w:rPr>
                <w:sz w:val="18"/>
                <w:szCs w:val="18"/>
                <w:rtl w:val="0"/>
              </w:rPr>
              <w:t xml:space="preserve">3</w:t>
            </w:r>
          </w:p>
        </w:tc>
        <w:tc>
          <w:tcPr>
            <w:tcW w:w="3300" w:type="dxa"/>
            <w:vAlign w:val="center"/>
          </w:tcPr>
          <w:p>
            <w:pPr>
              <w:spacing w:line="240" w:lineRule="auto"/>
              <w:jc w:val="left"/>
            </w:pPr>
            <w:r>
              <w:rPr>
                <w:sz w:val="18"/>
                <w:szCs w:val="18"/>
                <w:rtl w:val="0"/>
              </w:rPr>
              <w:t xml:space="preserve">Baseline + 6 + 12 months</w:t>
            </w:r>
          </w:p>
        </w:tc>
        <w:tc>
          <w:tcPr>
            <w:tcW w:w="2200" w:type="dxa"/>
            <w:vAlign w:val="center"/>
          </w:tcPr>
          <w:p>
            <w:pPr>
              <w:spacing w:line="240" w:lineRule="auto"/>
              <w:jc w:val="left"/>
            </w:pPr>
            <w:r>
              <w:rPr>
                <w:sz w:val="18"/>
                <w:szCs w:val="18"/>
                <w:rtl w:val="0"/>
              </w:rPr>
              <w:t xml:space="preserve">323</w:t>
            </w:r>
          </w:p>
        </w:tc>
        <w:tc>
          <w:tcPr>
            <w:tcW w:w="2100" w:type="dxa"/>
            <w:vAlign w:val="center"/>
          </w:tcPr>
          <w:p>
            <w:pPr>
              <w:spacing w:line="240" w:lineRule="auto"/>
              <w:jc w:val="left"/>
            </w:pPr>
            <w:r>
              <w:rPr>
                <w:sz w:val="18"/>
                <w:szCs w:val="18"/>
                <w:rtl w:val="0"/>
              </w:rPr>
              <w:t xml:space="preserve">125</w:t>
            </w:r>
          </w:p>
        </w:tc>
      </w:tr>
      <w:tr>
        <w:tc>
          <w:tcPr>
            <w:tcW w:w="1100" w:type="dxa"/>
            <w:vAlign w:val="center"/>
          </w:tcPr>
          <w:p>
            <w:pPr>
              <w:spacing w:line="240" w:lineRule="auto"/>
              <w:jc w:val="left"/>
            </w:pPr>
            <w:r>
              <w:rPr>
                <w:sz w:val="18"/>
                <w:szCs w:val="18"/>
                <w:rtl w:val="0"/>
              </w:rPr>
              <w:t xml:space="preserve">4</w:t>
            </w:r>
          </w:p>
        </w:tc>
        <w:tc>
          <w:tcPr>
            <w:tcW w:w="3300" w:type="dxa"/>
            <w:vAlign w:val="center"/>
          </w:tcPr>
          <w:p>
            <w:pPr>
              <w:spacing w:line="240" w:lineRule="auto"/>
              <w:jc w:val="left"/>
            </w:pPr>
            <w:r>
              <w:rPr>
                <w:sz w:val="18"/>
                <w:szCs w:val="18"/>
                <w:rtl w:val="0"/>
              </w:rPr>
              <w:t xml:space="preserve">Baseline + 6 + 12 + 24 months</w:t>
            </w:r>
          </w:p>
        </w:tc>
        <w:tc>
          <w:tcPr>
            <w:tcW w:w="2200" w:type="dxa"/>
            <w:vAlign w:val="center"/>
          </w:tcPr>
          <w:p>
            <w:pPr>
              <w:spacing w:line="240" w:lineRule="auto"/>
              <w:jc w:val="left"/>
            </w:pPr>
            <w:r>
              <w:rPr>
                <w:sz w:val="18"/>
                <w:szCs w:val="18"/>
                <w:rtl w:val="0"/>
              </w:rPr>
              <w:t xml:space="preserve">275</w:t>
            </w:r>
          </w:p>
        </w:tc>
        <w:tc>
          <w:tcPr>
            <w:tcW w:w="2100" w:type="dxa"/>
            <w:vAlign w:val="center"/>
          </w:tcPr>
          <w:p>
            <w:pPr>
              <w:spacing w:line="240" w:lineRule="auto"/>
              <w:jc w:val="left"/>
            </w:pPr>
            <w:r>
              <w:rPr>
                <w:sz w:val="18"/>
                <w:szCs w:val="18"/>
                <w:rtl w:val="0"/>
              </w:rPr>
              <w:t xml:space="preserve">167</w:t>
            </w:r>
          </w:p>
        </w:tc>
      </w:tr>
      <w:tr>
        <w:tc>
          <w:tcPr>
            <w:tcW w:w="1100" w:type="dxa"/>
            <w:vAlign w:val="center"/>
          </w:tcPr>
          <w:p>
            <w:pPr>
              <w:spacing w:line="240" w:lineRule="auto"/>
              <w:jc w:val="left"/>
            </w:pPr>
            <w:r>
              <w:rPr>
                <w:sz w:val="18"/>
                <w:szCs w:val="18"/>
                <w:rtl w:val="0"/>
              </w:rPr>
              <w:t xml:space="preserve">Alt.</w:t>
            </w:r>
          </w:p>
        </w:tc>
        <w:tc>
          <w:tcPr>
            <w:tcW w:w="3300" w:type="dxa"/>
            <w:vAlign w:val="center"/>
          </w:tcPr>
          <w:p>
            <w:pPr>
              <w:spacing w:line="240" w:lineRule="auto"/>
              <w:jc w:val="left"/>
            </w:pPr>
            <w:r>
              <w:rPr>
                <w:sz w:val="18"/>
                <w:szCs w:val="18"/>
                <w:rtl w:val="0"/>
              </w:rPr>
              <w:t xml:space="preserve">Annual only (BL + 12 + 24)</w:t>
            </w:r>
          </w:p>
        </w:tc>
        <w:tc>
          <w:tcPr>
            <w:tcW w:w="2200" w:type="dxa"/>
            <w:vAlign w:val="center"/>
          </w:tcPr>
          <w:p>
            <w:pPr>
              <w:spacing w:line="240" w:lineRule="auto"/>
              <w:jc w:val="left"/>
            </w:pPr>
            <w:r>
              <w:rPr>
                <w:sz w:val="18"/>
                <w:szCs w:val="18"/>
                <w:rtl w:val="0"/>
              </w:rPr>
              <w:t xml:space="preserve">343</w:t>
            </w:r>
          </w:p>
        </w:tc>
        <w:tc>
          <w:tcPr>
            <w:tcW w:w="2100" w:type="dxa"/>
            <w:vAlign w:val="center"/>
          </w:tcPr>
          <w:p>
            <w:pPr>
              <w:spacing w:line="240" w:lineRule="auto"/>
              <w:jc w:val="left"/>
            </w:pPr>
            <w:r>
              <w:rPr>
                <w:sz w:val="18"/>
                <w:szCs w:val="18"/>
                <w:rtl w:val="0"/>
              </w:rPr>
              <w:t xml:space="preserve">125</w:t>
            </w:r>
          </w:p>
        </w:tc>
      </w:tr>
    </w:tbl>
    <w:p>
      <w:pPr>
        <w:spacing w:line="276" w:lineRule="auto"/>
        <w:jc w:val="both"/>
      </w:pPr>
      <w:r>
        <w:rPr>
          <w:sz w:val="8"/>
          <w:szCs w:val="8"/>
          <w:rtl w:val="0"/>
        </w:rPr>
        <w:t xml:space="preserve"/>
      </w:r>
    </w:p>
    <w:p w:rsidR="00000000" w:rsidDel="00000000" w:rsidP="00000000" w:rsidRDefault="00000000" w:rsidRPr="00000000" w14:paraId="0000008D">
      <w:pPr>
        <w:pStyle w:val="Heading1"/>
        <w:spacing w:before="300" w:line="276" w:lineRule="auto"/>
        <w:jc w:val="both"/>
        <w:rPr>
          <w:sz w:val="24"/>
          <w:szCs w:val="24"/>
        </w:rPr>
      </w:pPr>
      <w:r>
        <w:rPr>
          <w:b w:val="1"/>
          <w:bCs w:val="1"/>
          <w:sz w:val="24"/>
          <w:szCs w:val="24"/>
          <w:rtl w:val="0"/>
        </w:rPr>
        <w:t xml:space="preserve">6. System Architecture</w:t>
      </w:r>
      <w:r>
        <w:rPr>
          <w:rtl w:val="0"/>
        </w:rPr>
      </w:r>
    </w:p>
    <w:p w:rsidR="00000000" w:rsidDel="00000000" w:rsidP="00000000" w:rsidRDefault="00000000" w:rsidRPr="00000000" w14:paraId="0000008E">
      <w:pPr>
        <w:spacing w:before="120" w:line="276" w:lineRule="auto"/>
        <w:jc w:val="center"/>
        <w:rPr>
          <w:sz w:val="24"/>
          <w:szCs w:val="24"/>
        </w:rPr>
      </w:pPr>
      <w:r>
        <w:rPr>
          <w:sz w:val="24"/>
          <w:szCs w:val="24"/>
        </w:rPr>
        <w:drawing>
          <wp:inline distB="0" distT="0" distL="0" distR="0">
            <wp:extent cx="4381500" cy="52673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81500" cy="5267325"/>
                    </a:xfrm>
                    <a:prstGeom prst="rect"/>
                    <a:ln/>
                  </pic:spPr>
                </pic:pic>
              </a:graphicData>
            </a:graphic>
          </wp:inline>
        </w:drawing>
      </w:r>
      <w:r>
        <w:rPr>
          <w:rtl w:val="0"/>
        </w:rPr>
      </w:r>
    </w:p>
    <w:p w:rsidR="00000000" w:rsidDel="00000000" w:rsidP="00000000" w:rsidRDefault="00000000" w:rsidRPr="00000000" w14:paraId="0000008F">
      <w:pPr>
        <w:spacing w:line="276" w:lineRule="auto"/>
        <w:jc w:val="both"/>
        <w:rPr>
          <w:i w:val="1"/>
          <w:iCs w:val="1"/>
          <w:sz w:val="24"/>
          <w:szCs w:val="24"/>
        </w:rPr>
      </w:pPr>
      <w:r>
        <w:rPr>
          <w:i w:val="1"/>
          <w:iCs w:val="1"/>
          <w:sz w:val="24"/>
          <w:szCs w:val="24"/>
          <w:rtl w:val="0"/>
        </w:rPr>
        <w:t xml:space="preserve">Figure 2. Proposed system architecture, from PPMI data ingestion through the LLM reasoning layer to the clinician-facing report.</w:t>
      </w:r>
    </w:p>
    <w:p w:rsidR="00000000" w:rsidDel="00000000" w:rsidP="00000000" w:rsidRDefault="00000000" w:rsidRPr="00000000" w14:paraId="00000090">
      <w:pPr>
        <w:spacing w:line="276" w:lineRule="auto"/>
        <w:jc w:val="both"/>
        <w:rPr>
          <w:sz w:val="24"/>
          <w:szCs w:val="24"/>
        </w:rPr>
      </w:pPr>
      <w:r>
        <w:rPr>
          <w:rtl w:val="0"/>
        </w:rPr>
      </w:r>
    </w:p>
    <w:p w:rsidR="00000000" w:rsidDel="00000000" w:rsidP="00000000" w:rsidRDefault="00000000" w:rsidRPr="00000000" w14:paraId="00000091">
      <w:pPr>
        <w:spacing w:line="276" w:lineRule="auto"/>
        <w:jc w:val="both"/>
        <w:rPr>
          <w:sz w:val="24"/>
          <w:szCs w:val="24"/>
        </w:rPr>
      </w:pPr>
      <w:r>
        <w:rPr>
          <w:sz w:val="24"/>
          <w:szCs w:val="24"/>
          <w:rtl w:val="0"/>
        </w:rPr>
        <w:t xml:space="preserve">The proposed system is organized as a layered pipeline that takes raw PPMI data through to a clinician-facing report, shown in Figure 2. Each layer builds on the output of the one before it, so a prediction is never presented without the calibration and context needed to interpret it.</w:t>
      </w:r>
    </w:p>
    <w:p w:rsidR="00000000" w:rsidDel="00000000" w:rsidP="00000000" w:rsidRDefault="00000000" w:rsidRPr="00000000" w14:paraId="00000092">
      <w:pPr>
        <w:spacing w:line="276" w:lineRule="auto"/>
        <w:jc w:val="both"/>
        <w:rPr>
          <w:sz w:val="24"/>
          <w:szCs w:val="24"/>
        </w:rPr>
      </w:pPr>
      <w:r>
        <w:rPr>
          <w:b w:val="1"/>
          <w:bCs w:val="1"/>
          <w:sz w:val="24"/>
          <w:szCs w:val="24"/>
          <w:rtl w:val="0"/>
        </w:rPr>
        <w:t xml:space="preserve">Data layer.</w:t>
      </w:r>
      <w:r>
        <w:rPr>
          <w:sz w:val="24"/>
          <w:szCs w:val="24"/>
          <w:rtl w:val="0"/>
        </w:rPr>
        <w:t xml:space="preserve"> The pipeline draws on five PPMI data sources per patient visit: motor exam scores (UPDRS), non-motor assessments (cognition, mood, sleep), imaging (MRI, DaTscan), genetics (SNPs), and medication logs (levodopa dose and changes). These sources are merged into a single visit-level dataset, then cleaned and imputed to handle missing values and standardize features across visits.</w:t>
      </w:r>
    </w:p>
    <w:p w:rsidR="00000000" w:rsidDel="00000000" w:rsidP="00000000" w:rsidRDefault="00000000" w:rsidRPr="00000000" w14:paraId="00000093">
      <w:pPr>
        <w:spacing w:line="276" w:lineRule="auto"/>
        <w:jc w:val="both"/>
        <w:rPr>
          <w:sz w:val="24"/>
          <w:szCs w:val="24"/>
        </w:rPr>
      </w:pPr>
      <w:r>
        <w:rPr>
          <w:b w:val="1"/>
          <w:bCs w:val="1"/>
          <w:sz w:val="24"/>
          <w:szCs w:val="24"/>
          <w:rtl w:val="0"/>
        </w:rPr>
        <w:t xml:space="preserve">Ground truth labeling.</w:t>
      </w:r>
      <w:r>
        <w:rPr>
          <w:sz w:val="24"/>
          <w:szCs w:val="24"/>
          <w:rtl w:val="0"/>
        </w:rPr>
        <w:t xml:space="preserve"> Each visit is labeled TD, PIGD, or indeterminate by applying the Jankovic/Stebbins formula to the relevant UPDRS item scores, producing the TD/PIGD ratio used throughout the rest of the pipeline as the training target.</w:t>
      </w:r>
    </w:p>
    <w:p w:rsidR="00000000" w:rsidDel="00000000" w:rsidP="00000000" w:rsidRDefault="00000000" w:rsidRPr="00000000" w14:paraId="00000094">
      <w:pPr>
        <w:spacing w:line="276" w:lineRule="auto"/>
        <w:jc w:val="both"/>
        <w:rPr>
          <w:sz w:val="24"/>
          <w:szCs w:val="24"/>
        </w:rPr>
      </w:pPr>
      <w:r>
        <w:rPr>
          <w:b w:val="1"/>
          <w:bCs w:val="1"/>
          <w:sz w:val="24"/>
          <w:szCs w:val="24"/>
          <w:rtl w:val="0"/>
        </w:rPr>
        <w:t xml:space="preserve">Prediction layer (Layer 1).</w:t>
      </w:r>
      <w:r>
        <w:rPr>
          <w:sz w:val="24"/>
          <w:szCs w:val="24"/>
          <w:rtl w:val="0"/>
        </w:rPr>
        <w:t xml:space="preserve"> A gradient-boosted classifier (XGBoost) is trained on the cleaned, visit-level clinical features to predict motor subtype.</w:t>
      </w:r>
    </w:p>
    <w:p w:rsidR="00000000" w:rsidDel="00000000" w:rsidP="00000000" w:rsidRDefault="00000000" w:rsidRPr="00000000" w14:paraId="00000095">
      <w:pPr>
        <w:spacing w:line="276" w:lineRule="auto"/>
        <w:jc w:val="both"/>
        <w:rPr>
          <w:sz w:val="24"/>
          <w:szCs w:val="24"/>
        </w:rPr>
      </w:pPr>
      <w:r>
        <w:rPr>
          <w:b w:val="1"/>
          <w:bCs w:val="1"/>
          <w:sz w:val="24"/>
          <w:szCs w:val="24"/>
          <w:rtl w:val="0"/>
        </w:rPr>
        <w:t xml:space="preserve">Confidence layer (Layer 2).</w:t>
      </w:r>
      <w:r>
        <w:rPr>
          <w:sz w:val="24"/>
          <w:szCs w:val="24"/>
          <w:rtl w:val="0"/>
        </w:rPr>
        <w:t xml:space="preserve"> The classifier's raw output is passed through conformal prediction, which converts it into a calibrated confidence set rather than a single point estimate, giving each prediction a statistically grounded measure of certainty.</w:t>
      </w:r>
    </w:p>
    <w:p w:rsidR="00000000" w:rsidDel="00000000" w:rsidP="00000000" w:rsidRDefault="00000000" w:rsidRPr="00000000" w14:paraId="00000096">
      <w:pPr>
        <w:spacing w:line="276" w:lineRule="auto"/>
        <w:jc w:val="both"/>
        <w:rPr>
          <w:sz w:val="24"/>
          <w:szCs w:val="24"/>
        </w:rPr>
      </w:pPr>
      <w:r>
        <w:rPr>
          <w:b w:val="1"/>
          <w:bCs w:val="1"/>
          <w:sz w:val="24"/>
          <w:szCs w:val="24"/>
          <w:rtl w:val="0"/>
        </w:rPr>
        <w:t xml:space="preserve">Longitudinal tracking layer (Layer 3).</w:t>
      </w:r>
      <w:r>
        <w:rPr>
          <w:sz w:val="24"/>
          <w:szCs w:val="24"/>
          <w:rtl w:val="0"/>
        </w:rPr>
        <w:t xml:space="preserve"> Because a single visit's prediction can be unreliable, this layer analyzes predictions across a patient's full visit history. It computes a confidence curve showing how certainty evolves over time, a stability index summarizing how consistent the predicted subtype has been, and a transition-risk flag identifying patients whose subtype may be about to shift.</w:t>
      </w:r>
    </w:p>
    <w:p w:rsidR="00000000" w:rsidDel="00000000" w:rsidP="00000000" w:rsidRDefault="00000000" w:rsidRPr="00000000" w14:paraId="00000097">
      <w:pPr>
        <w:spacing w:line="276" w:lineRule="auto"/>
        <w:jc w:val="both"/>
        <w:rPr>
          <w:sz w:val="24"/>
          <w:szCs w:val="24"/>
        </w:rPr>
      </w:pPr>
      <w:r>
        <w:rPr>
          <w:b w:val="1"/>
          <w:bCs w:val="1"/>
          <w:sz w:val="24"/>
          <w:szCs w:val="24"/>
          <w:rtl w:val="0"/>
        </w:rPr>
        <w:t xml:space="preserve">LLM reasoning layer (Layer 4).</w:t>
      </w:r>
      <w:r>
        <w:rPr>
          <w:sz w:val="24"/>
          <w:szCs w:val="24"/>
          <w:rtl w:val="0"/>
        </w:rPr>
        <w:t xml:space="preserve"> A large language model takes the calibrated prediction, confidence score, and longitudinal trend and generates a plain-language explanation of the result. This layer is restricted to explaining the upstream model's output — it does not make or alter any classification or clinical decision independently.</w:t>
      </w:r>
    </w:p>
    <w:p w:rsidR="00000000" w:rsidDel="00000000" w:rsidP="00000000" w:rsidRDefault="00000000" w:rsidRPr="00000000" w14:paraId="00000098">
      <w:pPr>
        <w:spacing w:line="276" w:lineRule="auto"/>
        <w:jc w:val="both"/>
        <w:rPr>
          <w:sz w:val="24"/>
          <w:szCs w:val="24"/>
        </w:rPr>
      </w:pPr>
      <w:r>
        <w:rPr>
          <w:b w:val="1"/>
          <w:bCs w:val="1"/>
          <w:sz w:val="24"/>
          <w:szCs w:val="24"/>
          <w:rtl w:val="0"/>
        </w:rPr>
        <w:t xml:space="preserve">Clinician-facing output.</w:t>
      </w:r>
      <w:r>
        <w:rPr>
          <w:sz w:val="24"/>
          <w:szCs w:val="24"/>
          <w:rtl w:val="0"/>
        </w:rPr>
        <w:t xml:space="preserve"> The pipeline terminates in a personalized report for each patient, presenting the predicted subtype, confidence percentage, trend across visits, and the LLM-generated plain-language explanation, giving the clinician both the prediction and the context needed to act on it.</w:t>
      </w:r>
    </w:p>
    <w:p w:rsidR="00000000" w:rsidDel="00000000" w:rsidP="00000000" w:rsidRDefault="00000000" w:rsidRPr="00000000" w14:paraId="00000099">
      <w:pPr>
        <w:pStyle w:val="Heading1"/>
        <w:spacing w:before="300" w:line="276" w:lineRule="auto"/>
        <w:jc w:val="both"/>
        <w:rPr>
          <w:sz w:val="24"/>
          <w:szCs w:val="24"/>
        </w:rPr>
      </w:pPr>
      <w:r>
        <w:rPr>
          <w:b w:val="1"/>
          <w:bCs w:val="1"/>
          <w:sz w:val="24"/>
          <w:szCs w:val="24"/>
          <w:rtl w:val="0"/>
        </w:rPr>
        <w:t xml:space="preserve">7. References</w:t>
      </w:r>
      <w:r>
        <w:rPr>
          <w:rtl w:val="0"/>
        </w:rPr>
      </w:r>
    </w:p>
    <w:p w:rsidR="00000000" w:rsidDel="00000000" w:rsidP="00000000" w:rsidRDefault="00000000" w:rsidRPr="00000000" w14:paraId="0000009A">
      <w:pPr>
        <w:numPr>
          <w:ilvl w:val="0"/>
          <w:numId w:val="1"/>
        </w:numPr>
        <w:spacing w:before="300" w:line="276" w:lineRule="auto"/>
        <w:ind w:left="720" w:hanging="360"/>
        <w:jc w:val="both"/>
        <w:rPr>
          <w:sz w:val="24"/>
          <w:szCs w:val="24"/>
        </w:rPr>
      </w:pPr>
      <w:r>
        <w:rPr>
          <w:sz w:val="24"/>
          <w:szCs w:val="24"/>
          <w:rtl w:val="0"/>
        </w:rPr>
        <w:t xml:space="preserve">Stebbins, G. T., Goetz, C. G., Burn, D. J., Jankovic, J., Khoo, T. K., &amp; Tilley, B. C. (2013). How to identify tremor dominant and postural instability/gait difficulty groups with the movement disorder society unified Parkinson's disease rating scale: Comparison with the unified Parkinson's disease rating scale. Movement Disorders. </w:t>
      </w:r>
      <w:hyperlink r:id="rId8">
        <w:r>
          <w:rPr>
            <w:color w:val="0563c1"/>
            <w:sz w:val="24"/>
            <w:szCs w:val="24"/>
            <w:u w:val="single"/>
            <w:rtl w:val="0"/>
          </w:rPr>
          <w:t xml:space="preserve">https://movementdisorders.onlinelibrary.wiley.com/doi/abs/10.1002/mds.25383</w:t>
        </w:r>
      </w:hyperlink>
      <w:r>
        <w:rPr>
          <w:sz w:val="24"/>
          <w:szCs w:val="24"/>
          <w:rtl w:val="0"/>
        </w:rPr>
        <w:t xml:space="preserve"> </w:t>
      </w:r>
    </w:p>
    <w:p w:rsidR="00000000" w:rsidDel="00000000" w:rsidP="00000000" w:rsidRDefault="00000000" w:rsidRPr="00000000" w14:paraId="0000009B">
      <w:pPr>
        <w:numPr>
          <w:ilvl w:val="0"/>
          <w:numId w:val="1"/>
        </w:numPr>
        <w:spacing w:before="300" w:line="276" w:lineRule="auto"/>
        <w:ind w:left="720" w:hanging="360"/>
        <w:jc w:val="both"/>
        <w:rPr>
          <w:sz w:val="24"/>
          <w:szCs w:val="24"/>
        </w:rPr>
      </w:pPr>
      <w:r>
        <w:rPr>
          <w:sz w:val="24"/>
          <w:szCs w:val="24"/>
          <w:rtl w:val="0"/>
        </w:rPr>
        <w:t xml:space="preserve">Goetz, C. G., et al. (2007). Movement Disorder Society-sponsored revision of the Unified Parkinson's Disease Rating Scale (MDS-UPDRS): Process, format, and clinimetric testing plan. Movement Disorders. </w:t>
      </w:r>
      <w:hyperlink r:id="rId9">
        <w:r>
          <w:rPr>
            <w:color w:val="0563c1"/>
            <w:sz w:val="24"/>
            <w:szCs w:val="24"/>
            <w:u w:val="single"/>
            <w:rtl w:val="0"/>
          </w:rPr>
          <w:t xml:space="preserve">https://pubmed.ncbi.nlm.nih.gov/17115387/</w:t>
        </w:r>
      </w:hyperlink>
      <w:r>
        <w:rPr>
          <w:sz w:val="24"/>
          <w:szCs w:val="24"/>
          <w:rtl w:val="0"/>
        </w:rPr>
        <w:t xml:space="preserve"> </w:t>
      </w:r>
    </w:p>
    <w:p w:rsidR="00000000" w:rsidDel="00000000" w:rsidP="00000000" w:rsidRDefault="00000000" w:rsidRPr="00000000" w14:paraId="0000009C">
      <w:pPr>
        <w:numPr>
          <w:ilvl w:val="0"/>
          <w:numId w:val="1"/>
        </w:numPr>
        <w:spacing w:before="300" w:line="276" w:lineRule="auto"/>
        <w:ind w:left="720" w:hanging="360"/>
        <w:jc w:val="both"/>
        <w:rPr>
          <w:sz w:val="24"/>
          <w:szCs w:val="24"/>
        </w:rPr>
      </w:pPr>
      <w:r>
        <w:rPr>
          <w:sz w:val="24"/>
          <w:szCs w:val="24"/>
          <w:rtl w:val="0"/>
        </w:rPr>
        <w:t xml:space="preserve">Author(s) not specified (2025). Automatic differentiation of Parkinson's disease motor subtypes via deep learning and radiomics. </w:t>
      </w:r>
      <w:hyperlink r:id="rId10">
        <w:r>
          <w:rPr>
            <w:color w:val="0563c1"/>
            <w:sz w:val="24"/>
            <w:szCs w:val="24"/>
            <w:u w:val="single"/>
            <w:rtl w:val="0"/>
          </w:rPr>
          <w:t xml:space="preserve">https://pmc.ncbi.nlm.nih.gov/articles/PMC12445147/</w:t>
        </w:r>
      </w:hyperlink>
      <w:r>
        <w:rPr>
          <w:sz w:val="24"/>
          <w:szCs w:val="24"/>
          <w:rtl w:val="0"/>
        </w:rPr>
        <w:t xml:space="preserve"> </w:t>
      </w:r>
    </w:p>
    <w:p w:rsidR="00000000" w:rsidDel="00000000" w:rsidP="00000000" w:rsidRDefault="00000000" w:rsidRPr="00000000" w14:paraId="0000009D">
      <w:pPr>
        <w:numPr>
          <w:ilvl w:val="0"/>
          <w:numId w:val="1"/>
        </w:numPr>
        <w:spacing w:before="300" w:line="276" w:lineRule="auto"/>
        <w:ind w:left="720" w:hanging="360"/>
        <w:jc w:val="both"/>
        <w:rPr>
          <w:sz w:val="24"/>
          <w:szCs w:val="24"/>
        </w:rPr>
      </w:pPr>
      <w:r>
        <w:rPr>
          <w:sz w:val="24"/>
          <w:szCs w:val="24"/>
          <w:rtl w:val="0"/>
        </w:rPr>
        <w:t xml:space="preserve">Author(s) not specified. Auto-classification of Parkinson's disease motor subtypes using ASL-MRI. </w:t>
      </w:r>
      <w:hyperlink r:id="rId11">
        <w:r>
          <w:rPr>
            <w:color w:val="0563c1"/>
            <w:sz w:val="24"/>
            <w:szCs w:val="24"/>
            <w:u w:val="single"/>
            <w:rtl w:val="0"/>
          </w:rPr>
          <w:t xml:space="preserve">https://www.ncbi.nlm.nih.gov/pmc/articles/PMC10670033/</w:t>
        </w:r>
      </w:hyperlink>
      <w:r>
        <w:rPr>
          <w:sz w:val="24"/>
          <w:szCs w:val="24"/>
          <w:rtl w:val="0"/>
        </w:rPr>
        <w:t xml:space="preserve"> </w:t>
      </w:r>
    </w:p>
    <w:p w:rsidR="00000000" w:rsidDel="00000000" w:rsidP="00000000" w:rsidRDefault="00000000" w:rsidRPr="00000000" w14:paraId="0000009E">
      <w:pPr>
        <w:numPr>
          <w:ilvl w:val="0"/>
          <w:numId w:val="1"/>
        </w:numPr>
        <w:spacing w:before="300" w:line="276" w:lineRule="auto"/>
        <w:ind w:left="720" w:hanging="360"/>
        <w:jc w:val="both"/>
        <w:rPr>
          <w:sz w:val="24"/>
          <w:szCs w:val="24"/>
        </w:rPr>
      </w:pPr>
      <w:r>
        <w:rPr>
          <w:sz w:val="24"/>
          <w:szCs w:val="24"/>
          <w:rtl w:val="0"/>
        </w:rPr>
        <w:t xml:space="preserve">Author(s) not specified. Multi-modality radiomics (T1 + DTI) for early-stage Parkinson's disease subtypes. </w:t>
      </w:r>
      <w:hyperlink r:id="rId12">
        <w:r>
          <w:rPr>
            <w:color w:val="0563c1"/>
            <w:sz w:val="24"/>
            <w:szCs w:val="24"/>
            <w:u w:val="single"/>
            <w:rtl w:val="0"/>
          </w:rPr>
          <w:t xml:space="preserve">https://pmc.ncbi.nlm.nih.gov/articles/PMC11377437/</w:t>
        </w:r>
      </w:hyperlink>
      <w:r>
        <w:rPr>
          <w:sz w:val="24"/>
          <w:szCs w:val="24"/>
          <w:rtl w:val="0"/>
        </w:rPr>
        <w:t xml:space="preserve"> </w:t>
      </w:r>
    </w:p>
    <w:p w:rsidR="00000000" w:rsidDel="00000000" w:rsidP="00000000" w:rsidRDefault="00000000" w:rsidRPr="00000000" w14:paraId="0000009F">
      <w:pPr>
        <w:numPr>
          <w:ilvl w:val="0"/>
          <w:numId w:val="1"/>
        </w:numPr>
        <w:spacing w:before="300" w:line="276" w:lineRule="auto"/>
        <w:ind w:left="720" w:hanging="360"/>
        <w:jc w:val="both"/>
        <w:rPr>
          <w:sz w:val="24"/>
          <w:szCs w:val="24"/>
        </w:rPr>
      </w:pPr>
      <w:r>
        <w:rPr>
          <w:sz w:val="24"/>
          <w:szCs w:val="24"/>
          <w:rtl w:val="0"/>
        </w:rPr>
        <w:t xml:space="preserve">Author(s) not specified (2026). 7T quantitative MRI and machine learning for motor subtype stratification. arXiv. </w:t>
      </w:r>
      <w:hyperlink r:id="rId13">
        <w:r>
          <w:rPr>
            <w:color w:val="0563c1"/>
            <w:sz w:val="24"/>
            <w:szCs w:val="24"/>
            <w:u w:val="single"/>
            <w:rtl w:val="0"/>
          </w:rPr>
          <w:t xml:space="preserve">https://arxiv.org/pdf/2605.24179</w:t>
        </w:r>
      </w:hyperlink>
      <w:r>
        <w:rPr>
          <w:sz w:val="24"/>
          <w:szCs w:val="24"/>
          <w:rtl w:val="0"/>
        </w:rPr>
        <w:t xml:space="preserve"> </w:t>
      </w:r>
    </w:p>
    <w:p w:rsidR="00000000" w:rsidDel="00000000" w:rsidP="00000000" w:rsidRDefault="00000000" w:rsidRPr="00000000" w14:paraId="000000A0">
      <w:pPr>
        <w:numPr>
          <w:ilvl w:val="0"/>
          <w:numId w:val="1"/>
        </w:numPr>
        <w:spacing w:before="300" w:line="276" w:lineRule="auto"/>
        <w:ind w:left="720" w:hanging="360"/>
        <w:jc w:val="both"/>
        <w:rPr>
          <w:sz w:val="24"/>
          <w:szCs w:val="24"/>
        </w:rPr>
      </w:pPr>
      <w:r>
        <w:rPr>
          <w:sz w:val="24"/>
          <w:szCs w:val="24"/>
          <w:rtl w:val="0"/>
        </w:rPr>
        <w:t xml:space="preserve">Author(s) not specified. Analysis, identification and prediction of Parkinson's disease sub-types and progression through machine learning. arXiv. </w:t>
      </w:r>
      <w:hyperlink r:id="rId14">
        <w:r>
          <w:rPr>
            <w:color w:val="0563c1"/>
            <w:sz w:val="24"/>
            <w:szCs w:val="24"/>
            <w:u w:val="single"/>
            <w:rtl w:val="0"/>
          </w:rPr>
          <w:t xml:space="preserve">https://arxiv.org/pdf/2306.04748</w:t>
        </w:r>
      </w:hyperlink>
      <w:r>
        <w:rPr>
          <w:sz w:val="24"/>
          <w:szCs w:val="24"/>
          <w:rtl w:val="0"/>
        </w:rPr>
        <w:t xml:space="preserve"> </w:t>
      </w:r>
    </w:p>
    <w:p w:rsidR="00000000" w:rsidDel="00000000" w:rsidP="00000000" w:rsidRDefault="00000000" w:rsidRPr="00000000" w14:paraId="000000A1">
      <w:pPr>
        <w:numPr>
          <w:ilvl w:val="0"/>
          <w:numId w:val="1"/>
        </w:numPr>
        <w:spacing w:before="300" w:line="276" w:lineRule="auto"/>
        <w:ind w:left="720" w:hanging="360"/>
        <w:jc w:val="both"/>
        <w:rPr>
          <w:sz w:val="24"/>
          <w:szCs w:val="24"/>
        </w:rPr>
      </w:pPr>
      <w:r>
        <w:rPr>
          <w:sz w:val="24"/>
          <w:szCs w:val="24"/>
          <w:rtl w:val="0"/>
        </w:rPr>
        <w:t xml:space="preserve">Author(s) not specified (2021). Stability of MDS-UPDRS motor subtypes over three years in early Parkinson's disease. Frontiers in Neurology. </w:t>
      </w:r>
      <w:hyperlink r:id="rId15">
        <w:r>
          <w:rPr>
            <w:color w:val="0563c1"/>
            <w:sz w:val="24"/>
            <w:szCs w:val="24"/>
            <w:u w:val="single"/>
            <w:rtl w:val="0"/>
          </w:rPr>
          <w:t xml:space="preserve">https://www.frontiersin.org/journals/neurology/articles/10.3389/fneur.2021.704906/full</w:t>
        </w:r>
      </w:hyperlink>
      <w:r>
        <w:rPr>
          <w:sz w:val="24"/>
          <w:szCs w:val="24"/>
          <w:rtl w:val="0"/>
        </w:rPr>
        <w:t xml:space="preserve"> </w:t>
      </w:r>
    </w:p>
    <w:p w:rsidR="00000000" w:rsidDel="00000000" w:rsidP="00000000" w:rsidRDefault="00000000" w:rsidRPr="00000000" w14:paraId="000000A2">
      <w:pPr>
        <w:numPr>
          <w:ilvl w:val="0"/>
          <w:numId w:val="1"/>
        </w:numPr>
        <w:spacing w:before="300" w:line="276" w:lineRule="auto"/>
        <w:ind w:left="720" w:hanging="360"/>
        <w:jc w:val="both"/>
        <w:rPr>
          <w:sz w:val="24"/>
          <w:szCs w:val="24"/>
        </w:rPr>
      </w:pPr>
      <w:r>
        <w:rPr>
          <w:sz w:val="24"/>
          <w:szCs w:val="24"/>
          <w:rtl w:val="0"/>
        </w:rPr>
        <w:t xml:space="preserve">Author(s) not specified (2021). Consistency and stability of motor subtype classifications in de novo Parkinson's disease. Frontiers in Neuroscience. </w:t>
      </w:r>
      <w:hyperlink r:id="rId16">
        <w:r>
          <w:rPr>
            <w:color w:val="0563c1"/>
            <w:sz w:val="24"/>
            <w:szCs w:val="24"/>
            <w:u w:val="single"/>
            <w:rtl w:val="0"/>
          </w:rPr>
          <w:t xml:space="preserve">https://www.frontiersin.org/journals/neuroscience/articles/10.3389/fnins.2021.637896/full</w:t>
        </w:r>
      </w:hyperlink>
      <w:r>
        <w:rPr>
          <w:sz w:val="24"/>
          <w:szCs w:val="24"/>
          <w:rtl w:val="0"/>
        </w:rPr>
        <w:t xml:space="preserve"> </w:t>
      </w:r>
    </w:p>
    <w:p w:rsidR="00000000" w:rsidDel="00000000" w:rsidP="00000000" w:rsidRDefault="00000000" w:rsidRPr="00000000" w14:paraId="000000A3">
      <w:pPr>
        <w:numPr>
          <w:ilvl w:val="0"/>
          <w:numId w:val="1"/>
        </w:numPr>
        <w:spacing w:before="300" w:line="276" w:lineRule="auto"/>
        <w:ind w:left="720" w:hanging="360"/>
        <w:jc w:val="both"/>
        <w:rPr>
          <w:sz w:val="24"/>
          <w:szCs w:val="24"/>
        </w:rPr>
      </w:pPr>
      <w:r>
        <w:rPr>
          <w:sz w:val="24"/>
          <w:szCs w:val="24"/>
          <w:rtl w:val="0"/>
        </w:rPr>
        <w:t xml:space="preserve">Author(s) not specified. Efficacy of rehabilitation across Parkinson's disease motor subtypes. </w:t>
      </w:r>
      <w:hyperlink r:id="rId17">
        <w:r>
          <w:rPr>
            <w:color w:val="0563c1"/>
            <w:sz w:val="24"/>
            <w:szCs w:val="24"/>
            <w:u w:val="single"/>
            <w:rtl w:val="0"/>
          </w:rPr>
          <w:t xml:space="preserve">https://pmc.ncbi.nlm.nih.gov/articles/PMC8284270/</w:t>
        </w:r>
      </w:hyperlink>
      <w:r>
        <w:rPr>
          <w:sz w:val="24"/>
          <w:szCs w:val="24"/>
          <w:rtl w:val="0"/>
        </w:rPr>
        <w:t xml:space="preserve"> </w:t>
      </w:r>
    </w:p>
    <w:p w:rsidR="00000000" w:rsidDel="00000000" w:rsidP="00000000" w:rsidRDefault="00000000" w:rsidRPr="00000000" w14:paraId="000000A4">
      <w:pPr>
        <w:numPr>
          <w:ilvl w:val="0"/>
          <w:numId w:val="1"/>
        </w:numPr>
        <w:spacing w:before="300" w:line="276" w:lineRule="auto"/>
        <w:ind w:left="720" w:hanging="360"/>
        <w:jc w:val="both"/>
        <w:rPr>
          <w:sz w:val="24"/>
          <w:szCs w:val="24"/>
        </w:rPr>
      </w:pPr>
      <w:r>
        <w:rPr>
          <w:sz w:val="24"/>
          <w:szCs w:val="24"/>
          <w:rtl w:val="0"/>
        </w:rPr>
        <w:t xml:space="preserve">Author(s) not specified (2026). CASCADE: Conformal prediction for two-stage clinical decision support in Parkinson's disease. arXiv. </w:t>
      </w:r>
      <w:hyperlink r:id="rId18">
        <w:r>
          <w:rPr>
            <w:color w:val="0563c1"/>
            <w:sz w:val="24"/>
            <w:szCs w:val="24"/>
            <w:u w:val="single"/>
            <w:rtl w:val="0"/>
          </w:rPr>
          <w:t xml:space="preserve">https://arxiv.org/abs/2605.20468</w:t>
        </w:r>
      </w:hyperlink>
      <w:r>
        <w:rPr>
          <w:sz w:val="24"/>
          <w:szCs w:val="24"/>
          <w:rtl w:val="0"/>
        </w:rPr>
        <w:t xml:space="preserve"> </w:t>
      </w:r>
    </w:p>
    <w:p w:rsidR="00000000" w:rsidDel="00000000" w:rsidP="00000000" w:rsidRDefault="00000000" w:rsidRPr="00000000" w14:paraId="000000A5">
      <w:pPr>
        <w:numPr>
          <w:ilvl w:val="0"/>
          <w:numId w:val="1"/>
        </w:numPr>
        <w:spacing w:before="300" w:line="276" w:lineRule="auto"/>
        <w:ind w:left="720" w:hanging="360"/>
        <w:jc w:val="both"/>
        <w:rPr>
          <w:sz w:val="24"/>
          <w:szCs w:val="24"/>
        </w:rPr>
      </w:pPr>
      <w:r>
        <w:rPr>
          <w:sz w:val="24"/>
          <w:szCs w:val="24"/>
          <w:rtl w:val="0"/>
        </w:rPr>
        <w:t xml:space="preserve">Author(s) not specified. Conformal prediction for disease-course prediction in multiple sclerosis. </w:t>
      </w:r>
      <w:hyperlink r:id="rId19">
        <w:r>
          <w:rPr>
            <w:color w:val="0563c1"/>
            <w:sz w:val="24"/>
            <w:szCs w:val="24"/>
            <w:u w:val="single"/>
            <w:rtl w:val="0"/>
          </w:rPr>
          <w:t xml:space="preserve">https://pmc.ncbi.nlm.nih.gov/articles/PMC12022056/</w:t>
        </w:r>
      </w:hyperlink>
      <w:r>
        <w:rPr>
          <w:sz w:val="24"/>
          <w:szCs w:val="24"/>
          <w:rtl w:val="0"/>
        </w:rPr>
        <w:t xml:space="preserve"> </w:t>
      </w:r>
    </w:p>
    <w:p w:rsidR="00000000" w:rsidDel="00000000" w:rsidP="00000000" w:rsidRDefault="00000000" w:rsidRPr="00000000" w14:paraId="000000A6">
      <w:pPr>
        <w:numPr>
          <w:ilvl w:val="0"/>
          <w:numId w:val="1"/>
        </w:numPr>
        <w:spacing w:before="300" w:line="276" w:lineRule="auto"/>
        <w:ind w:left="720" w:hanging="360"/>
        <w:jc w:val="both"/>
        <w:rPr>
          <w:sz w:val="24"/>
          <w:szCs w:val="24"/>
        </w:rPr>
      </w:pPr>
      <w:r>
        <w:rPr>
          <w:sz w:val="24"/>
          <w:szCs w:val="24"/>
          <w:rtl w:val="0"/>
        </w:rPr>
        <w:t xml:space="preserve">Author(s) not specified (2025). Conformal bands for biomarker trajectories in Alzheimer's disease/mild cognitive impairment. arXiv. </w:t>
      </w:r>
      <w:hyperlink r:id="rId20">
        <w:r>
          <w:rPr>
            <w:color w:val="0563c1"/>
            <w:sz w:val="24"/>
            <w:szCs w:val="24"/>
            <w:u w:val="single"/>
            <w:rtl w:val="0"/>
          </w:rPr>
          <w:t xml:space="preserve">https://arxiv.org/html/2511.13911</w:t>
        </w:r>
      </w:hyperlink>
      <w:r>
        <w:rPr>
          <w:sz w:val="24"/>
          <w:szCs w:val="24"/>
          <w:rtl w:val="0"/>
        </w:rPr>
        <w:t xml:space="preserve"> </w:t>
      </w:r>
    </w:p>
    <w:p w:rsidR="00000000" w:rsidDel="00000000" w:rsidP="00000000" w:rsidRDefault="00000000" w:rsidRPr="00000000" w14:paraId="000000A7">
      <w:pPr>
        <w:numPr>
          <w:ilvl w:val="0"/>
          <w:numId w:val="1"/>
        </w:numPr>
        <w:spacing w:before="300" w:line="276" w:lineRule="auto"/>
        <w:ind w:left="720" w:hanging="360"/>
        <w:jc w:val="both"/>
        <w:rPr>
          <w:sz w:val="24"/>
          <w:szCs w:val="24"/>
        </w:rPr>
      </w:pPr>
      <w:r>
        <w:rPr>
          <w:sz w:val="24"/>
          <w:szCs w:val="24"/>
          <w:rtl w:val="0"/>
        </w:rPr>
        <w:t xml:space="preserve">Author(s) not specified (2026). Enhancing LLM clinical support with machine learning risk scores and SHAP explainability in the ICU. Intensive Care Medicine Experimental. </w:t>
      </w:r>
      <w:hyperlink r:id="rId21">
        <w:r>
          <w:rPr>
            <w:color w:val="0563c1"/>
            <w:sz w:val="24"/>
            <w:szCs w:val="24"/>
            <w:u w:val="single"/>
            <w:rtl w:val="0"/>
          </w:rPr>
          <w:t xml:space="preserve">https://link.springer.com/article/10.1186/s40635-026-00900-w</w:t>
        </w:r>
      </w:hyperlink>
      <w:r>
        <w:rPr>
          <w:sz w:val="24"/>
          <w:szCs w:val="24"/>
          <w:rtl w:val="0"/>
        </w:rPr>
        <w:t xml:space="preserve"> </w:t>
      </w:r>
    </w:p>
    <w:p w:rsidR="00000000" w:rsidDel="00000000" w:rsidP="00000000" w:rsidRDefault="00000000" w:rsidRPr="00000000" w14:paraId="000000A8">
      <w:pPr>
        <w:numPr>
          <w:ilvl w:val="0"/>
          <w:numId w:val="1"/>
        </w:numPr>
        <w:spacing w:before="300" w:line="276" w:lineRule="auto"/>
        <w:ind w:left="720" w:hanging="360"/>
        <w:jc w:val="both"/>
        <w:rPr>
          <w:sz w:val="24"/>
          <w:szCs w:val="24"/>
        </w:rPr>
      </w:pPr>
      <w:r>
        <w:rPr>
          <w:sz w:val="24"/>
          <w:szCs w:val="24"/>
          <w:rtl w:val="0"/>
        </w:rPr>
        <w:t xml:space="preserve">Author(s) not specified (2026). Understanding clinical reasoning variability in medical large language models. medRxiv. </w:t>
      </w:r>
      <w:hyperlink r:id="rId22">
        <w:r>
          <w:rPr>
            <w:color w:val="0563c1"/>
            <w:sz w:val="24"/>
            <w:szCs w:val="24"/>
            <w:u w:val="single"/>
            <w:rtl w:val="0"/>
          </w:rPr>
          <w:t xml:space="preserve">https://www.medrxiv.org/content/10.64898/2026.01.26.26344845v1</w:t>
        </w:r>
      </w:hyperlink>
      <w:r>
        <w:rPr>
          <w:sz w:val="24"/>
          <w:szCs w:val="24"/>
          <w:rtl w:val="0"/>
        </w:rPr>
        <w:t xml:space="preserve"> </w:t>
      </w:r>
    </w:p>
    <w:p w:rsidR="00000000" w:rsidDel="00000000" w:rsidP="00000000" w:rsidRDefault="00000000" w:rsidRPr="00000000" w14:paraId="000000A9">
      <w:pPr>
        <w:spacing w:before="300" w:line="276" w:lineRule="auto"/>
        <w:jc w:val="both"/>
        <w:rPr>
          <w:sz w:val="24"/>
          <w:szCs w:val="24"/>
        </w:rPr>
      </w:pP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nsid w:val="1A2B3C90"/>
    <w:multiLevelType w:val="hybridMultilevel"/>
    <w:tmpl w:val="0409001B"/>
    <w:lvl w:ilvl="0">
      <w:start w:val="1"/>
      <w:numFmt w:val="bullet"/>
      <w:lvlText w:val="•"/>
      <w:lvlJc w:val="left"/>
      <w:pPr>
        <w:ind w:left="420" w:hanging="260"/>
      </w:pPr>
      <w:rPr>
        <w:rFonts w:ascii="Noto Sans Symbols" w:hAnsi="Noto Sans Symbols" w:hint="default"/>
      </w:rPr>
    </w:lvl>
    <w:lvl w:ilvl="1">
      <w:start w:val="1"/>
      <w:numFmt w:val="bullet"/>
      <w:lvlText w:val="•"/>
      <w:lvlJc w:val="left"/>
      <w:pPr>
        <w:ind w:left="780" w:hanging="260"/>
      </w:pPr>
      <w:rPr>
        <w:rFonts w:ascii="Noto Sans Symbols" w:hAnsi="Noto Sans Symbols" w:hint="default"/>
      </w:rPr>
    </w:lvl>
    <w:lvl w:ilvl="2">
      <w:start w:val="1"/>
      <w:numFmt w:val="bullet"/>
      <w:lvlText w:val="•"/>
      <w:lvlJc w:val="left"/>
      <w:pPr>
        <w:ind w:left="1140" w:hanging="260"/>
      </w:pPr>
      <w:rPr>
        <w:rFonts w:ascii="Noto Sans Symbols" w:hAnsi="Noto Sans Symbols" w:hint="default"/>
      </w:rPr>
    </w:lvl>
    <w:lvl w:ilvl="3">
      <w:start w:val="1"/>
      <w:numFmt w:val="bullet"/>
      <w:lvlText w:val="•"/>
      <w:lvlJc w:val="left"/>
      <w:pPr>
        <w:ind w:left="1500" w:hanging="260"/>
      </w:pPr>
      <w:rPr>
        <w:rFonts w:ascii="Noto Sans Symbols" w:hAnsi="Noto Sans Symbols" w:hint="default"/>
      </w:rPr>
    </w:lvl>
    <w:lvl w:ilvl="4">
      <w:start w:val="1"/>
      <w:numFmt w:val="bullet"/>
      <w:lvlText w:val="•"/>
      <w:lvlJc w:val="left"/>
      <w:pPr>
        <w:ind w:left="1860" w:hanging="260"/>
      </w:pPr>
      <w:rPr>
        <w:rFonts w:ascii="Noto Sans Symbols" w:hAnsi="Noto Sans Symbols" w:hint="default"/>
      </w:rPr>
    </w:lvl>
    <w:lvl w:ilvl="5">
      <w:start w:val="1"/>
      <w:numFmt w:val="bullet"/>
      <w:lvlText w:val="•"/>
      <w:lvlJc w:val="left"/>
      <w:pPr>
        <w:ind w:left="2220" w:hanging="260"/>
      </w:pPr>
      <w:rPr>
        <w:rFonts w:ascii="Noto Sans Symbols" w:hAnsi="Noto Sans Symbols" w:hint="default"/>
      </w:rPr>
    </w:lvl>
    <w:lvl w:ilvl="6">
      <w:start w:val="1"/>
      <w:numFmt w:val="bullet"/>
      <w:lvlText w:val="•"/>
      <w:lvlJc w:val="left"/>
      <w:pPr>
        <w:ind w:left="2580" w:hanging="260"/>
      </w:pPr>
      <w:rPr>
        <w:rFonts w:ascii="Noto Sans Symbols" w:hAnsi="Noto Sans Symbols" w:hint="default"/>
      </w:rPr>
    </w:lvl>
    <w:lvl w:ilvl="7">
      <w:start w:val="1"/>
      <w:numFmt w:val="bullet"/>
      <w:lvlText w:val="•"/>
      <w:lvlJc w:val="left"/>
      <w:pPr>
        <w:ind w:left="2940" w:hanging="260"/>
      </w:pPr>
      <w:rPr>
        <w:rFonts w:ascii="Noto Sans Symbols" w:hAnsi="Noto Sans Symbols" w:hint="default"/>
      </w:rPr>
    </w:lvl>
    <w:lvl w:ilvl="8">
      <w:start w:val="1"/>
      <w:numFmt w:val="bullet"/>
      <w:lvlText w:val="•"/>
      <w:lvlJc w:val="left"/>
      <w:pPr>
        <w:ind w:left="3300" w:hanging="260"/>
      </w:pPr>
      <w:rPr>
        <w:rFonts w:ascii="Noto Sans Symbols" w:hAnsi="Noto Sans Symbols" w:hint="default"/>
      </w:rPr>
    </w:lvl>
  </w:abstractNum>
  <w:num w:numId="90">
    <w:abstractNumId w:val="90"/>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html/2511.13911" TargetMode="External"/><Relationship Id="rId11" Type="http://schemas.openxmlformats.org/officeDocument/2006/relationships/hyperlink" Target="https://www.ncbi.nlm.nih.gov/pmc/articles/PMC10670033/" TargetMode="External"/><Relationship Id="rId22" Type="http://schemas.openxmlformats.org/officeDocument/2006/relationships/hyperlink" Target="https://www.medrxiv.org/content/10.64898/2026.01.26.26344845v1" TargetMode="External"/><Relationship Id="rId10" Type="http://schemas.openxmlformats.org/officeDocument/2006/relationships/hyperlink" Target="https://pmc.ncbi.nlm.nih.gov/articles/PMC12445147/" TargetMode="External"/><Relationship Id="rId21" Type="http://schemas.openxmlformats.org/officeDocument/2006/relationships/hyperlink" Target="https://link.springer.com/article/10.1186/s40635-026-00900-w" TargetMode="External"/><Relationship Id="rId13" Type="http://schemas.openxmlformats.org/officeDocument/2006/relationships/hyperlink" Target="https://arxiv.org/pdf/2605.24179" TargetMode="External"/><Relationship Id="rId12" Type="http://schemas.openxmlformats.org/officeDocument/2006/relationships/hyperlink" Target="https://pmc.ncbi.nlm.nih.gov/articles/PMC113774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17115387/" TargetMode="External"/><Relationship Id="rId15" Type="http://schemas.openxmlformats.org/officeDocument/2006/relationships/hyperlink" Target="https://www.frontiersin.org/journals/neurology/articles/10.3389/fneur.2021.704906/full" TargetMode="External"/><Relationship Id="rId14" Type="http://schemas.openxmlformats.org/officeDocument/2006/relationships/hyperlink" Target="https://arxiv.org/pdf/2306.04748" TargetMode="External"/><Relationship Id="rId17" Type="http://schemas.openxmlformats.org/officeDocument/2006/relationships/hyperlink" Target="https://pmc.ncbi.nlm.nih.gov/articles/PMC8284270/" TargetMode="External"/><Relationship Id="rId16" Type="http://schemas.openxmlformats.org/officeDocument/2006/relationships/hyperlink" Target="https://www.frontiersin.org/journals/neuroscience/articles/10.3389/fnins.2021.637896/full" TargetMode="External"/><Relationship Id="rId5" Type="http://schemas.openxmlformats.org/officeDocument/2006/relationships/styles" Target="styles.xml"/><Relationship Id="rId19" Type="http://schemas.openxmlformats.org/officeDocument/2006/relationships/hyperlink" Target="https://pmc.ncbi.nlm.nih.gov/articles/PMC12022056/" TargetMode="External"/><Relationship Id="rId6" Type="http://schemas.openxmlformats.org/officeDocument/2006/relationships/image" Target="media/image1.png"/><Relationship Id="rId18" Type="http://schemas.openxmlformats.org/officeDocument/2006/relationships/hyperlink" Target="https://arxiv.org/abs/2605.20468" TargetMode="External"/><Relationship Id="rId7" Type="http://schemas.openxmlformats.org/officeDocument/2006/relationships/image" Target="media/image2.png"/><Relationship Id="rId8" Type="http://schemas.openxmlformats.org/officeDocument/2006/relationships/hyperlink" Target="https://movementdisorders.onlinelibrary.wiley.com/doi/abs/10.1002/mds.25383" TargetMode="External"/><Relationship Id="rId900" Type="http://schemas.openxmlformats.org/officeDocument/2006/relationships/image" Target="media/image10.png"/><Relationship Id="rId90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