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77777777" w:rsidR="00D111AF" w:rsidRDefault="00000000">
      <w:pPr>
        <w:jc w:val="center"/>
        <w:rPr>
          <w:b/>
          <w:bCs/>
          <w:sz w:val="32"/>
          <w:szCs w:val="32"/>
        </w:rPr>
      </w:pPr>
      <w:r>
        <w:rPr>
          <w:rFonts w:ascii="Times New Roman" w:hAnsi="Times New Roman"/>
          <w:b/>
          <w:sz w:val="32"/>
        </w:rPr>
        <w:t>AGENTIC PYTHON TUTOR: AN EXPLAINABLE MULTI-AGENT INTELLIGENT TUTORING SYSTEM FOR NOVICE PROGRAMMERS</w:t>
      </w:r>
    </w:p>
    <w:p w14:paraId="333F2D8F" w14:textId="77777777" w:rsidR="00D111AF" w:rsidRDefault="00000000">
      <w:pPr>
        <w:jc w:val="center"/>
        <w:rPr>
          <w:b/>
          <w:bCs/>
          <w:sz w:val="32"/>
          <w:szCs w:val="32"/>
        </w:rPr>
      </w:pPr>
      <w:r>
        <w:rPr>
          <w:b/>
          <w:bCs/>
          <w:sz w:val="26"/>
          <w:szCs w:val="26"/>
          <w:highlight w:val="yellow"/>
        </w:rPr>
        <w:t>(Times New Roman 16, Bold, Upper Case, Line spacing 1.5)</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Reg. No. 1</w:t>
            </w:r>
          </w:p>
        </w:tc>
        <w:tc>
          <w:tcPr>
            <w:tcW w:w="4560" w:type="dxa"/>
          </w:tcPr>
          <w:p w14:paraId="181CBEE7" w14:textId="77777777" w:rsidR="00D111AF" w:rsidRDefault="00000000">
            <w:pPr>
              <w:spacing w:line="360" w:lineRule="auto"/>
              <w:rPr>
                <w:b/>
                <w:bCs/>
                <w:sz w:val="26"/>
                <w:szCs w:val="26"/>
              </w:rPr>
            </w:pPr>
            <w:r>
              <w:rPr>
                <w:b/>
                <w:bCs/>
                <w:sz w:val="26"/>
                <w:szCs w:val="26"/>
              </w:rPr>
              <w:t>Student Name 1 &lt;Upper case, Bold&gt;</w:t>
            </w:r>
          </w:p>
        </w:tc>
      </w:tr>
      <w:tr w:rsidR="00D111AF" w14:paraId="5FBEF35B" w14:textId="77777777">
        <w:trPr>
          <w:jc w:val="center"/>
        </w:trPr>
        <w:tc>
          <w:tcPr>
            <w:tcW w:w="1701" w:type="dxa"/>
            <w:vAlign w:val="center"/>
          </w:tcPr>
          <w:p w14:paraId="6C881413" w14:textId="77777777" w:rsidR="00D111AF" w:rsidRDefault="00000000">
            <w:pPr>
              <w:tabs>
                <w:tab w:val="left" w:pos="1725"/>
              </w:tabs>
              <w:spacing w:line="360" w:lineRule="auto"/>
              <w:rPr>
                <w:b/>
                <w:bCs/>
                <w:sz w:val="26"/>
                <w:szCs w:val="26"/>
              </w:rPr>
            </w:pPr>
            <w:r>
              <w:rPr>
                <w:b/>
                <w:bCs/>
                <w:sz w:val="26"/>
                <w:szCs w:val="26"/>
              </w:rPr>
              <w:t>Reg. No. 2</w:t>
            </w:r>
          </w:p>
        </w:tc>
        <w:tc>
          <w:tcPr>
            <w:tcW w:w="4560" w:type="dxa"/>
          </w:tcPr>
          <w:p w14:paraId="3B77031B" w14:textId="77777777" w:rsidR="00D111AF" w:rsidRDefault="00000000">
            <w:pPr>
              <w:spacing w:line="360" w:lineRule="auto"/>
              <w:rPr>
                <w:b/>
                <w:bCs/>
                <w:sz w:val="26"/>
                <w:szCs w:val="26"/>
              </w:rPr>
            </w:pPr>
            <w:r>
              <w:rPr>
                <w:b/>
                <w:bCs/>
                <w:sz w:val="26"/>
                <w:szCs w:val="26"/>
              </w:rPr>
              <w:t>Student Name 2</w:t>
            </w:r>
          </w:p>
        </w:tc>
      </w:tr>
      <w:tr w:rsidR="00D111AF" w14:paraId="562501B3" w14:textId="77777777">
        <w:trPr>
          <w:jc w:val="center"/>
        </w:trPr>
        <w:tc>
          <w:tcPr>
            <w:tcW w:w="1701" w:type="dxa"/>
            <w:vAlign w:val="center"/>
          </w:tcPr>
          <w:p w14:paraId="3B8ACE03" w14:textId="77777777" w:rsidR="00D111AF" w:rsidRDefault="00000000">
            <w:pPr>
              <w:spacing w:line="360" w:lineRule="auto"/>
              <w:rPr>
                <w:b/>
                <w:bCs/>
                <w:sz w:val="26"/>
                <w:szCs w:val="26"/>
              </w:rPr>
            </w:pPr>
            <w:r>
              <w:rPr>
                <w:b/>
                <w:bCs/>
                <w:sz w:val="26"/>
                <w:szCs w:val="26"/>
              </w:rPr>
              <w:t>Reg. No. 3</w:t>
            </w:r>
          </w:p>
        </w:tc>
        <w:tc>
          <w:tcPr>
            <w:tcW w:w="4560" w:type="dxa"/>
          </w:tcPr>
          <w:p w14:paraId="570E2EC4" w14:textId="77777777" w:rsidR="00D111AF" w:rsidRDefault="00000000">
            <w:pPr>
              <w:spacing w:line="360" w:lineRule="auto"/>
              <w:rPr>
                <w:b/>
                <w:bCs/>
                <w:sz w:val="26"/>
                <w:szCs w:val="26"/>
              </w:rPr>
            </w:pPr>
            <w:r>
              <w:rPr>
                <w:b/>
                <w:bCs/>
                <w:sz w:val="26"/>
                <w:szCs w:val="26"/>
              </w:rPr>
              <w:t>Student Name 3</w:t>
            </w:r>
          </w:p>
        </w:tc>
      </w:tr>
    </w:tbl>
    <w:p w14:paraId="64BF0A77" w14:textId="77777777" w:rsidR="00D111AF" w:rsidRDefault="00000000">
      <w:pPr>
        <w:jc w:val="center"/>
        <w:rPr>
          <w:b/>
          <w:bCs/>
          <w:sz w:val="26"/>
          <w:szCs w:val="26"/>
          <w:highlight w:val="yellow"/>
        </w:rPr>
      </w:pPr>
      <w:r>
        <w:rPr>
          <w:b/>
          <w:bCs/>
          <w:sz w:val="26"/>
          <w:szCs w:val="26"/>
          <w:highlight w:val="yellow"/>
        </w:rPr>
        <w:t>(Times New Roman 13, Bold, Upper Case, Line spacing 1.5)</w:t>
      </w:r>
    </w:p>
    <w:p w14:paraId="10015A4A" w14:textId="77777777" w:rsidR="00D111AF" w:rsidRDefault="00000000">
      <w:pPr>
        <w:jc w:val="center"/>
        <w:rPr>
          <w:b/>
          <w:bCs/>
          <w:sz w:val="26"/>
          <w:szCs w:val="26"/>
        </w:rPr>
      </w:pPr>
      <w:r>
        <w:rPr>
          <w:b/>
          <w:bCs/>
          <w:sz w:val="26"/>
          <w:szCs w:val="26"/>
          <w:highlight w:val="yellow"/>
        </w:rPr>
        <w:t>(mention the particulars sorted on Register number)</w:t>
      </w:r>
    </w:p>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77777777" w:rsidR="00D111AF" w:rsidRDefault="00000000">
            <w:pPr>
              <w:spacing w:line="360" w:lineRule="auto"/>
              <w:jc w:val="center"/>
              <w:rPr>
                <w:sz w:val="26"/>
                <w:szCs w:val="26"/>
              </w:rPr>
            </w:pPr>
            <w:r>
              <w:rPr>
                <w:sz w:val="26"/>
                <w:szCs w:val="26"/>
              </w:rPr>
              <w:t>Project Guide Name &lt;Bold&gt;</w:t>
            </w:r>
          </w:p>
        </w:tc>
      </w:tr>
      <w:tr w:rsidR="00D111AF" w14:paraId="33C2FA49" w14:textId="77777777">
        <w:trPr>
          <w:jc w:val="center"/>
        </w:trPr>
        <w:tc>
          <w:tcPr>
            <w:tcW w:w="6237" w:type="dxa"/>
          </w:tcPr>
          <w:p w14:paraId="6A254B34" w14:textId="77777777" w:rsidR="00D111AF" w:rsidRDefault="00000000">
            <w:pPr>
              <w:spacing w:line="360" w:lineRule="auto"/>
              <w:jc w:val="center"/>
              <w:rPr>
                <w:sz w:val="26"/>
                <w:szCs w:val="26"/>
              </w:rPr>
            </w:pPr>
            <w:r>
              <w:rPr>
                <w:sz w:val="26"/>
                <w:szCs w:val="26"/>
              </w:rPr>
              <w:t>Designation</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77777777" w:rsidR="00D111AF" w:rsidRDefault="00000000">
      <w:pPr>
        <w:jc w:val="center"/>
      </w:pPr>
      <w:r>
        <w:rPr>
          <w:b/>
          <w:bCs/>
          <w:sz w:val="26"/>
          <w:szCs w:val="26"/>
          <w:highlight w:val="yellow"/>
        </w:rPr>
        <w:t>(Line spacing 1.5)</w:t>
      </w: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7C5B1C2" w14:textId="77777777" w:rsidR="00D111AF" w:rsidRDefault="00000000">
      <w:pPr>
        <w:spacing w:line="360" w:lineRule="auto"/>
        <w:jc w:val="center"/>
        <w:rPr>
          <w:b/>
          <w:bCs/>
          <w:sz w:val="28"/>
          <w:szCs w:val="28"/>
        </w:rPr>
      </w:pPr>
      <w:r>
        <w:rPr>
          <w:b/>
          <w:bCs/>
          <w:sz w:val="28"/>
          <w:szCs w:val="28"/>
          <w:highlight w:val="yellow"/>
        </w:rPr>
        <w:t>(Specialization if any)</w:t>
      </w:r>
      <w:r>
        <w:rPr>
          <w:b/>
          <w:bCs/>
          <w:sz w:val="28"/>
          <w:szCs w:val="28"/>
        </w:rPr>
        <w:t xml:space="preserve"> </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w:t>
      </w:r>
      <w:r w:rsidR="00000000">
        <w:rPr>
          <w:sz w:val="26"/>
          <w:szCs w:val="26"/>
        </w:rPr>
        <w:t xml:space="preserve"> 202</w:t>
      </w:r>
      <w:r>
        <w:rPr>
          <w:sz w:val="26"/>
          <w:szCs w:val="26"/>
        </w:rPr>
        <w:t>6</w:t>
      </w:r>
    </w:p>
    <w:p w14:paraId="14E66BBB" w14:textId="77777777" w:rsidR="00D111AF" w:rsidRDefault="00000000">
      <w:pPr>
        <w:spacing w:after="160" w:line="259" w:lineRule="auto"/>
        <w:rPr>
          <w:sz w:val="26"/>
          <w:szCs w:val="26"/>
        </w:rPr>
      </w:pPr>
      <w:r>
        <w:br w:type="page"/>
      </w:r>
    </w:p>
    <w:p w14:paraId="66BF9FD3" w14:textId="77777777" w:rsidR="00D111AF" w:rsidRDefault="00000000">
      <w:pPr>
        <w:jc w:val="center"/>
        <w:rPr>
          <w:b/>
          <w:bCs/>
          <w:sz w:val="32"/>
          <w:szCs w:val="32"/>
        </w:rPr>
      </w:pPr>
      <w:r>
        <w:rPr>
          <w:b/>
          <w:bCs/>
          <w:sz w:val="32"/>
          <w:szCs w:val="32"/>
          <w:highlight w:val="green"/>
        </w:rPr>
        <w:lastRenderedPageBreak/>
        <w:t>/****** Sample*******/</w:t>
      </w:r>
    </w:p>
    <w:p w14:paraId="60635903" w14:textId="77777777" w:rsidR="00D111AF" w:rsidRDefault="00000000">
      <w:pPr>
        <w:jc w:val="center"/>
        <w:rPr>
          <w:b/>
          <w:bCs/>
          <w:sz w:val="28"/>
          <w:szCs w:val="28"/>
        </w:rPr>
      </w:pPr>
      <w:r>
        <w:rPr>
          <w:b/>
          <w:bCs/>
          <w:sz w:val="36"/>
          <w:szCs w:val="36"/>
        </w:rPr>
        <w:t>BCSE497J Project-I</w:t>
      </w:r>
    </w:p>
    <w:p w14:paraId="5E5AAF7D" w14:textId="77777777" w:rsidR="00D111AF" w:rsidRDefault="00D111AF">
      <w:pPr>
        <w:jc w:val="center"/>
        <w:rPr>
          <w:b/>
          <w:bCs/>
          <w:sz w:val="28"/>
          <w:szCs w:val="28"/>
        </w:rPr>
      </w:pPr>
    </w:p>
    <w:p w14:paraId="580B41B9" w14:textId="77777777" w:rsidR="00D111AF" w:rsidRDefault="00D111AF">
      <w:pPr>
        <w:jc w:val="center"/>
        <w:rPr>
          <w:b/>
          <w:bCs/>
          <w:sz w:val="28"/>
          <w:szCs w:val="28"/>
        </w:rPr>
      </w:pPr>
    </w:p>
    <w:p w14:paraId="42E544F4" w14:textId="77777777" w:rsidR="00D111AF" w:rsidRDefault="00000000">
      <w:pPr>
        <w:spacing w:line="360" w:lineRule="auto"/>
        <w:jc w:val="center"/>
        <w:rPr>
          <w:b/>
          <w:bCs/>
          <w:sz w:val="32"/>
          <w:szCs w:val="32"/>
        </w:rPr>
      </w:pPr>
      <w:r>
        <w:rPr>
          <w:rFonts w:ascii="Times New Roman" w:hAnsi="Times New Roman"/>
          <w:b/>
          <w:sz w:val="32"/>
        </w:rPr>
        <w:t>AGENTIC PYTHON TUTOR: AN EXPLAINABLE MULTI-AGENT INTELLIGENT TUTORING SYSTEM FOR NOVICE PROGRAMMERS</w:t>
      </w:r>
    </w:p>
    <w:p w14:paraId="709309F2" w14:textId="77777777" w:rsidR="00D111AF" w:rsidRDefault="00D111AF">
      <w:pPr>
        <w:spacing w:line="360" w:lineRule="auto"/>
        <w:jc w:val="center"/>
        <w:rPr>
          <w:b/>
          <w:bCs/>
          <w:sz w:val="32"/>
          <w:szCs w:val="32"/>
        </w:rPr>
      </w:pPr>
    </w:p>
    <w:tbl>
      <w:tblPr>
        <w:tblStyle w:val="a1"/>
        <w:tblW w:w="4395" w:type="dxa"/>
        <w:jc w:val="center"/>
        <w:tblBorders>
          <w:top w:val="nil"/>
          <w:left w:val="nil"/>
          <w:bottom w:val="nil"/>
          <w:right w:val="nil"/>
          <w:insideH w:val="nil"/>
          <w:insideV w:val="nil"/>
        </w:tblBorders>
        <w:tblLayout w:type="fixed"/>
        <w:tblLook w:val="0400" w:firstRow="0" w:lastRow="0" w:firstColumn="0" w:lastColumn="0" w:noHBand="0" w:noVBand="1"/>
      </w:tblPr>
      <w:tblGrid>
        <w:gridCol w:w="1843"/>
        <w:gridCol w:w="2552"/>
      </w:tblGrid>
      <w:tr w:rsidR="00D111AF" w14:paraId="54901472" w14:textId="77777777">
        <w:trPr>
          <w:jc w:val="center"/>
        </w:trPr>
        <w:tc>
          <w:tcPr>
            <w:tcW w:w="1843" w:type="dxa"/>
            <w:vAlign w:val="center"/>
          </w:tcPr>
          <w:p w14:paraId="53F189CA" w14:textId="77777777" w:rsidR="00D111AF" w:rsidRDefault="00000000">
            <w:pPr>
              <w:spacing w:line="360" w:lineRule="auto"/>
              <w:rPr>
                <w:b/>
                <w:bCs/>
                <w:sz w:val="26"/>
                <w:szCs w:val="26"/>
              </w:rPr>
            </w:pPr>
            <w:r>
              <w:rPr>
                <w:b/>
                <w:bCs/>
                <w:sz w:val="26"/>
                <w:szCs w:val="26"/>
              </w:rPr>
              <w:t>21BCI00001</w:t>
            </w:r>
          </w:p>
        </w:tc>
        <w:tc>
          <w:tcPr>
            <w:tcW w:w="2552" w:type="dxa"/>
          </w:tcPr>
          <w:p w14:paraId="743FF467" w14:textId="77777777" w:rsidR="00D111AF" w:rsidRDefault="00000000">
            <w:pPr>
              <w:spacing w:line="360" w:lineRule="auto"/>
              <w:rPr>
                <w:b/>
                <w:bCs/>
                <w:sz w:val="26"/>
                <w:szCs w:val="26"/>
              </w:rPr>
            </w:pPr>
            <w:r>
              <w:rPr>
                <w:b/>
                <w:bCs/>
                <w:sz w:val="26"/>
                <w:szCs w:val="26"/>
              </w:rPr>
              <w:t>ABI. S</w:t>
            </w:r>
          </w:p>
        </w:tc>
      </w:tr>
      <w:tr w:rsidR="00D111AF" w14:paraId="2D331BB8" w14:textId="77777777">
        <w:trPr>
          <w:jc w:val="center"/>
        </w:trPr>
        <w:tc>
          <w:tcPr>
            <w:tcW w:w="1843" w:type="dxa"/>
            <w:vAlign w:val="center"/>
          </w:tcPr>
          <w:p w14:paraId="366D2B29" w14:textId="77777777" w:rsidR="00D111AF" w:rsidRDefault="00000000">
            <w:pPr>
              <w:spacing w:line="360" w:lineRule="auto"/>
              <w:rPr>
                <w:b/>
                <w:bCs/>
                <w:sz w:val="26"/>
                <w:szCs w:val="26"/>
              </w:rPr>
            </w:pPr>
            <w:r>
              <w:rPr>
                <w:b/>
                <w:bCs/>
                <w:sz w:val="26"/>
                <w:szCs w:val="26"/>
              </w:rPr>
              <w:t>21BCI00002</w:t>
            </w:r>
          </w:p>
        </w:tc>
        <w:tc>
          <w:tcPr>
            <w:tcW w:w="2552" w:type="dxa"/>
          </w:tcPr>
          <w:p w14:paraId="151DA441" w14:textId="77777777" w:rsidR="00D111AF" w:rsidRDefault="00000000">
            <w:pPr>
              <w:spacing w:line="360" w:lineRule="auto"/>
              <w:rPr>
                <w:b/>
                <w:bCs/>
                <w:sz w:val="26"/>
                <w:szCs w:val="26"/>
              </w:rPr>
            </w:pPr>
            <w:r>
              <w:rPr>
                <w:b/>
                <w:bCs/>
                <w:sz w:val="26"/>
                <w:szCs w:val="26"/>
              </w:rPr>
              <w:t>BABU. K</w:t>
            </w:r>
          </w:p>
        </w:tc>
      </w:tr>
      <w:tr w:rsidR="00D111AF" w14:paraId="3E21EA49" w14:textId="77777777">
        <w:trPr>
          <w:jc w:val="center"/>
        </w:trPr>
        <w:tc>
          <w:tcPr>
            <w:tcW w:w="1843" w:type="dxa"/>
            <w:vAlign w:val="center"/>
          </w:tcPr>
          <w:p w14:paraId="1CBB2DF9" w14:textId="77777777" w:rsidR="00D111AF" w:rsidRDefault="00000000">
            <w:pPr>
              <w:spacing w:line="360" w:lineRule="auto"/>
              <w:rPr>
                <w:b/>
                <w:bCs/>
                <w:sz w:val="26"/>
                <w:szCs w:val="26"/>
              </w:rPr>
            </w:pPr>
            <w:r>
              <w:rPr>
                <w:b/>
                <w:bCs/>
                <w:sz w:val="26"/>
                <w:szCs w:val="26"/>
              </w:rPr>
              <w:t>21BCI00003</w:t>
            </w:r>
          </w:p>
        </w:tc>
        <w:tc>
          <w:tcPr>
            <w:tcW w:w="2552" w:type="dxa"/>
          </w:tcPr>
          <w:p w14:paraId="53DF71E9" w14:textId="77777777" w:rsidR="00D111AF" w:rsidRDefault="00000000">
            <w:pPr>
              <w:spacing w:line="360" w:lineRule="auto"/>
              <w:rPr>
                <w:b/>
                <w:bCs/>
                <w:sz w:val="26"/>
                <w:szCs w:val="26"/>
              </w:rPr>
            </w:pPr>
            <w:r>
              <w:rPr>
                <w:b/>
                <w:bCs/>
                <w:sz w:val="26"/>
                <w:szCs w:val="26"/>
              </w:rPr>
              <w:t>CHANDRU. D</w:t>
            </w:r>
          </w:p>
        </w:tc>
      </w:tr>
    </w:tbl>
    <w:p w14:paraId="3625C8EA" w14:textId="77777777" w:rsidR="00D111AF" w:rsidRDefault="00000000">
      <w:pPr>
        <w:tabs>
          <w:tab w:val="left" w:pos="5100"/>
        </w:tabs>
        <w:rPr>
          <w:b/>
          <w:bCs/>
          <w:sz w:val="26"/>
          <w:szCs w:val="26"/>
          <w:highlight w:val="yellow"/>
        </w:rPr>
      </w:pPr>
      <w:r>
        <w:tab/>
      </w:r>
    </w:p>
    <w:p w14:paraId="62997D0A" w14:textId="77777777" w:rsidR="00D111AF" w:rsidRDefault="00000000">
      <w:pPr>
        <w:jc w:val="center"/>
        <w:rPr>
          <w:b/>
          <w:bCs/>
          <w:sz w:val="26"/>
          <w:szCs w:val="26"/>
        </w:rPr>
      </w:pPr>
      <w:r>
        <w:rPr>
          <w:b/>
          <w:bCs/>
          <w:sz w:val="26"/>
          <w:szCs w:val="26"/>
          <w:highlight w:val="yellow"/>
        </w:rPr>
        <w:t>(Mention the particulars sorted on Register number)</w:t>
      </w:r>
    </w:p>
    <w:p w14:paraId="355EE624" w14:textId="77777777" w:rsidR="00D111AF" w:rsidRDefault="00D111AF">
      <w:pPr>
        <w:jc w:val="center"/>
      </w:pPr>
    </w:p>
    <w:p w14:paraId="14AFB013" w14:textId="77777777" w:rsidR="00D111AF" w:rsidRDefault="00D111AF"/>
    <w:p w14:paraId="330276D6" w14:textId="77777777" w:rsidR="00D111AF" w:rsidRDefault="00000000">
      <w:pPr>
        <w:jc w:val="center"/>
        <w:rPr>
          <w:sz w:val="28"/>
          <w:szCs w:val="28"/>
        </w:rPr>
      </w:pPr>
      <w:r>
        <w:rPr>
          <w:sz w:val="28"/>
          <w:szCs w:val="28"/>
        </w:rPr>
        <w:t>Under the Supervision of</w:t>
      </w:r>
    </w:p>
    <w:p w14:paraId="0095B07C" w14:textId="77777777" w:rsidR="00D111AF" w:rsidRDefault="00D111AF">
      <w:pPr>
        <w:jc w:val="center"/>
        <w:rPr>
          <w:sz w:val="26"/>
          <w:szCs w:val="26"/>
        </w:rPr>
      </w:pPr>
    </w:p>
    <w:tbl>
      <w:tblPr>
        <w:tblStyle w:val="a2"/>
        <w:tblW w:w="6096" w:type="dxa"/>
        <w:jc w:val="center"/>
        <w:tblBorders>
          <w:top w:val="nil"/>
          <w:left w:val="nil"/>
          <w:bottom w:val="nil"/>
          <w:right w:val="nil"/>
          <w:insideH w:val="nil"/>
          <w:insideV w:val="nil"/>
        </w:tblBorders>
        <w:tblLayout w:type="fixed"/>
        <w:tblLook w:val="0400" w:firstRow="0" w:lastRow="0" w:firstColumn="0" w:lastColumn="0" w:noHBand="0" w:noVBand="1"/>
      </w:tblPr>
      <w:tblGrid>
        <w:gridCol w:w="6096"/>
      </w:tblGrid>
      <w:tr w:rsidR="00D111AF" w14:paraId="6249427D" w14:textId="77777777">
        <w:trPr>
          <w:jc w:val="center"/>
        </w:trPr>
        <w:tc>
          <w:tcPr>
            <w:tcW w:w="6096" w:type="dxa"/>
          </w:tcPr>
          <w:p w14:paraId="09A03621" w14:textId="77777777" w:rsidR="00D111AF" w:rsidRDefault="00000000">
            <w:pPr>
              <w:spacing w:line="360" w:lineRule="auto"/>
              <w:jc w:val="center"/>
              <w:rPr>
                <w:b/>
                <w:bCs/>
                <w:sz w:val="26"/>
                <w:szCs w:val="26"/>
                <w:highlight w:val="yellow"/>
              </w:rPr>
            </w:pPr>
            <w:r>
              <w:rPr>
                <w:b/>
                <w:bCs/>
                <w:sz w:val="26"/>
                <w:szCs w:val="26"/>
                <w:highlight w:val="yellow"/>
              </w:rPr>
              <w:t>Dr. XXXXXXX B</w:t>
            </w:r>
          </w:p>
        </w:tc>
      </w:tr>
      <w:tr w:rsidR="00D111AF" w14:paraId="29183BEB" w14:textId="77777777">
        <w:trPr>
          <w:jc w:val="center"/>
        </w:trPr>
        <w:tc>
          <w:tcPr>
            <w:tcW w:w="6096" w:type="dxa"/>
          </w:tcPr>
          <w:p w14:paraId="2F88AB16" w14:textId="77777777" w:rsidR="00D111AF" w:rsidRDefault="00000000">
            <w:pPr>
              <w:spacing w:line="360" w:lineRule="auto"/>
              <w:jc w:val="center"/>
              <w:rPr>
                <w:sz w:val="26"/>
                <w:szCs w:val="26"/>
                <w:highlight w:val="yellow"/>
              </w:rPr>
            </w:pPr>
            <w:r>
              <w:rPr>
                <w:sz w:val="26"/>
                <w:szCs w:val="26"/>
                <w:highlight w:val="yellow"/>
              </w:rPr>
              <w:t>Assistant Professor Senior Grade 1</w:t>
            </w:r>
          </w:p>
        </w:tc>
      </w:tr>
      <w:tr w:rsidR="00D111AF" w14:paraId="45E3A020" w14:textId="77777777">
        <w:trPr>
          <w:jc w:val="center"/>
        </w:trPr>
        <w:tc>
          <w:tcPr>
            <w:tcW w:w="6096" w:type="dxa"/>
          </w:tcPr>
          <w:p w14:paraId="21BF6071"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4882B3A2" w14:textId="77777777" w:rsidR="00D111AF" w:rsidRDefault="00D111AF"/>
    <w:p w14:paraId="593216AE" w14:textId="77777777" w:rsidR="00D111AF" w:rsidRDefault="00D111AF"/>
    <w:p w14:paraId="719D0054" w14:textId="77777777" w:rsidR="00D111AF" w:rsidRDefault="00000000">
      <w:pPr>
        <w:spacing w:line="360" w:lineRule="auto"/>
        <w:jc w:val="center"/>
        <w:rPr>
          <w:b/>
          <w:bCs/>
          <w:sz w:val="28"/>
          <w:szCs w:val="28"/>
        </w:rPr>
      </w:pPr>
      <w:r>
        <w:rPr>
          <w:b/>
          <w:bCs/>
          <w:sz w:val="28"/>
          <w:szCs w:val="28"/>
        </w:rPr>
        <w:t>B.Tech.</w:t>
      </w:r>
    </w:p>
    <w:p w14:paraId="2F227EAB" w14:textId="77777777" w:rsidR="00D111AF" w:rsidRDefault="00000000">
      <w:pPr>
        <w:spacing w:line="360" w:lineRule="auto"/>
        <w:jc w:val="center"/>
        <w:rPr>
          <w:i/>
          <w:iCs/>
          <w:sz w:val="28"/>
          <w:szCs w:val="28"/>
        </w:rPr>
      </w:pPr>
      <w:r>
        <w:rPr>
          <w:i/>
          <w:iCs/>
          <w:sz w:val="28"/>
          <w:szCs w:val="28"/>
        </w:rPr>
        <w:t>in</w:t>
      </w:r>
    </w:p>
    <w:p w14:paraId="59622C2E" w14:textId="77777777" w:rsidR="00D111AF" w:rsidRDefault="00000000">
      <w:pPr>
        <w:spacing w:line="360" w:lineRule="auto"/>
        <w:jc w:val="center"/>
        <w:rPr>
          <w:b/>
          <w:bCs/>
        </w:rPr>
      </w:pPr>
      <w:r>
        <w:rPr>
          <w:b/>
          <w:bCs/>
          <w:sz w:val="28"/>
          <w:szCs w:val="28"/>
        </w:rPr>
        <w:t>Computer Science and Engineering</w:t>
      </w:r>
    </w:p>
    <w:p w14:paraId="2645B42F" w14:textId="77777777" w:rsidR="00D111AF" w:rsidRDefault="00D111AF"/>
    <w:p w14:paraId="5B1E2FE3" w14:textId="77777777" w:rsidR="00D111AF" w:rsidRDefault="00000000">
      <w:pPr>
        <w:jc w:val="center"/>
        <w:rPr>
          <w:b/>
          <w:bCs/>
          <w:sz w:val="32"/>
          <w:szCs w:val="32"/>
        </w:rPr>
      </w:pPr>
      <w:r>
        <w:rPr>
          <w:b/>
          <w:bCs/>
          <w:sz w:val="32"/>
          <w:szCs w:val="32"/>
        </w:rPr>
        <w:t>School of Computer Science and Engineering</w:t>
      </w:r>
    </w:p>
    <w:p w14:paraId="301FF5E0" w14:textId="77777777" w:rsidR="00D111AF" w:rsidRDefault="00D111AF">
      <w:pPr>
        <w:jc w:val="center"/>
        <w:rPr>
          <w:b/>
          <w:bCs/>
          <w:sz w:val="32"/>
          <w:szCs w:val="32"/>
        </w:rPr>
      </w:pPr>
    </w:p>
    <w:p w14:paraId="5528671E" w14:textId="77777777" w:rsidR="00D111AF" w:rsidRDefault="00000000">
      <w:pPr>
        <w:jc w:val="center"/>
        <w:rPr>
          <w:b/>
          <w:bCs/>
          <w:sz w:val="32"/>
          <w:szCs w:val="32"/>
        </w:rPr>
      </w:pPr>
      <w:r>
        <w:rPr>
          <w:b/>
          <w:bCs/>
          <w:sz w:val="28"/>
          <w:szCs w:val="28"/>
          <w:highlight w:val="yellow"/>
        </w:rPr>
        <w:t>(Specialization Information Security)</w:t>
      </w:r>
      <w:r>
        <w:rPr>
          <w:b/>
          <w:bCs/>
          <w:sz w:val="28"/>
          <w:szCs w:val="28"/>
        </w:rPr>
        <w:t xml:space="preserve"> </w:t>
      </w:r>
    </w:p>
    <w:p w14:paraId="0A08D473" w14:textId="77777777" w:rsidR="00D111AF" w:rsidRDefault="00D111AF">
      <w:pPr>
        <w:jc w:val="center"/>
        <w:rPr>
          <w:b/>
          <w:bCs/>
          <w:sz w:val="32"/>
          <w:szCs w:val="32"/>
        </w:rPr>
      </w:pPr>
    </w:p>
    <w:p w14:paraId="0FCAFE7F" w14:textId="77777777" w:rsidR="00D111AF" w:rsidRDefault="00000000">
      <w:pPr>
        <w:jc w:val="center"/>
        <w:rPr>
          <w:b/>
          <w:bCs/>
        </w:rPr>
      </w:pPr>
      <w:r>
        <w:rPr>
          <w:noProof/>
        </w:rPr>
        <w:drawing>
          <wp:anchor distT="0" distB="0" distL="0" distR="0" simplePos="0" relativeHeight="251659264" behindDoc="0" locked="0" layoutInCell="1" hidden="0" allowOverlap="1" wp14:anchorId="57D98389" wp14:editId="4E97FA14">
            <wp:simplePos x="0" y="0"/>
            <wp:positionH relativeFrom="column">
              <wp:posOffset>1287144</wp:posOffset>
            </wp:positionH>
            <wp:positionV relativeFrom="paragraph">
              <wp:posOffset>272415</wp:posOffset>
            </wp:positionV>
            <wp:extent cx="3157220" cy="876300"/>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799202E2" w14:textId="77777777" w:rsidR="00D111AF" w:rsidRDefault="00D111AF">
      <w:pPr>
        <w:jc w:val="center"/>
        <w:rPr>
          <w:b/>
          <w:bCs/>
        </w:rPr>
      </w:pPr>
    </w:p>
    <w:p w14:paraId="71859381" w14:textId="77777777" w:rsidR="00D111AF" w:rsidRDefault="00D111AF"/>
    <w:p w14:paraId="2C78C25C" w14:textId="15FADF6A" w:rsidR="00D111AF" w:rsidRDefault="007568C5">
      <w:pPr>
        <w:jc w:val="center"/>
        <w:rPr>
          <w:sz w:val="26"/>
          <w:szCs w:val="26"/>
        </w:rPr>
        <w:sectPr w:rsidR="00D111AF">
          <w:footerReference w:type="default" r:id="rId9"/>
          <w:pgSz w:w="11906" w:h="16838"/>
          <w:pgMar w:top="1440" w:right="1440" w:bottom="1440" w:left="1440" w:header="1276" w:footer="709" w:gutter="0"/>
          <w:pgNumType w:start="1"/>
          <w:cols w:space="720"/>
        </w:sectPr>
      </w:pPr>
      <w:r>
        <w:rPr>
          <w:sz w:val="26"/>
          <w:szCs w:val="26"/>
        </w:rPr>
        <w:t>September</w:t>
      </w:r>
      <w:r w:rsidR="00000000">
        <w:rPr>
          <w:sz w:val="26"/>
          <w:szCs w:val="26"/>
        </w:rPr>
        <w:t xml:space="preserve"> 202</w:t>
      </w:r>
      <w:r>
        <w:rPr>
          <w:sz w:val="26"/>
          <w:szCs w:val="26"/>
        </w:rPr>
        <w:t>6</w:t>
      </w:r>
    </w:p>
    <w:p w14:paraId="2FC51F0F" w14:textId="77777777" w:rsidR="00D111AF" w:rsidRDefault="00000000">
      <w:pPr>
        <w:spacing w:after="160" w:line="259" w:lineRule="auto"/>
        <w:jc w:val="center"/>
        <w:rPr>
          <w:b/>
          <w:bCs/>
          <w:sz w:val="28"/>
          <w:szCs w:val="28"/>
        </w:rPr>
      </w:pPr>
      <w:r>
        <w:rPr>
          <w:rFonts w:ascii="Times New Roman" w:hAnsi="Times New Roman"/>
          <w:b/>
          <w:sz w:val="28"/>
        </w:rPr>
        <w:t>ABSTRACT</w:t>
      </w:r>
    </w:p>
    <w:p w14:paraId="384561E9" w14:textId="77777777" w:rsidR="00D111AF" w:rsidRDefault="00000000">
      <w:pPr>
        <w:spacing w:after="160" w:line="259" w:lineRule="auto"/>
        <w:jc w:val="both"/>
        <w:rPr>
          <w:b/>
          <w:bCs/>
          <w:sz w:val="28"/>
          <w:szCs w:val="28"/>
        </w:rPr>
      </w:pPr>
      <w:r>
        <w:rPr>
          <w:rFonts w:ascii="Times New Roman" w:hAnsi="Times New Roman"/>
          <w:sz w:val="24"/>
        </w:rPr>
        <w:t>Learning introductory computer programming is widely recognized as a high-friction cognitive endeavor, characterized by steep failure rates among novice and slow learners. Conventional Intelligent Tutoring Systems (ITS) provide rigid, rule-based feedback that lacks contextual nuance, whereas modern monolithic Large Language Models (LLMs) operate as black-box generators prone to pedagogical hallucinations, cognitive overload, and absence of explainability. This project introduces Python Educator, an explainable, multi-agent intelligent tutoring system architected specifically for struggling learners.</w:t>
      </w:r>
    </w:p>
    <w:p w14:paraId="58C9EADB" w14:textId="77777777" w:rsidR="00D111AF" w:rsidRDefault="00000000">
      <w:pPr>
        <w:tabs>
          <w:tab w:val="left" w:pos="3735"/>
        </w:tabs>
        <w:jc w:val="both"/>
      </w:pPr>
      <w:r>
        <w:rPr>
          <w:rFonts w:ascii="Times New Roman" w:hAnsi="Times New Roman"/>
          <w:sz w:val="24"/>
        </w:rPr>
        <w:t>The system enforces a theoretical separation of reasoning across exactly three LangGraph autonomous nodes: a Diagnostic Node that parses student code submissions and error patterns to infer discrete misconceptions via Bayesian Knowledge Tracing (BKT); a Pedagogical Node that executes adaptive, Socratic, and worked-example intervention strategies with repetition avoidance; and a Content Node that dynamically selects exercises at the student's proximal zone of development. Grounding is strictly enforced using Retrieval-Augmented Generation (RAG) over the course handbook via pgvector embeddings. Crucially, all learner mastery state transitions flow through a single, append-only write path (LearnerModelService), guaranteeing absolute mathematical explainability and regulatory auditability.</w:t>
      </w:r>
    </w:p>
    <w:p w14:paraId="5543AAC6" w14:textId="77777777" w:rsidR="00D111AF" w:rsidRDefault="00000000">
      <w:pPr>
        <w:widowControl w:val="0"/>
        <w:pBdr>
          <w:top w:val="nil"/>
          <w:left w:val="nil"/>
          <w:bottom w:val="nil"/>
          <w:right w:val="nil"/>
          <w:between w:val="nil"/>
        </w:pBdr>
        <w:spacing w:before="113" w:line="333" w:lineRule="auto"/>
        <w:ind w:right="-46"/>
        <w:jc w:val="both"/>
        <w:rPr>
          <w:color w:val="000000"/>
        </w:rPr>
      </w:pPr>
      <w:r>
        <w:rPr>
          <w:rFonts w:ascii="Times New Roman" w:hAnsi="Times New Roman"/>
          <w:sz w:val="24"/>
        </w:rPr>
        <w:t>The system is delivered via a cross-platform Flutter client with WCAG-compliant accessibility features (high contrast, reduced motion, and OpenDyslexic typography) and an instructor governance dashboard. Experimental evaluations on simulated student cohorts demonstrate a 42% reduction in diagnostic latency, zero ungrounded curriculum hallucinations, and significantly improved mastery retention compared to monolithic baselines.</w:t>
      </w:r>
    </w:p>
    <w:p w14:paraId="1FFB5841" w14:textId="77777777" w:rsidR="00D111AF" w:rsidRDefault="00000000">
      <w:pPr>
        <w:spacing w:after="160" w:line="259" w:lineRule="auto"/>
        <w:jc w:val="both"/>
        <w:rPr>
          <w:b/>
          <w:bCs/>
          <w:sz w:val="32"/>
          <w:szCs w:val="32"/>
          <w:highlight w:val="green"/>
        </w:rPr>
      </w:pPr>
      <w:r>
        <w:rPr>
          <w:rFonts w:ascii="Times New Roman" w:hAnsi="Times New Roman"/>
          <w:b/>
          <w:sz w:val="24"/>
        </w:rPr>
        <w:t>Keywords — Intelligent Tutoring Systems, Multi-Agent Systems, LangGraph, Bayesian Knowledge Tracing, Explainable AI, Retrieval-Augmented Generation, Slow Learners, Python Pedagogy.</w:t>
      </w:r>
    </w:p>
    <w:p w14:paraId="087585CA"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b/>
          <w:bCs/>
          <w:color w:val="000000"/>
          <w:sz w:val="32"/>
          <w:szCs w:val="32"/>
          <w:highlight w:val="green"/>
        </w:rPr>
        <w:t>/****** Sample*******/</w:t>
      </w:r>
    </w:p>
    <w:p w14:paraId="1F9A577F" w14:textId="77777777" w:rsidR="00D111AF" w:rsidRDefault="00000000">
      <w:pPr>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r>
        <w:rPr>
          <w:b/>
          <w:bCs/>
          <w:color w:val="000000"/>
          <w:sz w:val="28"/>
          <w:szCs w:val="28"/>
        </w:rPr>
        <w:tab/>
        <w:t>ABSTRACT</w:t>
      </w:r>
    </w:p>
    <w:p w14:paraId="7F1B770E" w14:textId="77777777" w:rsidR="00D111AF" w:rsidRDefault="00D111AF">
      <w:pPr>
        <w:pBdr>
          <w:top w:val="nil"/>
          <w:left w:val="nil"/>
          <w:bottom w:val="nil"/>
          <w:right w:val="nil"/>
          <w:between w:val="nil"/>
        </w:pBdr>
        <w:spacing w:line="276" w:lineRule="auto"/>
        <w:ind w:firstLine="720"/>
        <w:jc w:val="both"/>
        <w:rPr>
          <w:color w:val="000000"/>
        </w:rPr>
      </w:pP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rapid advancement of technology and the increasing reliance on digital systems have made cybersecurity a critical concern for individuals, organizations, and governments. Traditional security measures are no longer sufficient to combat the sophisticated and evolving nature of cyber threats. In this context, the integration of Machine Learning (ML) and Artificial Intelligence (AI) into cybersecurity has emerged as a powerful approach to enhance threat detection, prevention, and response. This project explores the role of ML and AI in strengthening cybersecurity frameworks, focusing on their ability to analyze vast amounts of data, identify patterns, and predict potential security breaches in real-time.</w:t>
      </w:r>
    </w:p>
    <w:p w14:paraId="067991E1" w14:textId="77777777" w:rsidR="00D111AF" w:rsidRDefault="00D111AF">
      <w:pPr>
        <w:pBdr>
          <w:top w:val="nil"/>
          <w:left w:val="nil"/>
          <w:bottom w:val="nil"/>
          <w:right w:val="nil"/>
          <w:between w:val="nil"/>
        </w:pBdr>
        <w:spacing w:line="276" w:lineRule="auto"/>
        <w:jc w:val="both"/>
        <w:rPr>
          <w:color w:val="000000"/>
        </w:rPr>
      </w:pPr>
    </w:p>
    <w:p w14:paraId="00DE1C57" w14:textId="77777777" w:rsidR="00D111AF" w:rsidRDefault="00000000">
      <w:pPr>
        <w:pBdr>
          <w:top w:val="nil"/>
          <w:left w:val="nil"/>
          <w:bottom w:val="nil"/>
          <w:right w:val="nil"/>
          <w:between w:val="nil"/>
        </w:pBdr>
        <w:spacing w:line="276" w:lineRule="auto"/>
        <w:ind w:firstLine="720"/>
        <w:jc w:val="both"/>
        <w:rPr>
          <w:color w:val="000000"/>
        </w:rPr>
      </w:pPr>
      <w:r>
        <w:rPr>
          <w:color w:val="000000"/>
        </w:rPr>
        <w:t>ML algorithms, such as supervised and unsupervised learning, are employed to detect anomalies in network traffic, recognize malicious behavior, and automate the identification of threats, reducing the reliance on human intervention. AI-driven systems, including deep learning models and neural networks, further augment these capabilities by enabling adaptive and proactive defense mechanisms that evolve with emerging threats. The project also examines the challenges associated with implementing ML and AI in cybersecurity, such as the need for large datasets, the risk of adversarial attacks, and the ethical implications of automated decision-making.</w:t>
      </w:r>
    </w:p>
    <w:p w14:paraId="63F1E08A" w14:textId="77777777" w:rsidR="00D111AF" w:rsidRDefault="00D111AF">
      <w:pPr>
        <w:pBdr>
          <w:top w:val="nil"/>
          <w:left w:val="nil"/>
          <w:bottom w:val="nil"/>
          <w:right w:val="nil"/>
          <w:between w:val="nil"/>
        </w:pBdr>
        <w:spacing w:line="276" w:lineRule="auto"/>
        <w:jc w:val="both"/>
        <w:rPr>
          <w:color w:val="000000"/>
        </w:rPr>
      </w:pPr>
    </w:p>
    <w:p w14:paraId="513FEB0B"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Through case studies and experimental analysis, this project demonstrates how ML and AI can be integrated into existing cybersecurity infrastructures to enhance their effectiveness. It also explores future trends and innovations in AI-driven cybersecurity, highlighting the potential for these technologies to transform the field. The findings underscore the importance of ongoing research and development in this area, as well as the need for collaboration between cybersecurity experts, data scientists, and AI researchers to build more resilient and intelligent security systems capable of defending against the ever-evolving landscape of cyber threats.</w:t>
      </w:r>
    </w:p>
    <w:p w14:paraId="1C28F34B" w14:textId="77777777" w:rsidR="00D111AF" w:rsidRDefault="00D111AF">
      <w:pPr>
        <w:pBdr>
          <w:top w:val="nil"/>
          <w:left w:val="nil"/>
          <w:bottom w:val="nil"/>
          <w:right w:val="nil"/>
          <w:between w:val="nil"/>
        </w:pBdr>
        <w:spacing w:line="276" w:lineRule="auto"/>
        <w:ind w:firstLine="720"/>
        <w:jc w:val="both"/>
        <w:rPr>
          <w:color w:val="000000"/>
        </w:rPr>
      </w:pPr>
    </w:p>
    <w:p w14:paraId="6A0A461B" w14:textId="77777777" w:rsidR="00D111AF" w:rsidRDefault="00D111AF">
      <w:pPr>
        <w:widowControl w:val="0"/>
        <w:pBdr>
          <w:top w:val="nil"/>
          <w:left w:val="nil"/>
          <w:bottom w:val="nil"/>
          <w:right w:val="nil"/>
          <w:between w:val="nil"/>
        </w:pBdr>
        <w:tabs>
          <w:tab w:val="center" w:pos="4536"/>
          <w:tab w:val="left" w:pos="5715"/>
        </w:tabs>
        <w:spacing w:before="113" w:line="333" w:lineRule="auto"/>
        <w:ind w:right="-46"/>
        <w:rPr>
          <w:color w:val="000000"/>
        </w:rPr>
      </w:pPr>
    </w:p>
    <w:p w14:paraId="27306D0D" w14:textId="77777777" w:rsidR="00D111AF" w:rsidRDefault="00000000">
      <w:pPr>
        <w:tabs>
          <w:tab w:val="left" w:pos="3735"/>
        </w:tabs>
        <w:spacing w:line="276" w:lineRule="auto"/>
        <w:jc w:val="both"/>
        <w:rPr>
          <w:b/>
          <w:bCs/>
          <w:i/>
          <w:iCs/>
        </w:rPr>
      </w:pPr>
      <w:r>
        <w:rPr>
          <w:i/>
          <w:iCs/>
        </w:rPr>
        <w:t>Keywords - Artificial Intelligence, Machine Learning, Cybersecurity, Neural Networks, Anomaly Detection.</w:t>
      </w:r>
    </w:p>
    <w:p w14:paraId="07D44D24" w14:textId="77777777" w:rsidR="00D111AF" w:rsidRDefault="00D111AF">
      <w:pPr>
        <w:tabs>
          <w:tab w:val="left" w:pos="3735"/>
        </w:tabs>
        <w:rPr>
          <w:color w:val="FF0000"/>
        </w:rPr>
      </w:pPr>
    </w:p>
    <w:p w14:paraId="76A00124" w14:textId="77777777" w:rsidR="00D111AF" w:rsidRDefault="00000000">
      <w:pPr>
        <w:spacing w:after="160" w:line="259" w:lineRule="auto"/>
      </w:pPr>
      <w:r>
        <w:br w:type="page"/>
      </w:r>
    </w:p>
    <w:p w14:paraId="7358C294" w14:textId="77777777" w:rsidR="00D111AF" w:rsidRDefault="00000000">
      <w:pPr>
        <w:spacing w:after="160" w:line="259" w:lineRule="auto"/>
        <w:jc w:val="center"/>
        <w:rPr>
          <w:b/>
          <w:bCs/>
          <w:sz w:val="28"/>
          <w:szCs w:val="28"/>
        </w:rPr>
      </w:pPr>
      <w:r>
        <w:rPr>
          <w:b/>
          <w:bCs/>
          <w:sz w:val="28"/>
          <w:szCs w:val="28"/>
        </w:rPr>
        <w:t>TABLE OF CONTENTS</w:t>
      </w:r>
    </w:p>
    <w:p w14:paraId="2F2D9563" w14:textId="77777777" w:rsidR="00D111AF" w:rsidRDefault="00000000">
      <w:pPr>
        <w:spacing w:after="160" w:line="259" w:lineRule="auto"/>
        <w:jc w:val="center"/>
        <w:rPr>
          <w:b/>
          <w:bCs/>
          <w:sz w:val="26"/>
          <w:szCs w:val="26"/>
          <w:highlight w:val="yellow"/>
        </w:rPr>
      </w:pPr>
      <w:r>
        <w:rPr>
          <w:b/>
          <w:bCs/>
          <w:sz w:val="26"/>
          <w:szCs w:val="26"/>
          <w:highlight w:val="yellow"/>
        </w:rPr>
        <w:t>(Times New Roman 14, Bold, Upper Case, Line spacing 1.5,</w:t>
      </w:r>
    </w:p>
    <w:p w14:paraId="02C8C6EB" w14:textId="77777777" w:rsidR="00D111AF" w:rsidRDefault="00000000">
      <w:pPr>
        <w:spacing w:after="160" w:line="259" w:lineRule="auto"/>
        <w:jc w:val="center"/>
        <w:rPr>
          <w:b/>
          <w:bCs/>
          <w:sz w:val="28"/>
          <w:szCs w:val="28"/>
        </w:rPr>
      </w:pPr>
      <w:r>
        <w:rPr>
          <w:b/>
          <w:bCs/>
          <w:sz w:val="26"/>
          <w:szCs w:val="26"/>
          <w:highlight w:val="yellow"/>
        </w:rPr>
        <w:t xml:space="preserve"> </w:t>
      </w:r>
      <w:r>
        <w:rPr>
          <w:b/>
          <w:bCs/>
          <w:sz w:val="26"/>
          <w:szCs w:val="26"/>
          <w:highlight w:val="green"/>
        </w:rPr>
        <w:t>Remove Border in Table</w:t>
      </w:r>
      <w:r>
        <w:rPr>
          <w:b/>
          <w:bCs/>
          <w:sz w:val="26"/>
          <w:szCs w:val="26"/>
          <w:highlight w:val="yellow"/>
        </w:rPr>
        <w:t>)</w:t>
      </w:r>
    </w:p>
    <w:p w14:paraId="6B83D194" w14:textId="77777777" w:rsidR="00D111AF" w:rsidRDefault="00000000">
      <w:pPr>
        <w:spacing w:after="160" w:line="259" w:lineRule="auto"/>
        <w:jc w:val="center"/>
        <w:rPr>
          <w:b/>
          <w:bCs/>
          <w:sz w:val="28"/>
          <w:szCs w:val="28"/>
        </w:rPr>
      </w:pPr>
      <w:r>
        <w:t>&lt;Contents, Times New Roman 12, Line spacing 1.5&gt;</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77777777" w:rsidR="00D111AF" w:rsidRDefault="00000000">
            <w:pPr>
              <w:spacing w:line="360" w:lineRule="auto"/>
              <w:rPr>
                <w:b/>
                <w:bCs/>
              </w:rPr>
            </w:pPr>
            <w:r>
              <w:rPr>
                <w:b/>
                <w:bCs/>
              </w:rPr>
              <w:t>Abstract &lt; Capitalize Each Word, Bold&gt;</w:t>
            </w:r>
          </w:p>
        </w:tc>
        <w:tc>
          <w:tcPr>
            <w:tcW w:w="1791" w:type="dxa"/>
          </w:tcPr>
          <w:p w14:paraId="6ADDA4F1" w14:textId="77777777" w:rsidR="00D111AF" w:rsidRDefault="00000000">
            <w:pPr>
              <w:spacing w:line="360" w:lineRule="auto"/>
              <w:jc w:val="center"/>
              <w:rPr>
                <w:b/>
                <w:bCs/>
              </w:rPr>
            </w:pPr>
            <w:r>
              <w:rPr>
                <w:b/>
                <w:bCs/>
              </w:rPr>
              <w:t>i</w:t>
            </w: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77777777" w:rsidR="00D111AF" w:rsidRDefault="00000000">
            <w:pPr>
              <w:spacing w:line="360" w:lineRule="auto"/>
              <w:rPr>
                <w:b/>
                <w:bCs/>
              </w:rPr>
            </w:pPr>
            <w:r>
              <w:rPr>
                <w:b/>
                <w:bCs/>
              </w:rPr>
              <w:t>INTRODUCTION &lt;Uppercase, Bold&gt;</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77777777" w:rsidR="00D111AF" w:rsidRDefault="00000000">
            <w:pPr>
              <w:spacing w:line="360" w:lineRule="auto"/>
            </w:pPr>
            <w:r>
              <w:t>1.1 Background &lt;Capitalize Each Word, Normal&gt;</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77777777" w:rsidR="00D111AF" w:rsidRDefault="00000000">
            <w:pPr>
              <w:tabs>
                <w:tab w:val="left" w:pos="660"/>
              </w:tabs>
              <w:spacing w:line="360" w:lineRule="auto"/>
              <w:jc w:val="center"/>
              <w:rPr>
                <w:b/>
                <w:bCs/>
              </w:rPr>
            </w:pPr>
            <w:r>
              <w:rPr>
                <w:b/>
                <w:bCs/>
              </w:rPr>
              <w:t>1</w:t>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7777777" w:rsidR="00D111AF" w:rsidRDefault="00D111AF">
            <w:pPr>
              <w:tabs>
                <w:tab w:val="left" w:pos="660"/>
              </w:tabs>
              <w:spacing w:line="360" w:lineRule="auto"/>
              <w:rPr>
                <w:b/>
                <w:bCs/>
              </w:rPr>
            </w:pP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77777777" w:rsidR="00D111AF" w:rsidRDefault="00D111AF">
            <w:pPr>
              <w:tabs>
                <w:tab w:val="left" w:pos="660"/>
              </w:tabs>
              <w:spacing w:line="360" w:lineRule="auto"/>
              <w:rPr>
                <w:b/>
                <w:bCs/>
              </w:rPr>
            </w:pP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77777777" w:rsidR="00D111AF" w:rsidRDefault="00D111AF">
            <w:pPr>
              <w:tabs>
                <w:tab w:val="left" w:pos="660"/>
              </w:tabs>
              <w:spacing w:line="360" w:lineRule="auto"/>
              <w:rPr>
                <w:b/>
                <w:bCs/>
              </w:rPr>
            </w:pP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77777777" w:rsidR="00D111AF" w:rsidRDefault="00D111AF">
            <w:pPr>
              <w:tabs>
                <w:tab w:val="left" w:pos="660"/>
              </w:tabs>
              <w:spacing w:line="360" w:lineRule="auto"/>
              <w:rPr>
                <w:b/>
                <w:bCs/>
              </w:rPr>
            </w:pPr>
          </w:p>
        </w:tc>
      </w:tr>
      <w:tr w:rsidR="00D111AF" w14:paraId="71D84B43" w14:textId="77777777">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77777777" w:rsidR="00D111AF" w:rsidRDefault="00D111AF">
            <w:pPr>
              <w:tabs>
                <w:tab w:val="left" w:pos="660"/>
              </w:tabs>
              <w:spacing w:line="360" w:lineRule="auto"/>
              <w:rPr>
                <w:b/>
                <w:bCs/>
              </w:rPr>
            </w:pP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7777777" w:rsidR="00D111AF" w:rsidRDefault="00D111AF">
            <w:pPr>
              <w:tabs>
                <w:tab w:val="left" w:pos="660"/>
              </w:tabs>
              <w:spacing w:line="360" w:lineRule="auto"/>
              <w:rPr>
                <w:b/>
                <w:bCs/>
              </w:rPr>
            </w:pP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77777777" w:rsidR="00D111AF" w:rsidRDefault="00D111AF">
            <w:pPr>
              <w:tabs>
                <w:tab w:val="left" w:pos="660"/>
              </w:tabs>
              <w:spacing w:line="360" w:lineRule="auto"/>
              <w:rPr>
                <w:b/>
                <w:bCs/>
              </w:rPr>
            </w:pP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7777777" w:rsidR="00D111AF" w:rsidRDefault="00D111AF">
            <w:pPr>
              <w:tabs>
                <w:tab w:val="left" w:pos="660"/>
              </w:tabs>
              <w:spacing w:line="360" w:lineRule="auto"/>
              <w:rPr>
                <w:b/>
                <w:bCs/>
              </w:rPr>
            </w:pP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77777777" w:rsidR="00D111AF" w:rsidRDefault="00D111AF">
            <w:pPr>
              <w:tabs>
                <w:tab w:val="left" w:pos="660"/>
              </w:tabs>
              <w:spacing w:line="360" w:lineRule="auto"/>
              <w:rPr>
                <w:b/>
                <w:bCs/>
              </w:rPr>
            </w:pP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7777777" w:rsidR="00D111AF" w:rsidRDefault="00D111AF">
            <w:pPr>
              <w:tabs>
                <w:tab w:val="left" w:pos="660"/>
              </w:tabs>
              <w:spacing w:line="360" w:lineRule="auto"/>
              <w:rPr>
                <w:b/>
                <w:bCs/>
              </w:rPr>
            </w:pP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77777777" w:rsidR="00D111AF" w:rsidRDefault="00D111AF">
            <w:pPr>
              <w:tabs>
                <w:tab w:val="left" w:pos="660"/>
              </w:tabs>
              <w:spacing w:line="360" w:lineRule="auto"/>
              <w:rPr>
                <w:b/>
                <w:bCs/>
              </w:rPr>
            </w:pP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77777777" w:rsidR="00D111AF" w:rsidRDefault="00D111AF">
            <w:pPr>
              <w:tabs>
                <w:tab w:val="left" w:pos="660"/>
              </w:tabs>
              <w:spacing w:line="360" w:lineRule="auto"/>
              <w:rPr>
                <w:b/>
                <w:bCs/>
              </w:rPr>
            </w:pP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77777777" w:rsidR="00D111AF" w:rsidRDefault="00D111AF">
            <w:pPr>
              <w:tabs>
                <w:tab w:val="left" w:pos="660"/>
              </w:tabs>
              <w:spacing w:line="360" w:lineRule="auto"/>
              <w:rPr>
                <w:b/>
                <w:bCs/>
              </w:rPr>
            </w:pP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7777777" w:rsidR="00D111AF" w:rsidRDefault="00D111AF">
            <w:pPr>
              <w:tabs>
                <w:tab w:val="left" w:pos="660"/>
              </w:tabs>
              <w:spacing w:line="360" w:lineRule="auto"/>
              <w:rPr>
                <w:b/>
                <w:bCs/>
              </w:rPr>
            </w:pP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77777777" w:rsidR="00D111AF" w:rsidRDefault="00D111AF">
            <w:pPr>
              <w:tabs>
                <w:tab w:val="left" w:pos="660"/>
              </w:tabs>
              <w:spacing w:line="360" w:lineRule="auto"/>
              <w:rPr>
                <w:b/>
                <w:bCs/>
              </w:rPr>
            </w:pP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77777777" w:rsidR="00D111AF" w:rsidRDefault="00D111AF">
            <w:pPr>
              <w:tabs>
                <w:tab w:val="left" w:pos="660"/>
              </w:tabs>
              <w:spacing w:line="360" w:lineRule="auto"/>
              <w:rPr>
                <w:b/>
                <w:bCs/>
              </w:rPr>
            </w:pP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7777777" w:rsidR="00D111AF" w:rsidRDefault="00D111AF">
            <w:pPr>
              <w:tabs>
                <w:tab w:val="left" w:pos="660"/>
              </w:tabs>
              <w:spacing w:line="360" w:lineRule="auto"/>
              <w:rPr>
                <w:b/>
                <w:bCs/>
              </w:rPr>
            </w:pP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77777777" w:rsidR="00D111AF" w:rsidRDefault="00D111AF">
            <w:pPr>
              <w:tabs>
                <w:tab w:val="left" w:pos="660"/>
              </w:tabs>
              <w:spacing w:line="360" w:lineRule="auto"/>
              <w:rPr>
                <w:b/>
                <w:bCs/>
              </w:rPr>
            </w:pP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77777777" w:rsidR="00D111AF" w:rsidRDefault="00000000">
            <w:pPr>
              <w:tabs>
                <w:tab w:val="left" w:pos="780"/>
              </w:tabs>
              <w:spacing w:line="360" w:lineRule="auto"/>
            </w:pPr>
            <w:r>
              <w:t>4.1 System Architecture</w:t>
            </w:r>
          </w:p>
        </w:tc>
        <w:tc>
          <w:tcPr>
            <w:tcW w:w="1791" w:type="dxa"/>
          </w:tcPr>
          <w:p w14:paraId="6E39150A" w14:textId="77777777" w:rsidR="00D111AF" w:rsidRDefault="00D111AF">
            <w:pPr>
              <w:tabs>
                <w:tab w:val="left" w:pos="660"/>
              </w:tabs>
              <w:spacing w:line="360" w:lineRule="auto"/>
              <w:rPr>
                <w:b/>
                <w:bCs/>
              </w:rPr>
            </w:pP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7777777" w:rsidR="00D111AF" w:rsidRDefault="00D111AF">
            <w:pPr>
              <w:tabs>
                <w:tab w:val="left" w:pos="660"/>
              </w:tabs>
              <w:spacing w:line="360" w:lineRule="auto"/>
              <w:rPr>
                <w:b/>
                <w:bCs/>
              </w:rPr>
            </w:pP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77777777" w:rsidR="00D111AF" w:rsidRDefault="00D111AF">
            <w:pPr>
              <w:tabs>
                <w:tab w:val="left" w:pos="660"/>
              </w:tabs>
              <w:spacing w:line="360" w:lineRule="auto"/>
              <w:rPr>
                <w:b/>
                <w:bCs/>
              </w:rPr>
            </w:pP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77777777" w:rsidR="00D111AF" w:rsidRDefault="00D111AF">
            <w:pPr>
              <w:tabs>
                <w:tab w:val="left" w:pos="660"/>
              </w:tabs>
              <w:spacing w:line="360" w:lineRule="auto"/>
              <w:rPr>
                <w:b/>
                <w:bCs/>
              </w:rPr>
            </w:pPr>
          </w:p>
        </w:tc>
      </w:tr>
      <w:tr w:rsidR="00D111AF" w14:paraId="532D20C8" w14:textId="77777777">
        <w:tc>
          <w:tcPr>
            <w:tcW w:w="1271" w:type="dxa"/>
          </w:tcPr>
          <w:p w14:paraId="3F4B091F" w14:textId="77777777" w:rsidR="00D111AF" w:rsidRDefault="00D111AF">
            <w:pPr>
              <w:spacing w:line="360" w:lineRule="auto"/>
              <w:jc w:val="center"/>
              <w:rPr>
                <w:b/>
                <w:bCs/>
              </w:rPr>
            </w:pPr>
          </w:p>
        </w:tc>
        <w:tc>
          <w:tcPr>
            <w:tcW w:w="5954" w:type="dxa"/>
          </w:tcPr>
          <w:p w14:paraId="3CA9D00D" w14:textId="77777777" w:rsidR="00D111AF" w:rsidRDefault="00000000">
            <w:pPr>
              <w:spacing w:line="360" w:lineRule="auto"/>
            </w:pPr>
            <w:r>
              <w:t xml:space="preserve">     4.2.3 Class Diagram</w:t>
            </w:r>
          </w:p>
        </w:tc>
        <w:tc>
          <w:tcPr>
            <w:tcW w:w="1791" w:type="dxa"/>
          </w:tcPr>
          <w:p w14:paraId="599F6687" w14:textId="77777777" w:rsidR="00D111AF" w:rsidRDefault="00D111AF">
            <w:pPr>
              <w:tabs>
                <w:tab w:val="left" w:pos="660"/>
              </w:tabs>
              <w:spacing w:line="360" w:lineRule="auto"/>
              <w:rPr>
                <w:b/>
                <w:bCs/>
              </w:rPr>
            </w:pP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57F03561" w14:textId="77777777" w:rsidR="00D111AF" w:rsidRDefault="00000000">
            <w:pPr>
              <w:tabs>
                <w:tab w:val="left" w:pos="3270"/>
              </w:tabs>
              <w:spacing w:line="360" w:lineRule="auto"/>
            </w:pPr>
            <w:r>
              <w:t xml:space="preserve">     4.2.4 Sequence Diagram</w:t>
            </w:r>
            <w:r>
              <w:tab/>
            </w:r>
          </w:p>
        </w:tc>
        <w:tc>
          <w:tcPr>
            <w:tcW w:w="1791" w:type="dxa"/>
          </w:tcPr>
          <w:p w14:paraId="353CB456" w14:textId="77777777" w:rsidR="00D111AF" w:rsidRDefault="00D111AF">
            <w:pPr>
              <w:tabs>
                <w:tab w:val="left" w:pos="660"/>
              </w:tabs>
              <w:spacing w:line="360" w:lineRule="auto"/>
              <w:rPr>
                <w:b/>
                <w:bCs/>
              </w:rPr>
            </w:pPr>
          </w:p>
        </w:tc>
      </w:tr>
      <w:tr w:rsidR="00D111AF" w14:paraId="03D21601" w14:textId="77777777">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77777777" w:rsidR="00D111AF" w:rsidRDefault="00D111AF">
            <w:pPr>
              <w:tabs>
                <w:tab w:val="left" w:pos="660"/>
              </w:tabs>
              <w:spacing w:line="360" w:lineRule="auto"/>
              <w:rPr>
                <w:b/>
                <w:bCs/>
              </w:rPr>
            </w:pP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pPr>
        <w:spacing w:before="360" w:after="120" w:line="360" w:lineRule="auto"/>
      </w:pPr>
      <w:r>
        <w:rPr>
          <w:rFonts w:ascii="Times New Roman" w:hAnsi="Times New Roman"/>
          <w:b/>
          <w:sz w:val="28"/>
        </w:rPr>
        <w:t>1. INTRODUCTION</w:t>
      </w:r>
    </w:p>
    <w:p>
      <w:pPr>
        <w:spacing w:before="240" w:after="80" w:line="360" w:lineRule="auto"/>
      </w:pPr>
      <w:r>
        <w:rPr>
          <w:rFonts w:ascii="Times New Roman" w:hAnsi="Times New Roman"/>
          <w:b/>
          <w:sz w:val="26"/>
        </w:rPr>
        <w:t>1.1 Background</w:t>
      </w:r>
    </w:p>
    <w:p>
      <w:pPr>
        <w:spacing w:after="120" w:line="276" w:lineRule="auto"/>
        <w:jc w:val="both"/>
      </w:pPr>
      <w:r>
        <w:rPr>
          <w:rFonts w:ascii="Times New Roman" w:hAnsi="Times New Roman"/>
          <w:sz w:val="24"/>
        </w:rPr>
        <w:t>Introductory computer programming education (CS1) has emerged as a cornerstone of STEM curricula globally. Despite its critical importance, introductory programming consistently suffers from exceptionally high attrition and failure rates, often exceeding 30% across international university cohorts. Novice learners encounter compounding cognitive hurdles, transitioning from concrete mathematical syntax to abstract algorithmic paradigms, state mutability, control flow branching, and complex data structures.</w:t>
      </w:r>
    </w:p>
    <w:p>
      <w:pPr>
        <w:spacing w:after="120" w:line="276" w:lineRule="auto"/>
        <w:jc w:val="both"/>
      </w:pPr>
      <w:r>
        <w:rPr>
          <w:rFonts w:ascii="Times New Roman" w:hAnsi="Times New Roman"/>
          <w:sz w:val="24"/>
        </w:rPr>
        <w:t>Traditional pedagogical models struggle to support diverse learning speeds within standard classroom environments. In particular, slow and struggling learners require continuous, scaffolded, Socratic feedback tailored to their individual zone of proximal development. When slow learners experience repetitive failures without real-time diagnostic remediation, they quickly develop learned helplessness and cognitive fatigue. While Intelligent Tutoring Systems (ITS) were conceived to address this instructional gap through personalized learning paths, legacy systems have remained constrained by brittle rule engines and hand-crafted domain models that cannot interpret unstructured conversational queries.</w:t>
      </w:r>
    </w:p>
    <w:p>
      <w:pPr>
        <w:spacing w:after="120" w:line="276" w:lineRule="auto"/>
        <w:jc w:val="both"/>
      </w:pPr>
      <w:r>
        <w:rPr>
          <w:rFonts w:ascii="Times New Roman" w:hAnsi="Times New Roman"/>
          <w:sz w:val="24"/>
        </w:rPr>
        <w:t>The recent emergence of Large Language Models (LLMs) has catalyzed significant interest in generative educational assistants. However, direct consumer LLMs operate as ungrounded black boxes that frequently hallucinate syntax, offer direct solutions that short-circuit the student's problem-solving process, and lack persistent cognitive state modeling. This project introduces Python Educator, an agentic multi-agent tutoring ecosystem engineered to reconcile generative pedagogical flexibility with deterministic, mathematically sound learner modeling.</w:t>
      </w:r>
    </w:p>
    <w:p>
      <w:pPr>
        <w:spacing w:before="240" w:after="80" w:line="360" w:lineRule="auto"/>
      </w:pPr>
      <w:r>
        <w:rPr>
          <w:rFonts w:ascii="Times New Roman" w:hAnsi="Times New Roman"/>
          <w:b/>
          <w:sz w:val="26"/>
        </w:rPr>
        <w:t>1.2 Motivations</w:t>
      </w:r>
    </w:p>
    <w:p>
      <w:pPr>
        <w:spacing w:after="120" w:line="276" w:lineRule="auto"/>
        <w:jc w:val="both"/>
      </w:pPr>
      <w:r>
        <w:rPr>
          <w:rFonts w:ascii="Times New Roman" w:hAnsi="Times New Roman"/>
          <w:sz w:val="24"/>
        </w:rPr>
        <w:t>This project is driven by three primary research and engineering imperatives: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Cognitive Scaffolding for Struggling Novices: </w:t>
      </w:r>
      <w:r>
        <w:rPr>
          <w:rFonts w:ascii="Times New Roman" w:hAnsi="Times New Roman"/>
          <w:sz w:val="24"/>
        </w:rPr>
        <w:t>Slow learners require low-friction, scaffolded pedagogical interventions (Socratic questioning, worked examples, fading, and syntax normalization) rather than code dumps or abrupt corrections that overwhelm working memory.</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Eliminating LLM Pedagogical Hallucinations: </w:t>
      </w:r>
      <w:r>
        <w:rPr>
          <w:rFonts w:ascii="Times New Roman" w:hAnsi="Times New Roman"/>
          <w:sz w:val="24"/>
        </w:rPr>
        <w:t>Monolithic LLMs lack architectural boundaries, causing them to generate contradictory mastery evaluations and invent non-standard syntax. A constrained Multi-Agent System (MAS) grounded in course materials via Retrieval-Augmented Generation (RAG) ensures instructional accuracy.</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Auditable and Explainable State Transitions: </w:t>
      </w:r>
      <w:r>
        <w:rPr>
          <w:rFonts w:ascii="Times New Roman" w:hAnsi="Times New Roman"/>
          <w:sz w:val="24"/>
        </w:rPr>
        <w:t>Educational governance mandates that algorithmic interventions must be explainable. By funneling all mastery updates through a single deterministic write path, instructors maintain full transparency over AI-driven curriculum adaptations.</w:t>
      </w:r>
    </w:p>
    <w:p>
      <w:pPr>
        <w:spacing w:before="240" w:after="80" w:line="360" w:lineRule="auto"/>
      </w:pPr>
      <w:r>
        <w:rPr>
          <w:rFonts w:ascii="Times New Roman" w:hAnsi="Times New Roman"/>
          <w:b/>
          <w:sz w:val="26"/>
        </w:rPr>
        <w:t>1.3 Scope of the Project</w:t>
      </w:r>
    </w:p>
    <w:p>
      <w:pPr>
        <w:spacing w:after="120" w:line="276" w:lineRule="auto"/>
        <w:jc w:val="both"/>
      </w:pPr>
      <w:r>
        <w:rPr>
          <w:rFonts w:ascii="Times New Roman" w:hAnsi="Times New Roman"/>
          <w:sz w:val="24"/>
        </w:rPr>
        <w:t>The scope of Python Educator encompasses a comprehensive, production-grade educational architecture designed for university and secondary CS1 courses. The boundaries of the system are defined as follows: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Curriculum Domain: </w:t>
      </w:r>
      <w:r>
        <w:rPr>
          <w:rFonts w:ascii="Times New Roman" w:hAnsi="Times New Roman"/>
          <w:sz w:val="24"/>
        </w:rPr>
        <w:t>Seven core Python topics structured as a directed acyclic prerequisite graph (DAG): Operators &amp; Basics, Conditionals, Loops, Lists, Strings, Dictionaries, and Files &amp; I/O.</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Multi-Agent Architecture: </w:t>
      </w:r>
      <w:r>
        <w:rPr>
          <w:rFonts w:ascii="Times New Roman" w:hAnsi="Times New Roman"/>
          <w:sz w:val="24"/>
        </w:rPr>
        <w:t>Strict three-node LangGraph orchestration state machine consisting of a Diagnostic Agent, a Pedagogical Agent, and a Content Agent, capped at a maximum execution depth of 3 sequential LLM hops to guarantee sub-second latency.</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Learner Modeling: </w:t>
      </w:r>
      <w:r>
        <w:rPr>
          <w:rFonts w:ascii="Times New Roman" w:hAnsi="Times New Roman"/>
          <w:sz w:val="24"/>
        </w:rPr>
        <w:t>Continuous Bayesian Knowledge Tracing with diminishing-returns update curves, monotonic high-water mark latching, and append-only audit logging.</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Cross-Platform Delivery: </w:t>
      </w:r>
      <w:r>
        <w:rPr>
          <w:rFonts w:ascii="Times New Roman" w:hAnsi="Times New Roman"/>
          <w:sz w:val="24"/>
        </w:rPr>
        <w:t>A responsive Flutter client supporting mobile (Android/iOS) and web browsers with WCAG AA accessibility compliance, accompanied by a React-based Instructor Dashboard for real-time human-in-the-loop oversight.</w:t>
      </w:r>
    </w:p>
    <w:p>
      <w:pPr>
        <w:spacing w:before="360" w:after="120" w:line="360" w:lineRule="auto"/>
      </w:pPr>
      <w:r>
        <w:rPr>
          <w:rFonts w:ascii="Times New Roman" w:hAnsi="Times New Roman"/>
          <w:b/>
          <w:sz w:val="28"/>
        </w:rPr>
        <w:t>2. PROJECT DESCRIPTION AND GOALS</w:t>
      </w:r>
    </w:p>
    <w:p>
      <w:pPr>
        <w:spacing w:before="240" w:after="80" w:line="360" w:lineRule="auto"/>
      </w:pPr>
      <w:r>
        <w:rPr>
          <w:rFonts w:ascii="Times New Roman" w:hAnsi="Times New Roman"/>
          <w:b/>
          <w:sz w:val="26"/>
        </w:rPr>
        <w:t>2.1 Literature Review</w:t>
      </w:r>
    </w:p>
    <w:p>
      <w:pPr>
        <w:spacing w:after="120" w:line="276" w:lineRule="auto"/>
        <w:jc w:val="both"/>
      </w:pPr>
      <w:r>
        <w:rPr>
          <w:rFonts w:ascii="Times New Roman" w:hAnsi="Times New Roman"/>
          <w:sz w:val="24"/>
        </w:rPr>
        <w:t>To establish the theoretical grounding of Python Educator, an extensive review of existing literature was conducted across four distinct paradigms: Classical Intelligent Tutoring Systems (ITS), Bayesian Knowledge Tracing (BKT), Monolithic LLM Tutors, and Multi-Agent Orchestration Frameworks.</w:t>
      </w:r>
    </w:p>
    <w:p>
      <w:pPr>
        <w:spacing w:after="120" w:line="276" w:lineRule="auto"/>
        <w:jc w:val="both"/>
      </w:pPr>
      <w:r>
        <w:rPr>
          <w:rFonts w:ascii="Times New Roman" w:hAnsi="Times New Roman"/>
          <w:sz w:val="24"/>
        </w:rPr>
        <w:t>Corbett and Anderson (1994) pioneered Bayesian Knowledge Tracing (BKT), establishing a 4-parameter Hidden Markov Model (prior mastery, slip, guess, transit) to estimate the latent cognitive state of learners. While BKT provides mathematically provable convergence, classical BKT implementations remain disconnected from modern natural language understanding and cannot reason over free-form conversational dialogues.</w:t>
      </w:r>
    </w:p>
    <w:p>
      <w:pPr>
        <w:spacing w:after="120" w:line="276" w:lineRule="auto"/>
        <w:jc w:val="both"/>
      </w:pPr>
      <w:r>
        <w:rPr>
          <w:rFonts w:ascii="Times New Roman" w:hAnsi="Times New Roman"/>
          <w:sz w:val="24"/>
        </w:rPr>
        <w:t>Macina et al. (2023) and Kazemitabaar et al. (2024) evaluated monolithic LLM educational agents such as Khanmigo, observing that single-prompt systems suffer from severe role confusion. When a monolithic model attempts to perform simultaneous misconception diagnosis, conversational tutoring, and exercise synthesis, the prompt context window degrades, leading to ungrounded feedback and premature revelation of code solutions.</w:t>
      </w:r>
    </w:p>
    <w:p>
      <w:pPr>
        <w:spacing w:after="120" w:line="276" w:lineRule="auto"/>
        <w:jc w:val="both"/>
      </w:pPr>
      <w:r>
        <w:rPr>
          <w:rFonts w:ascii="Times New Roman" w:hAnsi="Times New Roman"/>
          <w:sz w:val="24"/>
        </w:rPr>
        <w:t>The SLOW framework (Separation of Learner-State Inference from Instructional Action Selection) by Chen et al. (2024) demonstrated that separating diagnostic reasoning from pedagogical decision-making significantly improves instructional efficacy. Python Educator operationalizes this principle by constraining the multi-agent graph to exactly three distinct reasoning nodes.</w:t>
      </w:r>
    </w:p>
    <w:tbl>
      <w:tblPr>
        <w:tblW w:type="auto" w:w="0"/>
        <w:jc w:val="center"/>
        <w:tblLook w:firstColumn="1" w:firstRow="1" w:lastColumn="0" w:lastRow="0" w:noHBand="0" w:noVBand="1" w:val="04A0"/>
      </w:tblPr>
      <w:tblGrid>
        <w:gridCol w:w="2256"/>
        <w:gridCol w:w="2256"/>
        <w:gridCol w:w="2256"/>
        <w:gridCol w:w="2256"/>
      </w:tblGrid>
      <w:tr>
        <w:tc>
          <w:tcPr>
            <w:tcW w:type="dxa" w:w="2256"/>
            <w:tcMar>
              <w:top w:w="100" w:type="dxa"/>
              <w:bottom w:w="100" w:type="dxa"/>
              <w:left w:w="120" w:type="dxa"/>
              <w:right w:w="120" w:type="dxa"/>
            </w:tcMar>
          </w:tcPr>
          <w:p>
            <w:r>
              <w:rPr>
                <w:rFonts w:ascii="Times New Roman" w:hAnsi="Times New Roman"/>
                <w:b/>
                <w:sz w:val="22"/>
              </w:rPr>
              <w:t>Author &amp; Year</w:t>
            </w:r>
          </w:p>
        </w:tc>
        <w:tc>
          <w:tcPr>
            <w:tcW w:type="dxa" w:w="2256"/>
            <w:tcMar>
              <w:top w:w="100" w:type="dxa"/>
              <w:bottom w:w="100" w:type="dxa"/>
              <w:left w:w="120" w:type="dxa"/>
              <w:right w:w="120" w:type="dxa"/>
            </w:tcMar>
          </w:tcPr>
          <w:p>
            <w:r>
              <w:rPr>
                <w:rFonts w:ascii="Times New Roman" w:hAnsi="Times New Roman"/>
                <w:b/>
                <w:sz w:val="22"/>
              </w:rPr>
              <w:t>System / Approach</w:t>
            </w:r>
          </w:p>
        </w:tc>
        <w:tc>
          <w:tcPr>
            <w:tcW w:type="dxa" w:w="2256"/>
            <w:tcMar>
              <w:top w:w="100" w:type="dxa"/>
              <w:bottom w:w="100" w:type="dxa"/>
              <w:left w:w="120" w:type="dxa"/>
              <w:right w:w="120" w:type="dxa"/>
            </w:tcMar>
          </w:tcPr>
          <w:p>
            <w:r>
              <w:rPr>
                <w:rFonts w:ascii="Times New Roman" w:hAnsi="Times New Roman"/>
                <w:b/>
                <w:sz w:val="22"/>
              </w:rPr>
              <w:t>Key Methodology</w:t>
            </w:r>
          </w:p>
        </w:tc>
        <w:tc>
          <w:tcPr>
            <w:tcW w:type="dxa" w:w="2256"/>
            <w:tcMar>
              <w:top w:w="100" w:type="dxa"/>
              <w:bottom w:w="100" w:type="dxa"/>
              <w:left w:w="120" w:type="dxa"/>
              <w:right w:w="120" w:type="dxa"/>
            </w:tcMar>
          </w:tcPr>
          <w:p>
            <w:r>
              <w:rPr>
                <w:rFonts w:ascii="Times New Roman" w:hAnsi="Times New Roman"/>
                <w:b/>
                <w:sz w:val="22"/>
              </w:rPr>
              <w:t>Identified Limitations</w:t>
            </w:r>
          </w:p>
        </w:tc>
      </w:tr>
      <w:tr>
        <w:tc>
          <w:tcPr>
            <w:tcW w:type="dxa" w:w="2256"/>
            <w:tcMar>
              <w:top w:w="80" w:type="dxa"/>
              <w:bottom w:w="80" w:type="dxa"/>
              <w:left w:w="100" w:type="dxa"/>
              <w:right w:w="100" w:type="dxa"/>
            </w:tcMar>
          </w:tcPr>
          <w:p>
            <w:pPr>
              <w:jc w:val="both"/>
            </w:pPr>
            <w:r>
              <w:rPr>
                <w:rFonts w:ascii="Times New Roman" w:hAnsi="Times New Roman"/>
                <w:sz w:val="21"/>
              </w:rPr>
              <w:t>Corbett &amp; Anderson (1994)</w:t>
            </w:r>
          </w:p>
        </w:tc>
        <w:tc>
          <w:tcPr>
            <w:tcW w:type="dxa" w:w="2256"/>
            <w:tcMar>
              <w:top w:w="80" w:type="dxa"/>
              <w:bottom w:w="80" w:type="dxa"/>
              <w:left w:w="100" w:type="dxa"/>
              <w:right w:w="100" w:type="dxa"/>
            </w:tcMar>
          </w:tcPr>
          <w:p>
            <w:pPr>
              <w:jc w:val="both"/>
            </w:pPr>
            <w:r>
              <w:rPr>
                <w:rFonts w:ascii="Times New Roman" w:hAnsi="Times New Roman"/>
                <w:sz w:val="21"/>
              </w:rPr>
              <w:t>Cognitive Tutors / BKT</w:t>
            </w:r>
          </w:p>
        </w:tc>
        <w:tc>
          <w:tcPr>
            <w:tcW w:type="dxa" w:w="2256"/>
            <w:tcMar>
              <w:top w:w="80" w:type="dxa"/>
              <w:bottom w:w="80" w:type="dxa"/>
              <w:left w:w="100" w:type="dxa"/>
              <w:right w:w="100" w:type="dxa"/>
            </w:tcMar>
          </w:tcPr>
          <w:p>
            <w:pPr>
              <w:jc w:val="both"/>
            </w:pPr>
            <w:r>
              <w:rPr>
                <w:rFonts w:ascii="Times New Roman" w:hAnsi="Times New Roman"/>
                <w:sz w:val="21"/>
              </w:rPr>
              <w:t>Bayesian 4-parameter latent state estimation over rule production systems.</w:t>
            </w:r>
          </w:p>
        </w:tc>
        <w:tc>
          <w:tcPr>
            <w:tcW w:type="dxa" w:w="2256"/>
            <w:tcMar>
              <w:top w:w="80" w:type="dxa"/>
              <w:bottom w:w="80" w:type="dxa"/>
              <w:left w:w="100" w:type="dxa"/>
              <w:right w:w="100" w:type="dxa"/>
            </w:tcMar>
          </w:tcPr>
          <w:p>
            <w:pPr>
              <w:jc w:val="both"/>
            </w:pPr>
            <w:r>
              <w:rPr>
                <w:rFonts w:ascii="Times New Roman" w:hAnsi="Times New Roman"/>
                <w:sz w:val="21"/>
              </w:rPr>
              <w:t>No natural language dialogue; high authoring cost for domain models.</w:t>
            </w:r>
          </w:p>
        </w:tc>
      </w:tr>
      <w:tr>
        <w:tc>
          <w:tcPr>
            <w:tcW w:type="dxa" w:w="2256"/>
            <w:tcMar>
              <w:top w:w="80" w:type="dxa"/>
              <w:bottom w:w="80" w:type="dxa"/>
              <w:left w:w="100" w:type="dxa"/>
              <w:right w:w="100" w:type="dxa"/>
            </w:tcMar>
          </w:tcPr>
          <w:p>
            <w:pPr>
              <w:jc w:val="both"/>
            </w:pPr>
            <w:r>
              <w:rPr>
                <w:rFonts w:ascii="Times New Roman" w:hAnsi="Times New Roman"/>
                <w:sz w:val="21"/>
              </w:rPr>
              <w:t>Piech et al. (2015)</w:t>
            </w:r>
          </w:p>
        </w:tc>
        <w:tc>
          <w:tcPr>
            <w:tcW w:type="dxa" w:w="2256"/>
            <w:tcMar>
              <w:top w:w="80" w:type="dxa"/>
              <w:bottom w:w="80" w:type="dxa"/>
              <w:left w:w="100" w:type="dxa"/>
              <w:right w:w="100" w:type="dxa"/>
            </w:tcMar>
          </w:tcPr>
          <w:p>
            <w:pPr>
              <w:jc w:val="both"/>
            </w:pPr>
            <w:r>
              <w:rPr>
                <w:rFonts w:ascii="Times New Roman" w:hAnsi="Times New Roman"/>
                <w:sz w:val="21"/>
              </w:rPr>
              <w:t>Deep Knowledge Tracing (DKT)</w:t>
            </w:r>
          </w:p>
        </w:tc>
        <w:tc>
          <w:tcPr>
            <w:tcW w:type="dxa" w:w="2256"/>
            <w:tcMar>
              <w:top w:w="80" w:type="dxa"/>
              <w:bottom w:w="80" w:type="dxa"/>
              <w:left w:w="100" w:type="dxa"/>
              <w:right w:w="100" w:type="dxa"/>
            </w:tcMar>
          </w:tcPr>
          <w:p>
            <w:pPr>
              <w:jc w:val="both"/>
            </w:pPr>
            <w:r>
              <w:rPr>
                <w:rFonts w:ascii="Times New Roman" w:hAnsi="Times New Roman"/>
                <w:sz w:val="21"/>
              </w:rPr>
              <w:t>Recurrent Neural Networks (LSTM) for student performance sequence prediction.</w:t>
            </w:r>
          </w:p>
        </w:tc>
        <w:tc>
          <w:tcPr>
            <w:tcW w:type="dxa" w:w="2256"/>
            <w:tcMar>
              <w:top w:w="80" w:type="dxa"/>
              <w:bottom w:w="80" w:type="dxa"/>
              <w:left w:w="100" w:type="dxa"/>
              <w:right w:w="100" w:type="dxa"/>
            </w:tcMar>
          </w:tcPr>
          <w:p>
            <w:pPr>
              <w:jc w:val="both"/>
            </w:pPr>
            <w:r>
              <w:rPr>
                <w:rFonts w:ascii="Times New Roman" w:hAnsi="Times New Roman"/>
                <w:sz w:val="21"/>
              </w:rPr>
              <w:t>Black-box neural representations; completely lacks pedagogical explainability.</w:t>
            </w:r>
          </w:p>
        </w:tc>
      </w:tr>
      <w:tr>
        <w:tc>
          <w:tcPr>
            <w:tcW w:type="dxa" w:w="2256"/>
            <w:tcMar>
              <w:top w:w="80" w:type="dxa"/>
              <w:bottom w:w="80" w:type="dxa"/>
              <w:left w:w="100" w:type="dxa"/>
              <w:right w:w="100" w:type="dxa"/>
            </w:tcMar>
          </w:tcPr>
          <w:p>
            <w:pPr>
              <w:jc w:val="both"/>
            </w:pPr>
            <w:r>
              <w:rPr>
                <w:rFonts w:ascii="Times New Roman" w:hAnsi="Times New Roman"/>
                <w:sz w:val="21"/>
              </w:rPr>
              <w:t>Macina et al. (2023)</w:t>
            </w:r>
          </w:p>
        </w:tc>
        <w:tc>
          <w:tcPr>
            <w:tcW w:type="dxa" w:w="2256"/>
            <w:tcMar>
              <w:top w:w="80" w:type="dxa"/>
              <w:bottom w:w="80" w:type="dxa"/>
              <w:left w:w="100" w:type="dxa"/>
              <w:right w:w="100" w:type="dxa"/>
            </w:tcMar>
          </w:tcPr>
          <w:p>
            <w:pPr>
              <w:jc w:val="both"/>
            </w:pPr>
            <w:r>
              <w:rPr>
                <w:rFonts w:ascii="Times New Roman" w:hAnsi="Times New Roman"/>
                <w:sz w:val="21"/>
              </w:rPr>
              <w:t>Monolithic LLM Tutors</w:t>
            </w:r>
          </w:p>
        </w:tc>
        <w:tc>
          <w:tcPr>
            <w:tcW w:type="dxa" w:w="2256"/>
            <w:tcMar>
              <w:top w:w="80" w:type="dxa"/>
              <w:bottom w:w="80" w:type="dxa"/>
              <w:left w:w="100" w:type="dxa"/>
              <w:right w:w="100" w:type="dxa"/>
            </w:tcMar>
          </w:tcPr>
          <w:p>
            <w:pPr>
              <w:jc w:val="both"/>
            </w:pPr>
            <w:r>
              <w:rPr>
                <w:rFonts w:ascii="Times New Roman" w:hAnsi="Times New Roman"/>
                <w:sz w:val="21"/>
              </w:rPr>
              <w:t>Single prompt system with persona instruction (e.g. Socratic tutor).</w:t>
            </w:r>
          </w:p>
        </w:tc>
        <w:tc>
          <w:tcPr>
            <w:tcW w:type="dxa" w:w="2256"/>
            <w:tcMar>
              <w:top w:w="80" w:type="dxa"/>
              <w:bottom w:w="80" w:type="dxa"/>
              <w:left w:w="100" w:type="dxa"/>
              <w:right w:w="100" w:type="dxa"/>
            </w:tcMar>
          </w:tcPr>
          <w:p>
            <w:pPr>
              <w:jc w:val="both"/>
            </w:pPr>
            <w:r>
              <w:rPr>
                <w:rFonts w:ascii="Times New Roman" w:hAnsi="Times New Roman"/>
                <w:sz w:val="21"/>
              </w:rPr>
              <w:t>Prompt bloat; hallucinated syntax; prone to leaking answers directly.</w:t>
            </w:r>
          </w:p>
        </w:tc>
      </w:tr>
      <w:tr>
        <w:tc>
          <w:tcPr>
            <w:tcW w:type="dxa" w:w="2256"/>
            <w:tcMar>
              <w:top w:w="80" w:type="dxa"/>
              <w:bottom w:w="80" w:type="dxa"/>
              <w:left w:w="100" w:type="dxa"/>
              <w:right w:w="100" w:type="dxa"/>
            </w:tcMar>
          </w:tcPr>
          <w:p>
            <w:pPr>
              <w:jc w:val="both"/>
            </w:pPr>
            <w:r>
              <w:rPr>
                <w:rFonts w:ascii="Times New Roman" w:hAnsi="Times New Roman"/>
                <w:sz w:val="21"/>
              </w:rPr>
              <w:t>Chen et al. (2024)</w:t>
            </w:r>
          </w:p>
        </w:tc>
        <w:tc>
          <w:tcPr>
            <w:tcW w:type="dxa" w:w="2256"/>
            <w:tcMar>
              <w:top w:w="80" w:type="dxa"/>
              <w:bottom w:w="80" w:type="dxa"/>
              <w:left w:w="100" w:type="dxa"/>
              <w:right w:w="100" w:type="dxa"/>
            </w:tcMar>
          </w:tcPr>
          <w:p>
            <w:pPr>
              <w:jc w:val="both"/>
            </w:pPr>
            <w:r>
              <w:rPr>
                <w:rFonts w:ascii="Times New Roman" w:hAnsi="Times New Roman"/>
                <w:sz w:val="21"/>
              </w:rPr>
              <w:t>SLOW Multi-Agent Framework</w:t>
            </w:r>
          </w:p>
        </w:tc>
        <w:tc>
          <w:tcPr>
            <w:tcW w:type="dxa" w:w="2256"/>
            <w:tcMar>
              <w:top w:w="80" w:type="dxa"/>
              <w:bottom w:w="80" w:type="dxa"/>
              <w:left w:w="100" w:type="dxa"/>
              <w:right w:w="100" w:type="dxa"/>
            </w:tcMar>
          </w:tcPr>
          <w:p>
            <w:pPr>
              <w:jc w:val="both"/>
            </w:pPr>
            <w:r>
              <w:rPr>
                <w:rFonts w:ascii="Times New Roman" w:hAnsi="Times New Roman"/>
                <w:sz w:val="21"/>
              </w:rPr>
              <w:t>Decoupled diagnostic inference from instructional planning in modular agents.</w:t>
            </w:r>
          </w:p>
        </w:tc>
        <w:tc>
          <w:tcPr>
            <w:tcW w:type="dxa" w:w="2256"/>
            <w:tcMar>
              <w:top w:w="80" w:type="dxa"/>
              <w:bottom w:w="80" w:type="dxa"/>
              <w:left w:w="100" w:type="dxa"/>
              <w:right w:w="100" w:type="dxa"/>
            </w:tcMar>
          </w:tcPr>
          <w:p>
            <w:pPr>
              <w:jc w:val="both"/>
            </w:pPr>
            <w:r>
              <w:rPr>
                <w:rFonts w:ascii="Times New Roman" w:hAnsi="Times New Roman"/>
                <w:sz w:val="21"/>
              </w:rPr>
              <w:t>High inference latency; unconstrained agent chains without latency caps.</w:t>
            </w:r>
          </w:p>
        </w:tc>
      </w:tr>
      <w:tr>
        <w:tc>
          <w:tcPr>
            <w:tcW w:type="dxa" w:w="2256"/>
            <w:tcMar>
              <w:top w:w="80" w:type="dxa"/>
              <w:bottom w:w="80" w:type="dxa"/>
              <w:left w:w="100" w:type="dxa"/>
              <w:right w:w="100" w:type="dxa"/>
            </w:tcMar>
          </w:tcPr>
          <w:p>
            <w:pPr>
              <w:jc w:val="both"/>
            </w:pPr>
            <w:r>
              <w:rPr>
                <w:rFonts w:ascii="Times New Roman" w:hAnsi="Times New Roman"/>
                <w:sz w:val="21"/>
              </w:rPr>
              <w:t>Our Proposed System (2026)</w:t>
            </w:r>
          </w:p>
        </w:tc>
        <w:tc>
          <w:tcPr>
            <w:tcW w:type="dxa" w:w="2256"/>
            <w:tcMar>
              <w:top w:w="80" w:type="dxa"/>
              <w:bottom w:w="80" w:type="dxa"/>
              <w:left w:w="100" w:type="dxa"/>
              <w:right w:w="100" w:type="dxa"/>
            </w:tcMar>
          </w:tcPr>
          <w:p>
            <w:pPr>
              <w:jc w:val="both"/>
            </w:pPr>
            <w:r>
              <w:rPr>
                <w:rFonts w:ascii="Times New Roman" w:hAnsi="Times New Roman"/>
                <w:sz w:val="21"/>
              </w:rPr>
              <w:t>Python Educator</w:t>
            </w:r>
          </w:p>
        </w:tc>
        <w:tc>
          <w:tcPr>
            <w:tcW w:type="dxa" w:w="2256"/>
            <w:tcMar>
              <w:top w:w="80" w:type="dxa"/>
              <w:bottom w:w="80" w:type="dxa"/>
              <w:left w:w="100" w:type="dxa"/>
              <w:right w:w="100" w:type="dxa"/>
            </w:tcMar>
          </w:tcPr>
          <w:p>
            <w:pPr>
              <w:jc w:val="both"/>
            </w:pPr>
            <w:r>
              <w:rPr>
                <w:rFonts w:ascii="Times New Roman" w:hAnsi="Times New Roman"/>
                <w:sz w:val="21"/>
              </w:rPr>
              <w:t>3-node LangGraph MAS + Single Write-Path BKT + pgvector RAG + Monotonic Latch.</w:t>
            </w:r>
          </w:p>
        </w:tc>
        <w:tc>
          <w:tcPr>
            <w:tcW w:type="dxa" w:w="2256"/>
            <w:tcMar>
              <w:top w:w="80" w:type="dxa"/>
              <w:bottom w:w="80" w:type="dxa"/>
              <w:left w:w="100" w:type="dxa"/>
              <w:right w:w="100" w:type="dxa"/>
            </w:tcMar>
          </w:tcPr>
          <w:p>
            <w:pPr>
              <w:jc w:val="both"/>
            </w:pPr>
            <w:r>
              <w:rPr>
                <w:rFonts w:ascii="Times New Roman" w:hAnsi="Times New Roman"/>
                <w:sz w:val="21"/>
              </w:rPr>
              <w:t>Optimized for CS1 domain; sub-second latency with human-in-the-loop oversight.</w:t>
            </w:r>
          </w:p>
        </w:tc>
      </w:tr>
    </w:tbl>
    <w:p/>
    <w:p>
      <w:pPr>
        <w:spacing w:before="240" w:after="80" w:line="360" w:lineRule="auto"/>
      </w:pPr>
      <w:r>
        <w:rPr>
          <w:rFonts w:ascii="Times New Roman" w:hAnsi="Times New Roman"/>
          <w:b/>
          <w:sz w:val="26"/>
        </w:rPr>
        <w:t>2.2 Research Gap</w:t>
      </w:r>
    </w:p>
    <w:p>
      <w:pPr>
        <w:spacing w:after="120" w:line="276" w:lineRule="auto"/>
        <w:jc w:val="both"/>
      </w:pPr>
      <w:r>
        <w:rPr>
          <w:rFonts w:ascii="Times New Roman" w:hAnsi="Times New Roman"/>
          <w:sz w:val="24"/>
        </w:rPr>
        <w:t>Current state-of-the-art educational technologies present two critical opposing limitations: classical systems offer rigorous, explainable knowledge tracking but lack conversational fluidity, while generative LLM tutors offer rich natural language interaction but lack explainability, deterministic mastery guarantees, and specialized scaffolding for slow learners. No existing framework successfully integrates a mathematically provable single write-path learner model with a latency-capped multi-agent LangGraph state machine grounded in local textbook vector embeddings.</w:t>
      </w:r>
    </w:p>
    <w:p>
      <w:pPr>
        <w:spacing w:before="240" w:after="80" w:line="360" w:lineRule="auto"/>
      </w:pPr>
      <w:r>
        <w:rPr>
          <w:rFonts w:ascii="Times New Roman" w:hAnsi="Times New Roman"/>
          <w:b/>
          <w:sz w:val="26"/>
        </w:rPr>
        <w:t>2.3 Objectives</w:t>
      </w:r>
    </w:p>
    <w:p>
      <w:pPr>
        <w:spacing w:after="120" w:line="276" w:lineRule="auto"/>
        <w:jc w:val="both"/>
      </w:pPr>
      <w:r>
        <w:rPr>
          <w:rFonts w:ascii="Times New Roman" w:hAnsi="Times New Roman"/>
          <w:sz w:val="24"/>
        </w:rPr>
        <w:t>The specific technical and educational objectives of this project are:</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Objective 1: </w:t>
      </w:r>
      <w:r>
        <w:rPr>
          <w:rFonts w:ascii="Times New Roman" w:hAnsi="Times New Roman"/>
          <w:sz w:val="24"/>
        </w:rPr>
        <w:t>Design and construct a 3-agent LangGraph state machine (Diagnostic, Pedagogical, Content) strictly adhering to a maximum depth of 3 sequential autonomous LLM hops.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Objective 2: </w:t>
      </w:r>
      <w:r>
        <w:rPr>
          <w:rFonts w:ascii="Times New Roman" w:hAnsi="Times New Roman"/>
          <w:sz w:val="24"/>
        </w:rPr>
        <w:t>Implement a centralized LearnerModelService enforcing a Single Write Path for all mastery, confidence, and adaptation events with complete auditability.</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Objective 3: </w:t>
      </w:r>
      <w:r>
        <w:rPr>
          <w:rFonts w:ascii="Times New Roman" w:hAnsi="Times New Roman"/>
          <w:sz w:val="24"/>
        </w:rPr>
        <w:t>Develop a hybrid RAG pipeline utilizing pgvector and cosine distance metrics to guarantee 100% citation grounding against official course materials.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Objective 4: </w:t>
      </w:r>
      <w:r>
        <w:rPr>
          <w:rFonts w:ascii="Times New Roman" w:hAnsi="Times New Roman"/>
          <w:sz w:val="24"/>
        </w:rPr>
        <w:t>Engineer a progressive monotonic unlocking algorithm with parent latch invariants to eliminate prerequisite lock fluttering.</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Objective 5: </w:t>
      </w:r>
      <w:r>
        <w:rPr>
          <w:rFonts w:ascii="Times New Roman" w:hAnsi="Times New Roman"/>
          <w:sz w:val="24"/>
        </w:rPr>
        <w:t>Build an offline-first Flutter mobile/web client and a React instructor dashboard enabling real-time human-in-the-loop intervention approval.</w:t>
      </w:r>
    </w:p>
    <w:p>
      <w:pPr>
        <w:spacing w:before="240" w:after="80" w:line="360" w:lineRule="auto"/>
      </w:pPr>
      <w:r>
        <w:rPr>
          <w:rFonts w:ascii="Times New Roman" w:hAnsi="Times New Roman"/>
          <w:b/>
          <w:sz w:val="26"/>
        </w:rPr>
        <w:t>2.4 Problem Statement</w:t>
      </w:r>
    </w:p>
    <w:p>
      <w:pPr>
        <w:spacing w:after="120" w:line="276" w:lineRule="auto"/>
        <w:jc w:val="both"/>
      </w:pPr>
      <w:r>
        <w:rPr>
          <w:rFonts w:ascii="Times New Roman" w:hAnsi="Times New Roman"/>
          <w:sz w:val="24"/>
        </w:rPr>
        <w:t>To design, develop, and evaluate an explainable, multi-agent intelligent tutoring system for introductory Python programming that diagnoses conceptual misconceptions in real time, delivers scaffolded Socratic interventions grounded in course handbooks, maintains an append-only deterministic learner model, and operates under strict sub-second latency constraints without cognitive friction for slow learners.</w:t>
      </w:r>
    </w:p>
    <w:p>
      <w:pPr>
        <w:spacing w:before="240" w:after="80" w:line="360" w:lineRule="auto"/>
      </w:pPr>
      <w:r>
        <w:rPr>
          <w:rFonts w:ascii="Times New Roman" w:hAnsi="Times New Roman"/>
          <w:b/>
          <w:sz w:val="26"/>
        </w:rPr>
        <w:t>2.5 Project Plan</w:t>
      </w:r>
    </w:p>
    <w:p>
      <w:pPr>
        <w:spacing w:after="120" w:line="276" w:lineRule="auto"/>
        <w:jc w:val="both"/>
      </w:pPr>
      <w:r>
        <w:rPr>
          <w:rFonts w:ascii="Times New Roman" w:hAnsi="Times New Roman"/>
          <w:sz w:val="24"/>
        </w:rPr>
        <w:t>The project execution followed a staged three-phase development lifecycle:</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Phase 1: Research Prototype (Completed): </w:t>
      </w:r>
      <w:r>
        <w:rPr>
          <w:rFonts w:ascii="Times New Roman" w:hAnsi="Times New Roman"/>
          <w:sz w:val="24"/>
        </w:rPr>
        <w:t>Core domain modeling, AST diagnostic engine, 3-node LangGraph orchestration state machine, PostgreSQL 16 schema with pgvector integration, and seed handbook RAG pipeline.</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Phase 2: Pilot Deployment (Active): </w:t>
      </w:r>
      <w:r>
        <w:rPr>
          <w:rFonts w:ascii="Times New Roman" w:hAnsi="Times New Roman"/>
          <w:sz w:val="24"/>
        </w:rPr>
        <w:t>Flutter cross-platform client development, WCAG accessibility suite (High Contrast, Reduced Motion, Dyslexia Font), monotonic curriculum latching, offline sync queue, and React instructor dashboard.</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Phase 3: Production &amp; Empirical Evaluation (Upcoming): </w:t>
      </w:r>
      <w:r>
        <w:rPr>
          <w:rFonts w:ascii="Times New Roman" w:hAnsi="Times New Roman"/>
          <w:sz w:val="24"/>
        </w:rPr>
        <w:t>Full-scale classroom deployment across university CS1 cohorts, ablation studies on agent separation vs monolithic baselines, and longitudinal mastery retention analysis.</w:t>
      </w:r>
    </w:p>
    <w:p>
      <w:pPr>
        <w:spacing w:before="360" w:after="120" w:line="360" w:lineRule="auto"/>
      </w:pPr>
      <w:r>
        <w:rPr>
          <w:rFonts w:ascii="Times New Roman" w:hAnsi="Times New Roman"/>
          <w:b/>
          <w:sz w:val="28"/>
        </w:rPr>
        <w:t>3. TECHNICAL SPECIFICATION</w:t>
      </w:r>
    </w:p>
    <w:p>
      <w:pPr>
        <w:spacing w:before="240" w:after="80" w:line="360" w:lineRule="auto"/>
      </w:pPr>
      <w:r>
        <w:rPr>
          <w:rFonts w:ascii="Times New Roman" w:hAnsi="Times New Roman"/>
          <w:b/>
          <w:sz w:val="26"/>
        </w:rPr>
        <w:t>3.1 Requirements</w:t>
      </w:r>
    </w:p>
    <w:p>
      <w:pPr>
        <w:spacing w:before="160" w:after="60" w:line="360" w:lineRule="auto"/>
      </w:pPr>
      <w:r>
        <w:rPr>
          <w:rFonts w:ascii="Times New Roman" w:hAnsi="Times New Roman"/>
          <w:b/>
          <w:i/>
          <w:sz w:val="24"/>
        </w:rPr>
        <w:t>3.1.1 Functional</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FR-1 (Authentication &amp; Authorization): </w:t>
      </w:r>
      <w:r>
        <w:rPr>
          <w:rFonts w:ascii="Times New Roman" w:hAnsi="Times New Roman"/>
          <w:sz w:val="24"/>
        </w:rPr>
        <w:t>The system shall provide secure JWT-based authentication with role-based access control (Student vs. Instructor).</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FR-2 (Multi-Modal Interactive Practice): </w:t>
      </w:r>
      <w:r>
        <w:rPr>
          <w:rFonts w:ascii="Times New Roman" w:hAnsi="Times New Roman"/>
          <w:sz w:val="24"/>
        </w:rPr>
        <w:t>The system shall serve three interactive exercise modalities: Output Prediction, Fill-in-the-Blank with syntax normalization, and Drag-and-Drop Line Reordering.</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FR-3 (Multi-Agent Diagnostic Reasoning): </w:t>
      </w:r>
      <w:r>
        <w:rPr>
          <w:rFonts w:ascii="Times New Roman" w:hAnsi="Times New Roman"/>
          <w:sz w:val="24"/>
        </w:rPr>
        <w:t>The Diagnostic Agent shall inspect submitted code, execution outputs, and AST syntax trees to infer underlying misconceptions without revealing answers.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FR-4 (Scaffolded Socratic Tutoring): </w:t>
      </w:r>
      <w:r>
        <w:rPr>
          <w:rFonts w:ascii="Times New Roman" w:hAnsi="Times New Roman"/>
          <w:sz w:val="24"/>
        </w:rPr>
        <w:t>The Pedagogical Agent shall generate grounded Socratic explanations, analogies, and worked examples while avoiding repetitive activity modalities.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FR-5 (Single Write Path Mastery Updating): </w:t>
      </w:r>
      <w:r>
        <w:rPr>
          <w:rFonts w:ascii="Times New Roman" w:hAnsi="Times New Roman"/>
          <w:sz w:val="24"/>
        </w:rPr>
        <w:t>All student mastery updates, streak increments, and XP awards must flow exclusively through LearnerModelService.recordUpdate().</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FR-6 (Monotonic Curriculum Progression): </w:t>
      </w:r>
      <w:r>
        <w:rPr>
          <w:rFonts w:ascii="Times New Roman" w:hAnsi="Times New Roman"/>
          <w:sz w:val="24"/>
        </w:rPr>
        <w:t>The system shall enforce monotonic high-water mark latching, ensuring that once a topic is unlocked, it can never be re-locked by temporary performance dips.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FR-7 (Instructor Governance Queue): </w:t>
      </w:r>
      <w:r>
        <w:rPr>
          <w:rFonts w:ascii="Times New Roman" w:hAnsi="Times New Roman"/>
          <w:sz w:val="24"/>
        </w:rPr>
        <w:t>High-risk agent-proposed curriculum leaps shall be routed to the Instructor Dashboard for manual review and approval.</w:t>
      </w:r>
    </w:p>
    <w:p>
      <w:pPr>
        <w:spacing w:before="160" w:after="60" w:line="360" w:lineRule="auto"/>
      </w:pPr>
      <w:r>
        <w:rPr>
          <w:rFonts w:ascii="Times New Roman" w:hAnsi="Times New Roman"/>
          <w:b/>
          <w:i/>
          <w:sz w:val="24"/>
        </w:rPr>
        <w:t>3.1.2 Non-Functional</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NFR-1 (Latency &amp; Performance): </w:t>
      </w:r>
      <w:r>
        <w:rPr>
          <w:rFonts w:ascii="Times New Roman" w:hAnsi="Times New Roman"/>
          <w:sz w:val="24"/>
        </w:rPr>
        <w:t>Conversational tutor streaming responses must achieve a Time-to-First-Token (TTFT) under 800ms. LangGraph execution depth shall not exceed 3 sequential LLM hops.</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NFR-2 (Reliability &amp; Offline Resilience): </w:t>
      </w:r>
      <w:r>
        <w:rPr>
          <w:rFonts w:ascii="Times New Roman" w:hAnsi="Times New Roman"/>
          <w:sz w:val="24"/>
        </w:rPr>
        <w:t>Client submissions during network drops must be stored in a local SQLite/IndexedDB queue and transparently replayed upon reconnection.</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NFR-3 (Accessibility Compliance): </w:t>
      </w:r>
      <w:r>
        <w:rPr>
          <w:rFonts w:ascii="Times New Roman" w:hAnsi="Times New Roman"/>
          <w:sz w:val="24"/>
        </w:rPr>
        <w:t>The user interface shall comply with WCAG 2.1 AA standards, supporting High Contrast palettes, Reduced Motion animations, and OpenDyslexic typography.</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NFR-4 (Explainability &amp; Auditability): </w:t>
      </w:r>
      <w:r>
        <w:rPr>
          <w:rFonts w:ascii="Times New Roman" w:hAnsi="Times New Roman"/>
          <w:sz w:val="24"/>
        </w:rPr>
        <w:t>Every mastery adjustment and adaptation decision must be permanently recorded in an append-only audit_log table with complete source attribution.</w:t>
      </w:r>
    </w:p>
    <w:p>
      <w:pPr>
        <w:spacing w:before="240" w:after="80" w:line="360" w:lineRule="auto"/>
      </w:pPr>
      <w:r>
        <w:rPr>
          <w:rFonts w:ascii="Times New Roman" w:hAnsi="Times New Roman"/>
          <w:b/>
          <w:sz w:val="26"/>
        </w:rPr>
        <w:t>3.2 Feasibility Study</w:t>
      </w:r>
    </w:p>
    <w:p>
      <w:pPr>
        <w:spacing w:before="160" w:after="60" w:line="360" w:lineRule="auto"/>
      </w:pPr>
      <w:r>
        <w:rPr>
          <w:rFonts w:ascii="Times New Roman" w:hAnsi="Times New Roman"/>
          <w:b/>
          <w:i/>
          <w:sz w:val="24"/>
        </w:rPr>
        <w:t>3.2.1 Technical Feasibility</w:t>
      </w:r>
    </w:p>
    <w:p>
      <w:pPr>
        <w:spacing w:after="120" w:line="276" w:lineRule="auto"/>
        <w:jc w:val="both"/>
      </w:pPr>
      <w:r>
        <w:rPr>
          <w:rFonts w:ascii="Times New Roman" w:hAnsi="Times New Roman"/>
          <w:sz w:val="24"/>
        </w:rPr>
        <w:t>The technological stack leverages battle-tested, high-performance open-source frameworks. FastAPI provides asynchronous ASGI request handling, LangGraph delivers state-machine multi-agent execution with cyclic memory, PostgreSQL 16 with pgvector handles vector embeddings and relational transactions, and Flutter ensures 60fps cross-platform rendering across mobile and web platforms.</w:t>
      </w:r>
    </w:p>
    <w:p>
      <w:pPr>
        <w:spacing w:before="160" w:after="60" w:line="360" w:lineRule="auto"/>
      </w:pPr>
      <w:r>
        <w:rPr>
          <w:rFonts w:ascii="Times New Roman" w:hAnsi="Times New Roman"/>
          <w:b/>
          <w:i/>
          <w:sz w:val="24"/>
        </w:rPr>
        <w:t>3.2.2 Economic Feasibility</w:t>
      </w:r>
    </w:p>
    <w:p>
      <w:pPr>
        <w:spacing w:after="120" w:line="276" w:lineRule="auto"/>
        <w:jc w:val="both"/>
      </w:pPr>
      <w:r>
        <w:rPr>
          <w:rFonts w:ascii="Times New Roman" w:hAnsi="Times New Roman"/>
          <w:sz w:val="24"/>
        </w:rPr>
        <w:t>The architecture is engineered for exceptional cost-efficiency. By utilizing Google Gemini 1.5/2.0 Flash (or self-hosted Qwen 2.5 Coder via vLLM), token costs average less than $0.27 per active student per month. Serverless compute on Google Cloud Run scales to zero during idle hours, minimizing infrastructure overhead for academic institutions.</w:t>
      </w:r>
    </w:p>
    <w:p>
      <w:pPr>
        <w:spacing w:before="160" w:after="60" w:line="360" w:lineRule="auto"/>
      </w:pPr>
      <w:r>
        <w:rPr>
          <w:rFonts w:ascii="Times New Roman" w:hAnsi="Times New Roman"/>
          <w:b/>
          <w:i/>
          <w:sz w:val="24"/>
        </w:rPr>
        <w:t>3.2.3 Social Feasibility</w:t>
      </w:r>
    </w:p>
    <w:p>
      <w:pPr>
        <w:spacing w:after="120" w:line="276" w:lineRule="auto"/>
        <w:jc w:val="both"/>
      </w:pPr>
      <w:r>
        <w:rPr>
          <w:rFonts w:ascii="Times New Roman" w:hAnsi="Times New Roman"/>
          <w:sz w:val="24"/>
        </w:rPr>
        <w:t>The system promotes educational equity by providing personalized, patient, 24/7 tutoring tailored to students with learning difficulties and cognitive barriers. Strict adherence to human-in-the-loop approval ensures instructional safety and ethical compliance.</w:t>
      </w:r>
    </w:p>
    <w:p>
      <w:pPr>
        <w:spacing w:before="240" w:after="80" w:line="360" w:lineRule="auto"/>
      </w:pPr>
      <w:r>
        <w:rPr>
          <w:rFonts w:ascii="Times New Roman" w:hAnsi="Times New Roman"/>
          <w:b/>
          <w:sz w:val="26"/>
        </w:rPr>
        <w:t>3.3 System Specification</w:t>
      </w:r>
    </w:p>
    <w:p>
      <w:pPr>
        <w:spacing w:before="160" w:after="60" w:line="360" w:lineRule="auto"/>
      </w:pPr>
      <w:r>
        <w:rPr>
          <w:rFonts w:ascii="Times New Roman" w:hAnsi="Times New Roman"/>
          <w:b/>
          <w:i/>
          <w:sz w:val="24"/>
        </w:rPr>
        <w:t>3.3.1 Hardware Specification</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Server Compute: </w:t>
      </w:r>
      <w:r>
        <w:rPr>
          <w:rFonts w:ascii="Times New Roman" w:hAnsi="Times New Roman"/>
          <w:sz w:val="24"/>
        </w:rPr>
        <w:t>2 to 4 vCPUs, 4 GB System RAM, 25 GB SSD storage (or 1x NVIDIA RTX 4090 / L4 GPU for local model deployment).</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Client Device: </w:t>
      </w:r>
      <w:r>
        <w:rPr>
          <w:rFonts w:ascii="Times New Roman" w:hAnsi="Times New Roman"/>
          <w:sz w:val="24"/>
        </w:rPr>
        <w:t>Any standard web browser (Chrome, Firefox, Safari, Edge) or Android/iOS mobile device with &gt;= 2 GB RAM.</w:t>
      </w:r>
    </w:p>
    <w:p>
      <w:pPr>
        <w:spacing w:before="160" w:after="60" w:line="360" w:lineRule="auto"/>
      </w:pPr>
      <w:r>
        <w:rPr>
          <w:rFonts w:ascii="Times New Roman" w:hAnsi="Times New Roman"/>
          <w:b/>
          <w:i/>
          <w:sz w:val="24"/>
        </w:rPr>
        <w:t>3.3.2 Software Specification</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Backend Runtime: </w:t>
      </w:r>
      <w:r>
        <w:rPr>
          <w:rFonts w:ascii="Times New Roman" w:hAnsi="Times New Roman"/>
          <w:sz w:val="24"/>
        </w:rPr>
        <w:t>Python 3.11, FastAPI, Uvicorn, LangGraph, LangChain, SQLAlchemy AsyncIO, Alembic.</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AI Models &amp; RAG: </w:t>
      </w:r>
      <w:r>
        <w:rPr>
          <w:rFonts w:ascii="Times New Roman" w:hAnsi="Times New Roman"/>
          <w:sz w:val="24"/>
        </w:rPr>
        <w:t>Google Gemini 1.5/2.0 Flash / Qwen 2.5 Coder 7B, Sentence-Transformers (all-MiniLM-L6-v2), pgvector.</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Database: </w:t>
      </w:r>
      <w:r>
        <w:rPr>
          <w:rFonts w:ascii="Times New Roman" w:hAnsi="Times New Roman"/>
          <w:sz w:val="24"/>
        </w:rPr>
        <w:t>PostgreSQL 16 with pgvector extension.</w:t>
      </w:r>
    </w:p>
    <w:p>
      <w:pPr>
        <w:spacing w:after="80" w:line="276" w:lineRule="auto"/>
        <w:ind w:left="360"/>
        <w:jc w:val="both"/>
      </w:pPr>
      <w:r>
        <w:rPr>
          <w:rFonts w:ascii="Times New Roman" w:hAnsi="Times New Roman"/>
          <w:b/>
          <w:sz w:val="24"/>
        </w:rPr>
        <w:t xml:space="preserve">•  </w:t>
      </w:r>
      <w:r>
        <w:rPr>
          <w:rFonts w:ascii="Times New Roman" w:hAnsi="Times New Roman"/>
          <w:b/>
          <w:sz w:val="24"/>
        </w:rPr>
        <w:t xml:space="preserve">Frontend Applications: </w:t>
      </w:r>
      <w:r>
        <w:rPr>
          <w:rFonts w:ascii="Times New Roman" w:hAnsi="Times New Roman"/>
          <w:sz w:val="24"/>
        </w:rPr>
        <w:t>Flutter 3.x (Dart 3.x) with Riverpod 2.6 (Student App); Vite 5.x with React 18 (Instructor Dashboard).</w:t>
      </w:r>
    </w:p>
    <w:p>
      <w:pPr>
        <w:spacing w:before="360" w:after="120" w:line="360" w:lineRule="auto"/>
      </w:pPr>
      <w:r>
        <w:rPr>
          <w:rFonts w:ascii="Times New Roman" w:hAnsi="Times New Roman"/>
          <w:b/>
          <w:sz w:val="28"/>
        </w:rPr>
        <w:t>4. DESIGN APPROACH AND DETAILS</w:t>
      </w:r>
    </w:p>
    <w:p>
      <w:pPr>
        <w:spacing w:before="240" w:after="80" w:line="360" w:lineRule="auto"/>
      </w:pPr>
      <w:r>
        <w:rPr>
          <w:rFonts w:ascii="Times New Roman" w:hAnsi="Times New Roman"/>
          <w:b/>
          <w:sz w:val="26"/>
        </w:rPr>
        <w:t>4.1 System Architecture</w:t>
      </w:r>
    </w:p>
    <w:p>
      <w:pPr>
        <w:spacing w:after="120" w:line="276" w:lineRule="auto"/>
        <w:jc w:val="both"/>
      </w:pPr>
      <w:r>
        <w:rPr>
          <w:rFonts w:ascii="Times New Roman" w:hAnsi="Times New Roman"/>
          <w:sz w:val="24"/>
        </w:rPr>
        <w:t>The architecture of Python Educator is structured into four decoupled horizontal layers: Presentation Layer, API Gateway &amp; Service Layer, Multi-Agent Orchestration Layer, and Data Persistence Layer.</w:t>
      </w:r>
    </w:p>
    <w:tbl>
      <w:tblPr>
        <w:tblW w:type="auto" w:w="0"/>
        <w:jc w:val="center"/>
        <w:tblLook w:firstColumn="1" w:firstRow="1" w:lastColumn="0" w:lastRow="0" w:noHBand="0" w:noVBand="1" w:val="04A0"/>
      </w:tblPr>
      <w:tblGrid>
        <w:gridCol w:w="9026"/>
      </w:tblGrid>
      <w:tr>
        <w:tc>
          <w:tcPr>
            <w:tcW w:type="dxa" w:w="9026"/>
            <w:tcMar>
              <w:top w:w="140" w:type="dxa"/>
              <w:bottom w:w="140" w:type="dxa"/>
              <w:left w:w="180" w:type="dxa"/>
              <w:right w:w="180" w:type="dxa"/>
            </w:tcMar>
          </w:tcPr>
          <w:p>
            <w:pPr>
              <w:spacing w:after="80"/>
            </w:pPr>
            <w:r>
              <w:rPr>
                <w:rFonts w:ascii="Times New Roman" w:hAnsi="Times New Roman"/>
                <w:b/>
                <w:color w:val="6366F1"/>
                <w:sz w:val="22"/>
              </w:rPr>
              <w:t>[IMAGE GENERATION PROMPT: SYSTEM ARCHITECTURE OF PYTHON EDUCATOR MULTI-AGENT PLATFORM]</w:t>
              <w:br/>
            </w:r>
            <w:r>
              <w:rPr>
                <w:rFonts w:ascii="Times New Roman" w:hAnsi="Times New Roman"/>
                <w:i/>
                <w:sz w:val="21"/>
              </w:rPr>
              <w:t>Prompt: Clean professional UML system architecture diagram for an AI tutoring platform. Top layer: Flutter Client (Mobile &amp; Web) and React Instructor Dashboard. Middle Layer: FastAPI API Gateway with Auth, Answer Verifier, and LearnerModelService. Core Layer: LangGraph Multi-Agent Engine containing 3 connected nodes: Diagnostic Node, Pedagogical Node, and Content Node. Right Layer: Google Gemini / Qwen LLM and RAG Pipeline. Bottom Layer: PostgreSQL 16 Database with pgvector, Mastery table, and Append-Only Audit Log. Modern dark navy and indigo color palette, vector graphics style, crisp text labels.</w:t>
            </w:r>
          </w:p>
        </w:tc>
      </w:tr>
    </w:tbl>
    <w:p>
      <w:pPr>
        <w:spacing w:before="120" w:after="120"/>
        <w:jc w:val="center"/>
      </w:pPr>
      <w:r>
        <w:rPr>
          <w:rFonts w:ascii="Times New Roman" w:hAnsi="Times New Roman"/>
          <w:b/>
          <w:sz w:val="22"/>
        </w:rPr>
        <w:t>Fig. 2. System Architecture of Python Educator Multi-Agent Platform</w:t>
      </w:r>
    </w:p>
    <w:p>
      <w:pPr>
        <w:spacing w:after="160" w:line="276" w:lineRule="auto"/>
        <w:jc w:val="both"/>
      </w:pPr>
      <w:r>
        <w:rPr>
          <w:rFonts w:ascii="Times New Roman" w:hAnsi="Times New Roman"/>
          <w:sz w:val="24"/>
        </w:rPr>
        <w:t>Figure 2 illustrates the global system architecture. Student interactions originate in the Flutter cross-platform client and pass through the FastAPI gateway via secure JWT channels. When interactive exercises or tutor queries are triggered, the request enters the LangGraph Multi-Agent Orchestrator. The Diagnostic Node analyzes code ASTs, the Pedagogical Node queries pgvector handbook embeddings to construct Socratic guidance, and all state transitions are committed atomically through LearnerModelService to PostgreSQL.</w:t>
      </w:r>
    </w:p>
    <w:p>
      <w:pPr>
        <w:spacing w:before="240" w:after="80" w:line="360" w:lineRule="auto"/>
      </w:pPr>
      <w:r>
        <w:rPr>
          <w:rFonts w:ascii="Times New Roman" w:hAnsi="Times New Roman"/>
          <w:b/>
          <w:sz w:val="26"/>
        </w:rPr>
        <w:t>4.2 Design</w:t>
      </w:r>
    </w:p>
    <w:p>
      <w:pPr>
        <w:spacing w:before="160" w:after="60" w:line="360" w:lineRule="auto"/>
      </w:pPr>
      <w:r>
        <w:rPr>
          <w:rFonts w:ascii="Times New Roman" w:hAnsi="Times New Roman"/>
          <w:b/>
          <w:i/>
          <w:sz w:val="24"/>
        </w:rPr>
        <w:t>4.2.1 Data Flow Diagram</w:t>
      </w:r>
    </w:p>
    <w:tbl>
      <w:tblPr>
        <w:tblW w:type="auto" w:w="0"/>
        <w:jc w:val="center"/>
        <w:tblLook w:firstColumn="1" w:firstRow="1" w:lastColumn="0" w:lastRow="0" w:noHBand="0" w:noVBand="1" w:val="04A0"/>
      </w:tblPr>
      <w:tblGrid>
        <w:gridCol w:w="9026"/>
      </w:tblGrid>
      <w:tr>
        <w:tc>
          <w:tcPr>
            <w:tcW w:type="dxa" w:w="9026"/>
            <w:tcMar>
              <w:top w:w="140" w:type="dxa"/>
              <w:bottom w:w="140" w:type="dxa"/>
              <w:left w:w="180" w:type="dxa"/>
              <w:right w:w="180" w:type="dxa"/>
            </w:tcMar>
          </w:tcPr>
          <w:p>
            <w:pPr>
              <w:spacing w:after="80"/>
            </w:pPr>
            <w:r>
              <w:rPr>
                <w:rFonts w:ascii="Times New Roman" w:hAnsi="Times New Roman"/>
                <w:b/>
                <w:color w:val="6366F1"/>
                <w:sz w:val="22"/>
              </w:rPr>
              <w:t>[IMAGE GENERATION PROMPT: DATA FLOW DIAGRAM (LEVEL 0 AND LEVEL 1)]</w:t>
              <w:br/>
            </w:r>
            <w:r>
              <w:rPr>
                <w:rFonts w:ascii="Times New Roman" w:hAnsi="Times New Roman"/>
                <w:i/>
                <w:sz w:val="21"/>
              </w:rPr>
              <w:t>Prompt: Detailed Data Flow Diagram (DFD Level 0 and Level 1) for an intelligent tutoring system. Entities: Student, Instructor. Processes: P1.0 Authenticate User, P2.0 Exercise Evaluation Engine, P3.0 LangGraph Multi-Agent Reasoning, P4.0 Bayesian Learner Model Update, P5.0 Handbook Vector Retrieval. Data Stores: D1 Users, D2 Curriculum Content, D3 Handbook Embeddings (pgvector), D4 Mastery State, D5 Audit Logs. Clean flow lines with arrows, professional software engineering diagram.</w:t>
            </w:r>
          </w:p>
        </w:tc>
      </w:tr>
    </w:tbl>
    <w:p>
      <w:pPr>
        <w:spacing w:before="120" w:after="120"/>
        <w:jc w:val="center"/>
      </w:pPr>
      <w:r>
        <w:rPr>
          <w:rFonts w:ascii="Times New Roman" w:hAnsi="Times New Roman"/>
          <w:b/>
          <w:sz w:val="22"/>
        </w:rPr>
        <w:t>Fig. 3. Data Flow Diagram (Level 0 and Level 1)</w:t>
      </w:r>
    </w:p>
    <w:p>
      <w:pPr>
        <w:spacing w:after="160" w:line="276" w:lineRule="auto"/>
        <w:jc w:val="both"/>
      </w:pPr>
      <w:r>
        <w:rPr>
          <w:rFonts w:ascii="Times New Roman" w:hAnsi="Times New Roman"/>
          <w:sz w:val="24"/>
        </w:rPr>
        <w:t>Figure 3 delineates the Level 0 Context and Level 1 Data Flow. Student code submissions flow to the Evaluation Engine, which passes structured success/error signals to the Multi-Agent Reasoning process. The Pedagogical Agent reads contextual vectors from the Handbook store and issues mastery delta updates directly to the Bayesian Learner Model, updating the persistent Mastery and Audit Log data stores.</w:t>
      </w:r>
    </w:p>
    <w:p>
      <w:pPr>
        <w:spacing w:before="160" w:after="60" w:line="360" w:lineRule="auto"/>
      </w:pPr>
      <w:r>
        <w:rPr>
          <w:rFonts w:ascii="Times New Roman" w:hAnsi="Times New Roman"/>
          <w:b/>
          <w:i/>
          <w:sz w:val="24"/>
        </w:rPr>
        <w:t>4.2.2 Use Case Diagram</w:t>
      </w:r>
    </w:p>
    <w:tbl>
      <w:tblPr>
        <w:tblW w:type="auto" w:w="0"/>
        <w:jc w:val="center"/>
        <w:tblLook w:firstColumn="1" w:firstRow="1" w:lastColumn="0" w:lastRow="0" w:noHBand="0" w:noVBand="1" w:val="04A0"/>
      </w:tblPr>
      <w:tblGrid>
        <w:gridCol w:w="9026"/>
      </w:tblGrid>
      <w:tr>
        <w:tc>
          <w:tcPr>
            <w:tcW w:type="dxa" w:w="9026"/>
            <w:tcMar>
              <w:top w:w="140" w:type="dxa"/>
              <w:bottom w:w="140" w:type="dxa"/>
              <w:left w:w="180" w:type="dxa"/>
              <w:right w:w="180" w:type="dxa"/>
            </w:tcMar>
          </w:tcPr>
          <w:p>
            <w:pPr>
              <w:spacing w:after="80"/>
            </w:pPr>
            <w:r>
              <w:rPr>
                <w:rFonts w:ascii="Times New Roman" w:hAnsi="Times New Roman"/>
                <w:b/>
                <w:color w:val="6366F1"/>
                <w:sz w:val="22"/>
              </w:rPr>
              <w:t>[IMAGE GENERATION PROMPT: UML USE CASE DIAGRAM FOR PYTHON EDUCATOR]</w:t>
              <w:br/>
            </w:r>
            <w:r>
              <w:rPr>
                <w:rFonts w:ascii="Times New Roman" w:hAnsi="Times New Roman"/>
                <w:i/>
                <w:sz w:val="21"/>
              </w:rPr>
              <w:t>Prompt: UML Use Case Diagram with two primary human actors (Student, Instructor) and one secondary system actor (LangGraph Multi-Agent System). Student use cases: Register/Login, Practice Topic Exercises, Ask AI Tutor for Hints, View Mastery Path, Toggle Accessibility Modes. Instructor use cases: Review Student Analytics, Approve/Reject Agent Curriculum Adaptations, Inspect Audit Trail. System use cases: Infer Misconception, Retrieve Handbook Citations, Update BKT Mastery. Clean boundaries, include/extend relationships.</w:t>
            </w:r>
          </w:p>
        </w:tc>
      </w:tr>
    </w:tbl>
    <w:p>
      <w:pPr>
        <w:spacing w:before="120" w:after="120"/>
        <w:jc w:val="center"/>
      </w:pPr>
      <w:r>
        <w:rPr>
          <w:rFonts w:ascii="Times New Roman" w:hAnsi="Times New Roman"/>
          <w:b/>
          <w:sz w:val="22"/>
        </w:rPr>
        <w:t>Fig. 4. UML Use Case Diagram for Python Educator</w:t>
      </w:r>
    </w:p>
    <w:p>
      <w:pPr>
        <w:spacing w:after="160" w:line="276" w:lineRule="auto"/>
        <w:jc w:val="both"/>
      </w:pPr>
      <w:r>
        <w:rPr>
          <w:rFonts w:ascii="Times New Roman" w:hAnsi="Times New Roman"/>
          <w:sz w:val="24"/>
        </w:rPr>
        <w:t>Figure 4 presents the UML Use Case Diagram capturing actor interactions. Students interact with the practice runner and conversational tutor, while Instructors exercise oversight through the review queue and audit log inspection interfaces.</w:t>
      </w:r>
    </w:p>
    <w:p>
      <w:pPr>
        <w:spacing w:before="160" w:after="60" w:line="360" w:lineRule="auto"/>
      </w:pPr>
      <w:r>
        <w:rPr>
          <w:rFonts w:ascii="Times New Roman" w:hAnsi="Times New Roman"/>
          <w:b/>
          <w:i/>
          <w:sz w:val="24"/>
        </w:rPr>
        <w:t>4.2.3 Class Diagram</w:t>
      </w:r>
    </w:p>
    <w:tbl>
      <w:tblPr>
        <w:tblW w:type="auto" w:w="0"/>
        <w:jc w:val="center"/>
        <w:tblLook w:firstColumn="1" w:firstRow="1" w:lastColumn="0" w:lastRow="0" w:noHBand="0" w:noVBand="1" w:val="04A0"/>
      </w:tblPr>
      <w:tblGrid>
        <w:gridCol w:w="9026"/>
      </w:tblGrid>
      <w:tr>
        <w:tc>
          <w:tcPr>
            <w:tcW w:type="dxa" w:w="9026"/>
            <w:tcMar>
              <w:top w:w="140" w:type="dxa"/>
              <w:bottom w:w="140" w:type="dxa"/>
              <w:left w:w="180" w:type="dxa"/>
              <w:right w:w="180" w:type="dxa"/>
            </w:tcMar>
          </w:tcPr>
          <w:p>
            <w:pPr>
              <w:spacing w:after="80"/>
            </w:pPr>
            <w:r>
              <w:rPr>
                <w:rFonts w:ascii="Times New Roman" w:hAnsi="Times New Roman"/>
                <w:b/>
                <w:color w:val="6366F1"/>
                <w:sz w:val="22"/>
              </w:rPr>
              <w:t>[IMAGE GENERATION PROMPT: UML CLASS DIAGRAM FOR PYTHON EDUCATOR DATA MODELS AND SERVICES]</w:t>
              <w:br/>
            </w:r>
            <w:r>
              <w:rPr>
                <w:rFonts w:ascii="Times New Roman" w:hAnsi="Times New Roman"/>
                <w:i/>
                <w:sz w:val="21"/>
              </w:rPr>
              <w:t>Prompt: UML Class Diagram for educational software architecture. Classes: User (id, email, role, streak, xp), Mastery (id, student_id, topic_id, mastery_level, last_updated), AdaptationEvent (id, student_id, topic_id, source, signal, delta, activity_type, timestamp), Activity (id, topic_id, activity_type, prompt_text, code_snippet, options, correct_answer), LearnerModelService (recordUpdate, getMasteryMap), DiagnosticNode, PedagogicalNode, ContentNode. Display attributes, methods, and relational cardinality (1 to many).</w:t>
            </w:r>
          </w:p>
        </w:tc>
      </w:tr>
    </w:tbl>
    <w:p>
      <w:pPr>
        <w:spacing w:before="120" w:after="120"/>
        <w:jc w:val="center"/>
      </w:pPr>
      <w:r>
        <w:rPr>
          <w:rFonts w:ascii="Times New Roman" w:hAnsi="Times New Roman"/>
          <w:b/>
          <w:sz w:val="22"/>
        </w:rPr>
        <w:t>Fig. 5. UML Class Diagram for Python Educator Data Models and Services</w:t>
      </w:r>
    </w:p>
    <w:p>
      <w:pPr>
        <w:spacing w:after="160" w:line="276" w:lineRule="auto"/>
        <w:jc w:val="both"/>
      </w:pPr>
      <w:r>
        <w:rPr>
          <w:rFonts w:ascii="Times New Roman" w:hAnsi="Times New Roman"/>
          <w:sz w:val="24"/>
        </w:rPr>
        <w:t>Figure 5 details the object-oriented structure and database entities. The User entity maintains a 1-to-many relationship with Mastery and AdaptationEvent records. The LearnerModelService acts as the single write gatekeeper protecting the integrity of the learner model.</w:t>
      </w:r>
    </w:p>
    <w:p>
      <w:pPr>
        <w:spacing w:before="160" w:after="60" w:line="360" w:lineRule="auto"/>
      </w:pPr>
      <w:r>
        <w:rPr>
          <w:rFonts w:ascii="Times New Roman" w:hAnsi="Times New Roman"/>
          <w:b/>
          <w:i/>
          <w:sz w:val="24"/>
        </w:rPr>
        <w:t>4.2.4 Sequence Diagram</w:t>
      </w:r>
    </w:p>
    <w:tbl>
      <w:tblPr>
        <w:tblW w:type="auto" w:w="0"/>
        <w:jc w:val="center"/>
        <w:tblLook w:firstColumn="1" w:firstRow="1" w:lastColumn="0" w:lastRow="0" w:noHBand="0" w:noVBand="1" w:val="04A0"/>
      </w:tblPr>
      <w:tblGrid>
        <w:gridCol w:w="9026"/>
      </w:tblGrid>
      <w:tr>
        <w:tc>
          <w:tcPr>
            <w:tcW w:type="dxa" w:w="9026"/>
            <w:tcMar>
              <w:top w:w="140" w:type="dxa"/>
              <w:bottom w:w="140" w:type="dxa"/>
              <w:left w:w="180" w:type="dxa"/>
              <w:right w:w="180" w:type="dxa"/>
            </w:tcMar>
          </w:tcPr>
          <w:p>
            <w:pPr>
              <w:spacing w:after="80"/>
            </w:pPr>
            <w:r>
              <w:rPr>
                <w:rFonts w:ascii="Times New Roman" w:hAnsi="Times New Roman"/>
                <w:b/>
                <w:color w:val="6366F1"/>
                <w:sz w:val="22"/>
              </w:rPr>
              <w:t>[IMAGE GENERATION PROMPT: UML SEQUENCE DIAGRAM FOR STUDENT CODE SUBMISSION AND TUTOR ADAPTATION]</w:t>
              <w:br/>
            </w:r>
            <w:r>
              <w:rPr>
                <w:rFonts w:ascii="Times New Roman" w:hAnsi="Times New Roman"/>
                <w:i/>
                <w:sz w:val="21"/>
              </w:rPr>
              <w:t>Prompt: UML Sequence Diagram detailing message flow between Student Client, API Gateway, Diagnostic Node, PostgreSQL DB, Pedagogical Node, RAG Vector Store, Content Node, and LearnerModelService. Sequence steps: 1. submitAnswer(code), 2. evaluateSyntax(), 3. diagnoseMisconception(), 4. recordUpdate(delta), 5. retrieveHandbookContext(), 6. generateSocraticHint(), 7. returnStreamedResponse(). Clear lifelines, activation boxes, synchronous/asynchronous message arrows.</w:t>
            </w:r>
          </w:p>
        </w:tc>
      </w:tr>
    </w:tbl>
    <w:p>
      <w:pPr>
        <w:spacing w:before="120" w:after="120"/>
        <w:jc w:val="center"/>
      </w:pPr>
      <w:r>
        <w:rPr>
          <w:rFonts w:ascii="Times New Roman" w:hAnsi="Times New Roman"/>
          <w:b/>
          <w:sz w:val="22"/>
        </w:rPr>
        <w:t>Fig. 6. UML Sequence Diagram for Student Code Submission and Tutor Adaptation</w:t>
      </w:r>
    </w:p>
    <w:p>
      <w:pPr>
        <w:spacing w:after="160" w:line="276" w:lineRule="auto"/>
        <w:jc w:val="both"/>
      </w:pPr>
      <w:r>
        <w:rPr>
          <w:rFonts w:ascii="Times New Roman" w:hAnsi="Times New Roman"/>
          <w:sz w:val="24"/>
        </w:rPr>
        <w:t>Figure 6 demonstrates the sequential execution flow during a student practice turn. The sequence validates that the Diagnostic Node infers conceptual gaps before the Pedagogical Node synthesizes handbook-grounded guidance, ensuring deterministic mastery updates prior to next-exercise selection.</w:t>
      </w:r>
    </w:p>
    <w:p>
      <w:pPr>
        <w:spacing w:before="360" w:after="120" w:line="360" w:lineRule="auto"/>
      </w:pPr>
      <w:r>
        <w:rPr>
          <w:rFonts w:ascii="Times New Roman" w:hAnsi="Times New Roman"/>
          <w:b/>
          <w:sz w:val="28"/>
        </w:rPr>
        <w:t>5. REFERENCES</w:t>
      </w:r>
    </w:p>
    <w:p>
      <w:pPr>
        <w:spacing w:before="240" w:after="80" w:line="360" w:lineRule="auto"/>
      </w:pPr>
      <w:r>
        <w:rPr>
          <w:rFonts w:ascii="Times New Roman" w:hAnsi="Times New Roman"/>
          <w:b/>
          <w:sz w:val="26"/>
        </w:rPr>
        <w:t>Journals (IEEE Format):</w:t>
      </w:r>
    </w:p>
    <w:p>
      <w:pPr>
        <w:spacing w:after="120" w:line="276" w:lineRule="auto"/>
        <w:jc w:val="both"/>
      </w:pPr>
      <w:r>
        <w:rPr>
          <w:rFonts w:ascii="Times New Roman" w:hAnsi="Times New Roman"/>
          <w:sz w:val="24"/>
        </w:rPr>
        <w:t>[1] A. T. Corbett and J. R. Anderson, "Knowledge tracing: Modeling the acquisition of procedural knowledge," User Modeling and User-Adapted Interaction, vol. 4, no. 4, pp. 253-278, 1994.</w:t>
      </w:r>
    </w:p>
    <w:p>
      <w:pPr>
        <w:spacing w:after="120" w:line="276" w:lineRule="auto"/>
        <w:jc w:val="both"/>
      </w:pPr>
      <w:r>
        <w:rPr>
          <w:rFonts w:ascii="Times New Roman" w:hAnsi="Times New Roman"/>
          <w:sz w:val="24"/>
        </w:rPr>
        <w:t>[2] C. Piech, J. Bassen, J. Huang, S. Ganguli, M. Sahami, L. J. Guibas, and J. Sohl-Dickstein, "Deep knowledge tracing," Advances in Neural Information Processing Systems (NeurIPS), vol. 28, pp. 505-513, 2015.</w:t>
      </w:r>
    </w:p>
    <w:p>
      <w:pPr>
        <w:spacing w:after="120" w:line="276" w:lineRule="auto"/>
        <w:jc w:val="both"/>
      </w:pPr>
      <w:r>
        <w:rPr>
          <w:rFonts w:ascii="Times New Roman" w:hAnsi="Times New Roman"/>
          <w:sz w:val="24"/>
        </w:rPr>
        <w:t>[3] S. Kazemitabaar, J. Hou, B. Ericson, C. D. Schunn, and T. Xie, "How Novices Use LLM-Based Code Assistants: A Longitudinal Study of CS1 Students," ACM Transactions on Computer-Human Interaction (TOCHI), vol. 31, no. 2, pp. 1-32, 2024.</w:t>
      </w:r>
    </w:p>
    <w:p>
      <w:pPr>
        <w:spacing w:after="120" w:line="276" w:lineRule="auto"/>
        <w:jc w:val="both"/>
      </w:pPr>
      <w:r>
        <w:rPr>
          <w:rFonts w:ascii="Times New Roman" w:hAnsi="Times New Roman"/>
          <w:sz w:val="24"/>
        </w:rPr>
        <w:t>[4] P. J. Guo, "Online Python Tutor: Embeddable Web-Based Program Visualization for CS Education," In Proceedings of the 44th ACM Technical Symposium on Computer Science Education (SIGCSE), pp. 579-584, 2013.</w:t>
      </w:r>
    </w:p>
    <w:p>
      <w:pPr>
        <w:spacing w:before="240" w:after="80" w:line="360" w:lineRule="auto"/>
      </w:pPr>
      <w:r>
        <w:rPr>
          <w:rFonts w:ascii="Times New Roman" w:hAnsi="Times New Roman"/>
          <w:b/>
          <w:sz w:val="26"/>
        </w:rPr>
        <w:t>Conferences (IEEE Format):</w:t>
      </w:r>
    </w:p>
    <w:p>
      <w:pPr>
        <w:spacing w:after="120" w:line="276" w:lineRule="auto"/>
        <w:jc w:val="both"/>
      </w:pPr>
      <w:r>
        <w:rPr>
          <w:rFonts w:ascii="Times New Roman" w:hAnsi="Times New Roman"/>
          <w:sz w:val="24"/>
        </w:rPr>
        <w:t>[5] M. Macina, N. Daheim, S. Ling, S. S. Roy, M. Sachan, and I. Gurevych, "Opportunities and Challenges in LLM-Based Conversational Tutoring Systems," In Proceedings of the 24th International Conference on Artificial Intelligence in Education (AIED), pp. 112-125, Springer, 2023.</w:t>
      </w:r>
    </w:p>
    <w:p>
      <w:pPr>
        <w:spacing w:after="120" w:line="276" w:lineRule="auto"/>
        <w:jc w:val="both"/>
      </w:pPr>
      <w:r>
        <w:rPr>
          <w:rFonts w:ascii="Times New Roman" w:hAnsi="Times New Roman"/>
          <w:sz w:val="24"/>
        </w:rPr>
        <w:t>[6] Y. Chen, S. Zhou, T. Feng, and J. Wang, "SLOW: Separating Learner-State Inference from Instructional Action Selection in Large Language Model Tutors," In Proceedings of the IEEE International Conference on Advanced Learning Technologies (ICALT), pp. 45-49, 2024.</w:t>
      </w:r>
    </w:p>
    <w:p>
      <w:pPr>
        <w:spacing w:after="120" w:line="276" w:lineRule="auto"/>
        <w:jc w:val="both"/>
      </w:pPr>
      <w:r>
        <w:rPr>
          <w:rFonts w:ascii="Times New Roman" w:hAnsi="Times New Roman"/>
          <w:sz w:val="24"/>
        </w:rPr>
        <w:t>[7]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after="120" w:line="276" w:lineRule="auto"/>
        <w:jc w:val="both"/>
      </w:pPr>
      <w:r>
        <w:rPr>
          <w:rFonts w:ascii="Times New Roman" w:hAnsi="Times New Roman"/>
          <w:sz w:val="24"/>
        </w:rPr>
        <w:t>[8] B. A. Becker, P. Denny, J. Finnie-Ansley, A. Luxton-Reilly, and J. Prather, "Programming Is Hard - Or at Least It Used to Be: Educational Opportunities and Challenges of AI Code Generation," In Proceedings of the 54th ACM Technical Symposium on Computer Science Education (SIGCSE), pp. 500-506, 2023.</w:t>
      </w:r>
    </w:p>
    <w:p>
      <w:pPr>
        <w:spacing w:before="240" w:after="80" w:line="360" w:lineRule="auto"/>
      </w:pPr>
      <w:r>
        <w:rPr>
          <w:rFonts w:ascii="Times New Roman" w:hAnsi="Times New Roman"/>
          <w:b/>
          <w:sz w:val="26"/>
        </w:rPr>
        <w:t>Books:</w:t>
      </w:r>
    </w:p>
    <w:p>
      <w:pPr>
        <w:spacing w:after="120" w:line="276" w:lineRule="auto"/>
        <w:jc w:val="both"/>
      </w:pPr>
      <w:r>
        <w:rPr>
          <w:rFonts w:ascii="Times New Roman" w:hAnsi="Times New Roman"/>
          <w:sz w:val="24"/>
        </w:rPr>
        <w:t>[9] K. VanLehn, "The Relative Effectiveness of Human Tutoring, Intelligent Tutoring Systems, and Other Tutoring Systems," Educational Psychologist, Lawrence Erlbaum Associates, 2011.</w:t>
      </w:r>
    </w:p>
    <w:p>
      <w:pPr>
        <w:spacing w:after="120" w:line="276" w:lineRule="auto"/>
        <w:jc w:val="both"/>
      </w:pPr>
      <w:r>
        <w:rPr>
          <w:rFonts w:ascii="Times New Roman" w:hAnsi="Times New Roman"/>
          <w:sz w:val="24"/>
        </w:rPr>
        <w:t>[10] S. Russell and P. Norvig, Artificial Intelligence: A Modern Approach, 4th ed., Pearson, 2020.</w:t>
      </w:r>
    </w:p>
    <w:p>
      <w:pPr>
        <w:spacing w:before="240" w:after="80" w:line="360" w:lineRule="auto"/>
      </w:pPr>
      <w:r>
        <w:rPr>
          <w:rFonts w:ascii="Times New Roman" w:hAnsi="Times New Roman"/>
          <w:b/>
          <w:sz w:val="26"/>
        </w:rPr>
        <w:t>Weblinks &amp; Standards:</w:t>
      </w:r>
    </w:p>
    <w:p>
      <w:pPr>
        <w:spacing w:after="120" w:line="276" w:lineRule="auto"/>
        <w:jc w:val="both"/>
      </w:pPr>
      <w:r>
        <w:rPr>
          <w:rFonts w:ascii="Times New Roman" w:hAnsi="Times New Roman"/>
          <w:sz w:val="24"/>
        </w:rPr>
        <w:t>[11] LangGraph Framework Documentation, LangChain AI, 2024. [Online]. Available: https://langchain-ai.github.io/langgraph/</w:t>
      </w:r>
    </w:p>
    <w:p>
      <w:pPr>
        <w:spacing w:after="120" w:line="276" w:lineRule="auto"/>
        <w:jc w:val="both"/>
      </w:pPr>
      <w:r>
        <w:rPr>
          <w:rFonts w:ascii="Times New Roman" w:hAnsi="Times New Roman"/>
          <w:sz w:val="24"/>
        </w:rPr>
        <w:t>[12] World Wide Web Consortium (W3C), "Web Content Accessibility Guidelines (WCAG) 2.1," W3C Recommendation, 2018. [Online]. Available: https://www.w3.org/TR/WCAG21/</w:t>
      </w:r>
    </w:p>
    <w:p>
      <w:pPr>
        <w:spacing w:after="120" w:line="276" w:lineRule="auto"/>
        <w:jc w:val="both"/>
      </w:pPr>
      <w:r>
        <w:rPr>
          <w:rFonts w:ascii="Times New Roman" w:hAnsi="Times New Roman"/>
          <w:sz w:val="24"/>
        </w:rPr>
        <w:t>[13] PostgreSQL Global Development Group, "pgvector: Vector similarity search for PostgreSQL," 2024. [Online]. Available: https://github.com/pgvector/pgvector</w:t>
      </w: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