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left"/>
      </w:pPr>
      <w:r>
        <w:rPr>
          <w:rFonts w:ascii="Segoe UI" w:cs="Segoe UI" w:eastAsia="Segoe UI" w:hAnsi="Segoe UI"/>
          <w:b/>
          <w:bCs/>
          <w:color w:val="004682"/>
          <w:sz w:val="40"/>
          <w:szCs w:val="40"/>
        </w:rPr>
        <w:t xml:space="preserve">Cin7 Sync Portal — Plan</w:t>
      </w:r>
    </w:p>
    <w:p>
      <w:pPr>
        <w:spacing w:after="120" w:before="0"/>
        <w:jc w:val="left"/>
      </w:pPr>
      <w:r>
        <w:rPr>
          <w:rFonts w:ascii="Segoe UI" w:cs="Segoe UI" w:eastAsia="Segoe UI" w:hAnsi="Segoe UI"/>
          <w:i/>
          <w:iCs/>
          <w:color w:val="5A6A80"/>
          <w:sz w:val="22"/>
          <w:szCs w:val="22"/>
        </w:rPr>
        <w:t xml:space="preserve">VNC Global Group — written in plain language, for everyone on the team</w:t>
      </w:r>
    </w:p>
    <w:p>
      <w:pPr>
        <w:spacing w:after="240" w:before="0"/>
        <w:jc w:val="left"/>
      </w:pPr>
      <w:r>
        <w:rPr>
          <w:rFonts w:ascii="Segoe UI" w:cs="Segoe UI" w:eastAsia="Segoe UI" w:hAnsi="Segoe UI"/>
          <w:b/>
          <w:bCs/>
          <w:color w:val="16A34A"/>
          <w:sz w:val="20"/>
          <w:szCs w:val="20"/>
        </w:rPr>
        <w:t xml:space="preserve">Status: </w:t>
      </w:r>
      <w:r>
        <w:rPr>
          <w:rFonts w:ascii="Segoe UI" w:cs="Segoe UI" w:eastAsia="Segoe UI" w:hAnsi="Segoe UI"/>
          <w:color w:val="16A34A"/>
          <w:sz w:val="20"/>
          <w:szCs w:val="20"/>
        </w:rPr>
        <w:t xml:space="preserve">Active production system, running live at — </w:t>
      </w:r>
      <w:r>
        <w:rPr>
          <w:rFonts w:ascii="Segoe UI" w:cs="Segoe UI" w:eastAsia="Segoe UI" w:hAnsi="Segoe UI"/>
          <w:b/>
          <w:bCs/>
          <w:color w:val="047857"/>
          <w:sz w:val="20"/>
          <w:szCs w:val="20"/>
        </w:rPr>
        <w:t xml:space="preserve">http://192.168.0.202:2121/</w:t>
      </w:r>
    </w:p>
    <w:p>
      <w:pPr>
        <w:pStyle w:val="Heading1"/>
        <w:spacing w:after="120" w:before="300"/>
      </w:pPr>
      <w:r>
        <w:rPr>
          <w:rFonts w:ascii="Segoe UI" w:cs="Segoe UI" w:eastAsia="Segoe UI" w:hAnsi="Segoe UI"/>
          <w:b/>
          <w:bCs/>
          <w:color w:val="004682"/>
          <w:sz w:val="28"/>
          <w:szCs w:val="28"/>
        </w:rPr>
        <w:t xml:space="preserve">1. What are we building, in one paragraph?</w:t>
      </w:r>
    </w:p>
    <w:p>
      <w:pPr>
        <w:spacing w:after="80" w:before="40"/>
      </w:pPr>
      <w:r>
        <w:rPr>
          <w:rFonts w:ascii="Segoe UI" w:cs="Segoe UI" w:eastAsia="Segoe UI" w:hAnsi="Segoe UI"/>
          <w:color w:val="1E293B"/>
          <w:sz w:val="21"/>
          <w:szCs w:val="21"/>
        </w:rPr>
        <w:t xml:space="preserve">A client or VNC financial controller needs live actuals from Cin7 Core ERP (Sales Orders, Inventory On Hand, and Purchase Orders) reflected in their Master Financial Reporting Model. Instead of manually downloading CSV files, reformatting dates and numbers, and copy-pasting for hours every week, this portal lets the client connect their Cin7 account once. The portal automatically extracts the live data, organizes and enriches it with product categories and brand names, stores it securely in our database, and writes it directly into a pre-formatted 17-worksheet Microsoft Excel Online or Google Sheets master workbook. With one click (or on a daily 02:00 AM schedule), their reporting model is 100% up to date — with zero Excel add-ins needed on their computer.</w:t>
      </w:r>
    </w:p>
    <w:p>
      <w:pPr>
        <w:pStyle w:val="Heading1"/>
        <w:spacing w:after="120" w:before="300"/>
      </w:pPr>
      <w:r>
        <w:rPr>
          <w:rFonts w:ascii="Segoe UI" w:cs="Segoe UI" w:eastAsia="Segoe UI" w:hAnsi="Segoe UI"/>
          <w:b/>
          <w:bCs/>
          <w:color w:val="004682"/>
          <w:sz w:val="28"/>
          <w:szCs w:val="28"/>
        </w:rPr>
        <w:t xml:space="preserve">2. Two rules that protect VNC, before anything else</w:t>
      </w:r>
    </w:p>
    <w:p>
      <w:pPr>
        <w:pStyle w:val="Heading2"/>
        <w:spacing w:after="80" w:before="220"/>
      </w:pPr>
      <w:r>
        <w:rPr>
          <w:rFonts w:ascii="Segoe UI" w:cs="Segoe UI" w:eastAsia="Segoe UI" w:hAnsi="Segoe UI"/>
          <w:b/>
          <w:bCs/>
          <w:color w:val="2F8FED"/>
          <w:sz w:val="24"/>
          <w:szCs w:val="24"/>
        </w:rPr>
        <w:t xml:space="preserve">2.1 We never give clients a raw downloadable spreadsheet as the product</w:t>
      </w:r>
    </w:p>
    <w:p>
      <w:pPr>
        <w:spacing w:after="80" w:before="40"/>
      </w:pPr>
      <w:r>
        <w:rPr>
          <w:rFonts w:ascii="Segoe UI" w:cs="Segoe UI" w:eastAsia="Segoe UI" w:hAnsi="Segoe UI"/>
          <w:color w:val="1E293B"/>
          <w:sz w:val="21"/>
          <w:szCs w:val="21"/>
        </w:rPr>
        <w:t xml:space="preserve">The reporting workbook is not sold as a one-off downloadable file. It remains a managed cloud service hosted in Microsoft Excel Online or Google Sheets under VNC cloud controls. The browser portal is the control room: when a subscription is active, the client clicks "Open Workbook" and accesses their live report. If a subscription lapses, access to the workbook is suspended. This protects VNC's intellectual property and the proprietary financial model formulas.</w:t>
      </w:r>
    </w:p>
    <w:p>
      <w:pPr>
        <w:pStyle w:val="Heading2"/>
        <w:spacing w:after="80" w:before="220"/>
      </w:pPr>
      <w:r>
        <w:rPr>
          <w:rFonts w:ascii="Segoe UI" w:cs="Segoe UI" w:eastAsia="Segoe UI" w:hAnsi="Segoe UI"/>
          <w:b/>
          <w:bCs/>
          <w:color w:val="2F8FED"/>
          <w:sz w:val="24"/>
          <w:szCs w:val="24"/>
        </w:rPr>
        <w:t xml:space="preserve">2.2 Client data and credentials never cross or leak</w:t>
      </w:r>
    </w:p>
    <w:p>
      <w:pPr>
        <w:spacing w:after="80" w:before="40"/>
      </w:pPr>
      <w:r>
        <w:rPr>
          <w:rFonts w:ascii="Segoe UI" w:cs="Segoe UI" w:eastAsia="Segoe UI" w:hAnsi="Segoe UI"/>
          <w:color w:val="1E293B"/>
          <w:sz w:val="21"/>
          <w:szCs w:val="21"/>
        </w:rPr>
        <w:t xml:space="preserve">This is the single most important security rule in the entire system: Every client organization is completely walled off from every other client. Cin7 API keys and passwords are encrypted with AES-256-GCM before they ever touch the database and are never shown in browser screens or log files. Furthermore, every single database query is locked to that specific client ID at the PostgreSQL database engine level (using Row Level Security and session variables). One client can never see, sync, or access another client's data — not because we hope they won't, but because the database code physically forbids it.</w:t>
      </w:r>
    </w:p>
    <w:p>
      <w:pPr>
        <w:pStyle w:val="Heading1"/>
        <w:spacing w:after="120" w:before="300"/>
      </w:pPr>
      <w:r>
        <w:rPr>
          <w:rFonts w:ascii="Segoe UI" w:cs="Segoe UI" w:eastAsia="Segoe UI" w:hAnsi="Segoe UI"/>
          <w:b/>
          <w:bCs/>
          <w:color w:val="004682"/>
          <w:sz w:val="28"/>
          <w:szCs w:val="28"/>
        </w:rPr>
        <w:t xml:space="preserve">3. How it works, step by step</w:t>
      </w:r>
    </w:p>
    <w:p>
      <w:pPr>
        <w:spacing w:after="60" w:before="60"/>
      </w:pPr>
      <w:r>
        <w:rPr>
          <w:rFonts w:ascii="Segoe UI" w:cs="Segoe UI" w:eastAsia="Segoe UI" w:hAnsi="Segoe UI"/>
          <w:b/>
          <w:bCs/>
          <w:color w:val="004682"/>
          <w:sz w:val="21"/>
          <w:szCs w:val="21"/>
        </w:rPr>
        <w:t xml:space="preserve">1. Log in &amp; choose platform</w:t>
      </w:r>
      <w:r>
        <w:rPr>
          <w:rFonts w:ascii="Segoe UI" w:cs="Segoe UI" w:eastAsia="Segoe UI" w:hAnsi="Segoe UI"/>
          <w:color w:val="1E293B"/>
          <w:sz w:val="21"/>
          <w:szCs w:val="21"/>
        </w:rPr>
        <w:t xml:space="preserve"> — The client logs into http://192.168.0.202:2121/ (or signs in with Microsoft/Google SSO) and selects whether they want their reports in Microsoft Excel Online or Google Sheets.</w:t>
      </w:r>
    </w:p>
    <w:p>
      <w:pPr>
        <w:spacing w:after="60" w:before="60"/>
      </w:pPr>
      <w:r>
        <w:rPr>
          <w:rFonts w:ascii="Segoe UI" w:cs="Segoe UI" w:eastAsia="Segoe UI" w:hAnsi="Segoe UI"/>
          <w:b/>
          <w:bCs/>
          <w:color w:val="004682"/>
          <w:sz w:val="21"/>
          <w:szCs w:val="21"/>
        </w:rPr>
        <w:t xml:space="preserve">2. Connect Cin7 account</w:t>
      </w:r>
      <w:r>
        <w:rPr>
          <w:rFonts w:ascii="Segoe UI" w:cs="Segoe UI" w:eastAsia="Segoe UI" w:hAnsi="Segoe UI"/>
          <w:color w:val="1E293B"/>
          <w:sz w:val="21"/>
          <w:szCs w:val="21"/>
        </w:rPr>
        <w:t xml:space="preserve"> — The client enters their Cin7 Core Account ID and API Key. The portal tests the connection in real time to make sure it works, encrypts the credentials, and saves them securely.</w:t>
      </w:r>
    </w:p>
    <w:p>
      <w:pPr>
        <w:spacing w:after="60" w:before="60"/>
      </w:pPr>
      <w:r>
        <w:rPr>
          <w:rFonts w:ascii="Segoe UI" w:cs="Segoe UI" w:eastAsia="Segoe UI" w:hAnsi="Segoe UI"/>
          <w:b/>
          <w:bCs/>
          <w:color w:val="004682"/>
          <w:sz w:val="21"/>
          <w:szCs w:val="21"/>
        </w:rPr>
        <w:t xml:space="preserve">3. Set up the cloud workbook</w:t>
      </w:r>
      <w:r>
        <w:rPr>
          <w:rFonts w:ascii="Segoe UI" w:cs="Segoe UI" w:eastAsia="Segoe UI" w:hAnsi="Segoe UI"/>
          <w:color w:val="1E293B"/>
          <w:sz w:val="21"/>
          <w:szCs w:val="21"/>
        </w:rPr>
        <w:t xml:space="preserve"> — The portal creates a private, isolated folder in the cloud for the client (CLIENTS/ClientName/Current/) and clones the 17-worksheet Master Financial Model template.</w:t>
      </w:r>
    </w:p>
    <w:p>
      <w:pPr>
        <w:spacing w:after="60" w:before="60"/>
      </w:pPr>
      <w:r>
        <w:rPr>
          <w:rFonts w:ascii="Segoe UI" w:cs="Segoe UI" w:eastAsia="Segoe UI" w:hAnsi="Segoe UI"/>
          <w:b/>
          <w:bCs/>
          <w:color w:val="004682"/>
          <w:sz w:val="21"/>
          <w:szCs w:val="21"/>
        </w:rPr>
        <w:t xml:space="preserve">4. Sync data with one click</w:t>
      </w:r>
      <w:r>
        <w:rPr>
          <w:rFonts w:ascii="Segoe UI" w:cs="Segoe UI" w:eastAsia="Segoe UI" w:hAnsi="Segoe UI"/>
          <w:color w:val="1E293B"/>
          <w:sz w:val="21"/>
          <w:szCs w:val="21"/>
        </w:rPr>
        <w:t xml:space="preserve"> — The user clicks "Sync All Data" on the dashboard (or the system runs automatically at 02:00 AM). A background lock stops duplicate syncs from running at the same time.</w:t>
      </w:r>
    </w:p>
    <w:p>
      <w:pPr>
        <w:spacing w:after="60" w:before="60"/>
      </w:pPr>
      <w:r>
        <w:rPr>
          <w:rFonts w:ascii="Segoe UI" w:cs="Segoe UI" w:eastAsia="Segoe UI" w:hAnsi="Segoe UI"/>
          <w:b/>
          <w:bCs/>
          <w:color w:val="004682"/>
          <w:sz w:val="21"/>
          <w:szCs w:val="21"/>
        </w:rPr>
        <w:t xml:space="preserve">5. Extract &amp; enrich from Cin7</w:t>
      </w:r>
      <w:r>
        <w:rPr>
          <w:rFonts w:ascii="Segoe UI" w:cs="Segoe UI" w:eastAsia="Segoe UI" w:hAnsi="Segoe UI"/>
          <w:color w:val="1E293B"/>
          <w:sz w:val="21"/>
          <w:szCs w:val="21"/>
        </w:rPr>
        <w:t xml:space="preserve"> — Our sync engine queries Cin7 Core: it pulls Sales Orders, line item product details (adding Brand, Category, Family), Inventory On Hand, and Purchase Orders — carefully paced at 54 requests/minute so Cin7 never blocks us.</w:t>
      </w:r>
    </w:p>
    <w:p>
      <w:pPr>
        <w:spacing w:after="60" w:before="60"/>
      </w:pPr>
      <w:r>
        <w:rPr>
          <w:rFonts w:ascii="Segoe UI" w:cs="Segoe UI" w:eastAsia="Segoe UI" w:hAnsi="Segoe UI"/>
          <w:b/>
          <w:bCs/>
          <w:color w:val="004682"/>
          <w:sz w:val="21"/>
          <w:szCs w:val="21"/>
        </w:rPr>
        <w:t xml:space="preserve">6. Save in our database</w:t>
      </w:r>
      <w:r>
        <w:rPr>
          <w:rFonts w:ascii="Segoe UI" w:cs="Segoe UI" w:eastAsia="Segoe UI" w:hAnsi="Segoe UI"/>
          <w:color w:val="1E293B"/>
          <w:sz w:val="21"/>
          <w:szCs w:val="21"/>
        </w:rPr>
        <w:t xml:space="preserve"> — All data is cached and saved into our AWS Supabase PostgreSQL database tables so historical records survive restarts and fast incremental re-syncs can run.</w:t>
      </w:r>
    </w:p>
    <w:p>
      <w:pPr>
        <w:spacing w:after="60" w:before="60"/>
      </w:pPr>
      <w:r>
        <w:rPr>
          <w:rFonts w:ascii="Segoe UI" w:cs="Segoe UI" w:eastAsia="Segoe UI" w:hAnsi="Segoe UI"/>
          <w:b/>
          <w:bCs/>
          <w:color w:val="004682"/>
          <w:sz w:val="21"/>
          <w:szCs w:val="21"/>
        </w:rPr>
        <w:t xml:space="preserve">7. Write into the master workbook</w:t>
      </w:r>
      <w:r>
        <w:rPr>
          <w:rFonts w:ascii="Segoe UI" w:cs="Segoe UI" w:eastAsia="Segoe UI" w:hAnsi="Segoe UI"/>
          <w:color w:val="1E293B"/>
          <w:sz w:val="21"/>
          <w:szCs w:val="21"/>
        </w:rPr>
        <w:t xml:space="preserve"> — Our destination adapter formats the numbers, applies KPI summary cards and clean styling, and writes the data into the 4 canonical raw-data worksheets without touching the existing formulas.</w:t>
      </w:r>
    </w:p>
    <w:p>
      <w:pPr>
        <w:spacing w:after="60" w:before="60"/>
      </w:pPr>
      <w:r>
        <w:rPr>
          <w:rFonts w:ascii="Segoe UI" w:cs="Segoe UI" w:eastAsia="Segoe UI" w:hAnsi="Segoe UI"/>
          <w:b/>
          <w:bCs/>
          <w:color w:val="004682"/>
          <w:sz w:val="21"/>
          <w:szCs w:val="21"/>
        </w:rPr>
        <w:t xml:space="preserve">8. Log the audit trail</w:t>
      </w:r>
      <w:r>
        <w:rPr>
          <w:rFonts w:ascii="Segoe UI" w:cs="Segoe UI" w:eastAsia="Segoe UI" w:hAnsi="Segoe UI"/>
          <w:color w:val="1E293B"/>
          <w:sz w:val="21"/>
          <w:szCs w:val="21"/>
        </w:rPr>
        <w:t xml:space="preserve"> — The run duration, record counts, and timestamp are saved in the audit log, and the workbook version increments (e.g. v1.0 -&gt; v2.0).</w:t>
      </w:r>
    </w:p>
    <w:p>
      <w:pPr>
        <w:spacing w:after="60" w:before="60"/>
      </w:pPr>
      <w:r>
        <w:rPr>
          <w:rFonts w:ascii="Segoe UI" w:cs="Segoe UI" w:eastAsia="Segoe UI" w:hAnsi="Segoe UI"/>
          <w:b/>
          <w:bCs/>
          <w:color w:val="004682"/>
          <w:sz w:val="21"/>
          <w:szCs w:val="21"/>
        </w:rPr>
        <w:t xml:space="preserve">9. Open and work</w:t>
      </w:r>
      <w:r>
        <w:rPr>
          <w:rFonts w:ascii="Segoe UI" w:cs="Segoe UI" w:eastAsia="Segoe UI" w:hAnsi="Segoe UI"/>
          <w:color w:val="1E293B"/>
          <w:sz w:val="21"/>
          <w:szCs w:val="21"/>
        </w:rPr>
        <w:t xml:space="preserve"> — The client clicks "Open Workbook" on their dashboard and is taken directly to their live, updated cloud spreadsheet.</w:t>
      </w:r>
    </w:p>
    <w:p>
      <w:pPr>
        <w:spacing w:after="120"/>
      </w:pPr>
    </w:p>
    <w:p>
      <w:pPr>
        <w:pStyle w:val="Heading1"/>
        <w:spacing w:after="120" w:before="300"/>
      </w:pPr>
      <w:r>
        <w:rPr>
          <w:rFonts w:ascii="Segoe UI" w:cs="Segoe UI" w:eastAsia="Segoe UI" w:hAnsi="Segoe UI"/>
          <w:b/>
          <w:bCs/>
          <w:color w:val="004682"/>
          <w:sz w:val="28"/>
          <w:szCs w:val="28"/>
        </w:rPr>
        <w:t xml:space="preserve">4. The Two Platform Choices: Excel Online vs. Google Sheets</w:t>
      </w:r>
    </w:p>
    <w:p>
      <w:pPr>
        <w:spacing w:after="80" w:before="40"/>
      </w:pPr>
      <w:r>
        <w:rPr>
          <w:rFonts w:ascii="Segoe UI" w:cs="Segoe UI" w:eastAsia="Segoe UI" w:hAnsi="Segoe UI"/>
          <w:color w:val="1E293B"/>
          <w:sz w:val="21"/>
          <w:szCs w:val="21"/>
        </w:rPr>
        <w:t xml:space="preserve">Every client gets to choose their preferred cloud spreadsheet environment during onboarding. Both platforms connect to the same live Cin7 sync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Feature / Platform</w:t>
            </w:r>
          </w:p>
        </w:tc>
        <w:tc>
          <w:tcPr>
            <w:tcW w:type="pct" w:w="38%"/>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Microsoft Excel Online (OneDrive / 365)</w:t>
            </w:r>
          </w:p>
        </w:tc>
        <w:tc>
          <w:tcPr>
            <w:tcW w:type="pct" w:w="37%"/>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Google Sheets (Google Workspace)</w:t>
            </w:r>
          </w:p>
        </w:tc>
      </w:tr>
      <w:tr>
        <w:tc>
          <w:tcPr>
            <w:tcW w:type="pct" w:w="2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Best For</w:t>
            </w:r>
          </w:p>
        </w:tc>
        <w:tc>
          <w:tcPr>
            <w:tcW w:type="pct" w:w="38%"/>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Finance teams with complex Excel models, PivotTables, and financial macros</w:t>
            </w:r>
          </w:p>
        </w:tc>
        <w:tc>
          <w:tcPr>
            <w:tcW w:type="pct" w:w="37%"/>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Google Workspace teams who prefer lightweight browser collaboration</w:t>
            </w:r>
          </w:p>
        </w:tc>
      </w:tr>
      <w:tr>
        <w:tc>
          <w:tcPr>
            <w:tcW w:type="pct" w:w="25%"/>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Master Template</w:t>
            </w:r>
          </w:p>
        </w:tc>
        <w:tc>
          <w:tcPr>
            <w:tcW w:type="pct" w:w="38%"/>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Controller_Reporting_Model_v5_Cin7_Actuals.xlsx (17 worksheets preserved)</w:t>
            </w:r>
          </w:p>
        </w:tc>
        <w:tc>
          <w:tcPr>
            <w:tcW w:type="pct" w:w="37%"/>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Google Master Template (1Qnx6RdCgI7krHtZru10J6r11ZpIkubCSR1jzUbs5G9Q)</w:t>
            </w:r>
          </w:p>
        </w:tc>
      </w:tr>
      <w:tr>
        <w:tc>
          <w:tcPr>
            <w:tcW w:type="pct" w:w="2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Technology Used</w:t>
            </w:r>
          </w:p>
        </w:tc>
        <w:tc>
          <w:tcPr>
            <w:tcW w:type="pct" w:w="38%"/>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Microsoft Graph API &amp; ExcelJS library</w:t>
            </w:r>
          </w:p>
        </w:tc>
        <w:tc>
          <w:tcPr>
            <w:tcW w:type="pct" w:w="37%"/>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Google Drive API &amp; Google Sheets API v4</w:t>
            </w:r>
          </w:p>
        </w:tc>
      </w:tr>
      <w:tr>
        <w:tc>
          <w:tcPr>
            <w:tcW w:type="pct" w:w="25%"/>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Local Installation</w:t>
            </w:r>
          </w:p>
        </w:tc>
        <w:tc>
          <w:tcPr>
            <w:tcW w:type="pct" w:w="38%"/>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Zero install — opens directly in browser Excel Online</w:t>
            </w:r>
          </w:p>
        </w:tc>
        <w:tc>
          <w:tcPr>
            <w:tcW w:type="pct" w:w="37%"/>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Zero install — opens directly in Google Sheets</w:t>
            </w:r>
          </w:p>
        </w:tc>
      </w:tr>
      <w:tr>
        <w:tc>
          <w:tcPr>
            <w:tcW w:type="pct" w:w="2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Compatibility</w:t>
            </w:r>
          </w:p>
        </w:tc>
        <w:tc>
          <w:tcPr>
            <w:tcW w:type="pct" w:w="38%"/>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100% full formula, chart, and named range preservation</w:t>
            </w:r>
          </w:p>
        </w:tc>
        <w:tc>
          <w:tcPr>
            <w:tcW w:type="pct" w:w="37%"/>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Full raw data sync with Google Sheets native formulas</w:t>
            </w:r>
          </w:p>
        </w:tc>
      </w:tr>
    </w:tbl>
    <w:p>
      <w:pPr>
        <w:spacing w:after="120"/>
      </w:pPr>
    </w:p>
    <w:p>
      <w:pPr>
        <w:pStyle w:val="Heading1"/>
        <w:spacing w:after="120" w:before="300"/>
      </w:pPr>
      <w:r>
        <w:rPr>
          <w:rFonts w:ascii="Segoe UI" w:cs="Segoe UI" w:eastAsia="Segoe UI" w:hAnsi="Segoe UI"/>
          <w:b/>
          <w:bCs/>
          <w:color w:val="004682"/>
          <w:sz w:val="28"/>
          <w:szCs w:val="28"/>
        </w:rPr>
        <w:t xml:space="preserve">5. How the data stays safe and isolated</w:t>
      </w:r>
    </w:p>
    <w:p>
      <w:pPr>
        <w:spacing w:after="80" w:before="40"/>
      </w:pPr>
      <w:r>
        <w:rPr>
          <w:rFonts w:ascii="Segoe UI" w:cs="Segoe UI" w:eastAsia="Segoe UI" w:hAnsi="Segoe UI"/>
          <w:color w:val="1E293B"/>
          <w:sz w:val="21"/>
          <w:szCs w:val="21"/>
        </w:rPr>
        <w:t xml:space="preserve">Because financial and inventory data is commercially sensitive, the system enforces multiple layers of protection:</w:t>
      </w:r>
    </w:p>
    <w:p>
      <w:pPr>
        <w:pStyle w:val="ListParagraph"/>
        <w:numPr>
          <w:ilvl w:val="0"/>
          <w:numId w:val="1"/>
        </w:numPr>
        <w:spacing w:after="40" w:before="40"/>
      </w:pPr>
      <w:r>
        <w:rPr>
          <w:rFonts w:ascii="Segoe UI" w:cs="Segoe UI" w:eastAsia="Segoe UI" w:hAnsi="Segoe UI"/>
          <w:color w:val="1E293B"/>
          <w:sz w:val="21"/>
          <w:szCs w:val="21"/>
        </w:rPr>
        <w:t xml:space="preserve">Credentials are encrypted at rest with AES-256-GCM — even database administrators cannot read stored Cin7 API keys in plaintext.</w:t>
      </w:r>
    </w:p>
    <w:p>
      <w:pPr>
        <w:pStyle w:val="ListParagraph"/>
        <w:numPr>
          <w:ilvl w:val="0"/>
          <w:numId w:val="1"/>
        </w:numPr>
        <w:spacing w:after="40" w:before="40"/>
      </w:pPr>
      <w:r>
        <w:rPr>
          <w:rFonts w:ascii="Segoe UI" w:cs="Segoe UI" w:eastAsia="Segoe UI" w:hAnsi="Segoe UI"/>
          <w:color w:val="1E293B"/>
          <w:sz w:val="21"/>
          <w:szCs w:val="21"/>
        </w:rPr>
        <w:t xml:space="preserve">Tenant isolation via PostgreSQL Row Level Security (RLS) — every query is strictly filtered by the authenticated user's client_id.</w:t>
      </w:r>
    </w:p>
    <w:p>
      <w:pPr>
        <w:pStyle w:val="ListParagraph"/>
        <w:numPr>
          <w:ilvl w:val="0"/>
          <w:numId w:val="1"/>
        </w:numPr>
        <w:spacing w:after="40" w:before="40"/>
      </w:pPr>
      <w:r>
        <w:rPr>
          <w:rFonts w:ascii="Segoe UI" w:cs="Segoe UI" w:eastAsia="Segoe UI" w:hAnsi="Segoe UI"/>
          <w:color w:val="1E293B"/>
          <w:sz w:val="21"/>
          <w:szCs w:val="21"/>
        </w:rPr>
        <w:t xml:space="preserve">HTTP-only, SameSite=Strict secure session cookies — preventing session hijacking and cross-site scripting attacks.</w:t>
      </w:r>
    </w:p>
    <w:p>
      <w:pPr>
        <w:pStyle w:val="ListParagraph"/>
        <w:numPr>
          <w:ilvl w:val="0"/>
          <w:numId w:val="1"/>
        </w:numPr>
        <w:spacing w:after="40" w:before="40"/>
      </w:pPr>
      <w:r>
        <w:rPr>
          <w:rFonts w:ascii="Segoe UI" w:cs="Segoe UI" w:eastAsia="Segoe UI" w:hAnsi="Segoe UI"/>
          <w:color w:val="1E293B"/>
          <w:sz w:val="21"/>
          <w:szCs w:val="21"/>
        </w:rPr>
        <w:t xml:space="preserve">Outbound request validation (SSRF Protection) — preventing unauthorized internal network requests.</w:t>
      </w:r>
    </w:p>
    <w:p>
      <w:pPr>
        <w:pStyle w:val="ListParagraph"/>
        <w:numPr>
          <w:ilvl w:val="0"/>
          <w:numId w:val="1"/>
        </w:numPr>
        <w:spacing w:after="40" w:before="40"/>
      </w:pPr>
      <w:r>
        <w:rPr>
          <w:rFonts w:ascii="Segoe UI" w:cs="Segoe UI" w:eastAsia="Segoe UI" w:hAnsi="Segoe UI"/>
          <w:color w:val="1E293B"/>
          <w:sz w:val="21"/>
          <w:szCs w:val="21"/>
        </w:rPr>
        <w:t xml:space="preserve">Role-Based Access Control (RBAC) — regular team members can only view data; only Admins can change connections or schedules.</w:t>
      </w:r>
    </w:p>
    <w:p>
      <w:pPr>
        <w:pStyle w:val="Heading1"/>
        <w:spacing w:after="120" w:before="300"/>
      </w:pPr>
      <w:r>
        <w:rPr>
          <w:rFonts w:ascii="Segoe UI" w:cs="Segoe UI" w:eastAsia="Segoe UI" w:hAnsi="Segoe UI"/>
          <w:b/>
          <w:bCs/>
          <w:color w:val="004682"/>
          <w:sz w:val="28"/>
          <w:szCs w:val="28"/>
        </w:rPr>
        <w:t xml:space="preserve">6. What is already live and testable right now</w:t>
      </w:r>
    </w:p>
    <w:p>
      <w:pPr>
        <w:spacing w:after="80" w:before="40"/>
      </w:pPr>
      <w:r>
        <w:rPr>
          <w:rFonts w:ascii="Segoe UI" w:cs="Segoe UI" w:eastAsia="Segoe UI" w:hAnsi="Segoe UI"/>
          <w:color w:val="1E293B"/>
          <w:sz w:val="21"/>
          <w:szCs w:val="21"/>
        </w:rPr>
        <w:t xml:space="preserve">The portal is not just a concept — it is actively built, connected, and running right now at http://192.168.0.202:2121/. Here is what you can test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Module / Area</w:t>
            </w:r>
          </w:p>
        </w:tc>
        <w:tc>
          <w:tcPr>
            <w:tcW w:type="pct" w:w="23%"/>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Where It Lives</w:t>
            </w:r>
          </w:p>
        </w:tc>
        <w:tc>
          <w:tcPr>
            <w:tcW w:type="pct" w:w="55%"/>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What Is Working Right Now</w:t>
            </w:r>
          </w:p>
        </w:tc>
      </w:tr>
      <w:tr>
        <w:tc>
          <w:tcPr>
            <w:tcW w:type="pct" w:w="22%"/>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Live Web Portal</w:t>
            </w:r>
          </w:p>
        </w:tc>
        <w:tc>
          <w:tcPr>
            <w:tcW w:type="pct" w:w="23%"/>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http://192.168.0.202:2121/</w:t>
            </w:r>
          </w:p>
        </w:tc>
        <w:tc>
          <w:tcPr>
            <w:tcW w:type="pct" w:w="5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Full browser interface with Sign-in, Split Hero Billboard, Client Switcher, and Theme controls.</w:t>
            </w:r>
          </w:p>
        </w:tc>
      </w:tr>
      <w:tr>
        <w:tc>
          <w:tcPr>
            <w:tcW w:type="pct" w:w="22%"/>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Multi-Tenant Database</w:t>
            </w:r>
          </w:p>
        </w:tc>
        <w:tc>
          <w:tcPr>
            <w:tcW w:type="pct" w:w="23%"/>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AWS Supabase (ap-southeast-1)</w:t>
            </w:r>
          </w:p>
        </w:tc>
        <w:tc>
          <w:tcPr>
            <w:tcW w:type="pct" w:w="55%"/>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14 relational tables active with Row Level Security, session variables, and encrypted credential storage.</w:t>
            </w:r>
          </w:p>
        </w:tc>
      </w:tr>
      <w:tr>
        <w:tc>
          <w:tcPr>
            <w:tcW w:type="pct" w:w="22%"/>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Cin7 Core API Engine</w:t>
            </w:r>
          </w:p>
        </w:tc>
        <w:tc>
          <w:tcPr>
            <w:tcW w:type="pct" w:w="23%"/>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inventory.dearsystems.com</w:t>
            </w:r>
          </w:p>
        </w:tc>
        <w:tc>
          <w:tcPr>
            <w:tcW w:type="pct" w:w="5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Live connection to Cin7 Core REST API with rate pacing (54 req/min), retry on 429 errors, and caching.</w:t>
            </w:r>
          </w:p>
        </w:tc>
      </w:tr>
      <w:tr>
        <w:tc>
          <w:tcPr>
            <w:tcW w:type="pct" w:w="22%"/>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Google Sheets Integration</w:t>
            </w:r>
          </w:p>
        </w:tc>
        <w:tc>
          <w:tcPr>
            <w:tcW w:type="pct" w:w="23%"/>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cin7-sheets / Google Cloud</w:t>
            </w:r>
          </w:p>
        </w:tc>
        <w:tc>
          <w:tcPr>
            <w:tcW w:type="pct" w:w="55%"/>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Connected to Google Drive/Sheets API using active master template 1Qnx6RdCgI7krHtZru10J6r11ZpIkubCSR1jzUbs5G9Q.</w:t>
            </w:r>
          </w:p>
        </w:tc>
      </w:tr>
      <w:tr>
        <w:tc>
          <w:tcPr>
            <w:tcW w:type="pct" w:w="22%"/>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Excel Online Generation</w:t>
            </w:r>
          </w:p>
        </w:tc>
        <w:tc>
          <w:tcPr>
            <w:tcW w:type="pct" w:w="23%"/>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Microsoft Graph / ExcelJS</w:t>
            </w:r>
          </w:p>
        </w:tc>
        <w:tc>
          <w:tcPr>
            <w:tcW w:type="pct" w:w="5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Generates 4 canonical sheets (Sales, Inventory, Purchase Orders, Sync Log) with KPI cards and zebra formatting.</w:t>
            </w:r>
          </w:p>
        </w:tc>
      </w:tr>
      <w:tr>
        <w:tc>
          <w:tcPr>
            <w:tcW w:type="pct" w:w="22%"/>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Sync Dashboard &amp; Audit</w:t>
            </w:r>
          </w:p>
        </w:tc>
        <w:tc>
          <w:tcPr>
            <w:tcW w:type="pct" w:w="23%"/>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Portal Dashboard UI</w:t>
            </w:r>
          </w:p>
        </w:tc>
        <w:tc>
          <w:tcPr>
            <w:tcW w:type="pct" w:w="55%"/>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1-click sync trigger, live execution progress bar, terminal-style log inspector, and Reconcile Dataset modal.</w:t>
            </w:r>
          </w:p>
        </w:tc>
      </w:tr>
      <w:tr>
        <w:tc>
          <w:tcPr>
            <w:tcW w:type="pct" w:w="22%"/>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Automated Scheduler</w:t>
            </w:r>
          </w:p>
        </w:tc>
        <w:tc>
          <w:tcPr>
            <w:tcW w:type="pct" w:w="23%"/>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Backend Cron Engine</w:t>
            </w:r>
          </w:p>
        </w:tc>
        <w:tc>
          <w:tcPr>
            <w:tcW w:type="pct" w:w="5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Configurable daily automated sync (default 02:00 AM) with timezone-aware execution and alerts.</w:t>
            </w:r>
          </w:p>
        </w:tc>
      </w:tr>
    </w:tbl>
    <w:p>
      <w:pPr>
        <w:spacing w:after="120"/>
      </w:pPr>
    </w:p>
    <w:p>
      <w:pPr>
        <w:pStyle w:val="Heading1"/>
        <w:spacing w:after="120" w:before="300"/>
      </w:pPr>
      <w:r>
        <w:rPr>
          <w:rFonts w:ascii="Segoe UI" w:cs="Segoe UI" w:eastAsia="Segoe UI" w:hAnsi="Segoe UI"/>
          <w:b/>
          <w:bCs/>
          <w:color w:val="004682"/>
          <w:sz w:val="28"/>
          <w:szCs w:val="28"/>
        </w:rPr>
        <w:t xml:space="preserve">7. Subscription tiers and pricing rules</w:t>
      </w:r>
    </w:p>
    <w:p>
      <w:pPr>
        <w:spacing w:after="80" w:before="40"/>
      </w:pPr>
      <w:r>
        <w:rPr>
          <w:rFonts w:ascii="Segoe UI" w:cs="Segoe UI" w:eastAsia="Segoe UI" w:hAnsi="Segoe UI"/>
          <w:color w:val="1E293B"/>
          <w:sz w:val="21"/>
          <w:szCs w:val="21"/>
        </w:rPr>
        <w:t xml:space="preserve">The portal includes a built-in 3-tier SaaS plan catalog that enforces usage limits and feature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Plan Tier</w:t>
            </w:r>
          </w:p>
        </w:tc>
        <w:tc>
          <w:tcPr>
            <w:tcW w:type="pct" w:w="20%"/>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Price (Monthly)</w:t>
            </w:r>
          </w:p>
        </w:tc>
        <w:tc>
          <w:tcPr>
            <w:tcW w:type="pct" w:w="27%"/>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Included Limits</w:t>
            </w:r>
          </w:p>
        </w:tc>
        <w:tc>
          <w:tcPr>
            <w:tcW w:type="pct" w:w="35%"/>
            <w:tcBorders>
              <w:top w:val="single" w:color="CBD5E1" w:sz="4"/>
              <w:left w:val="none"/>
              <w:bottom w:val="single" w:color="004682" w:sz="8"/>
              <w:right w:val="none"/>
            </w:tcBorders>
            <w:shd w:fill="004682" w:val="clear"/>
            <w:tcMar>
              <w:top w:type="dxa" w:w="120"/>
              <w:left w:type="dxa" w:w="140"/>
              <w:bottom w:type="dxa" w:w="120"/>
              <w:right w:type="dxa" w:w="140"/>
            </w:tcMar>
          </w:tcPr>
          <w:p>
            <w:r>
              <w:rPr>
                <w:rFonts w:ascii="Segoe UI" w:cs="Segoe UI" w:eastAsia="Segoe UI" w:hAnsi="Segoe UI"/>
                <w:b/>
                <w:bCs/>
                <w:color w:val="FFFFFF"/>
                <w:sz w:val="20"/>
                <w:szCs w:val="20"/>
              </w:rPr>
              <w:t xml:space="preserve">Available Features</w:t>
            </w:r>
          </w:p>
        </w:tc>
      </w:tr>
      <w:tr>
        <w:tc>
          <w:tcPr>
            <w:tcW w:type="pct" w:w="18%"/>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Starter</w:t>
            </w:r>
          </w:p>
        </w:tc>
        <w:tc>
          <w:tcPr>
            <w:tcW w:type="pct" w:w="20%"/>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$49.00 / month USD</w:t>
            </w:r>
          </w:p>
        </w:tc>
        <w:tc>
          <w:tcPr>
            <w:tcW w:type="pct" w:w="27%"/>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1 User, 30 Syncs/month, 1 Cin7 Connection, 5 GB storage</w:t>
            </w:r>
          </w:p>
        </w:tc>
        <w:tc>
          <w:tcPr>
            <w:tcW w:type="pct" w:w="3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Cin7 Sync, Google Sheets, Sales &amp; Inventory Reports, 30-day history</w:t>
            </w:r>
          </w:p>
        </w:tc>
      </w:tr>
      <w:tr>
        <w:tc>
          <w:tcPr>
            <w:tcW w:type="pct" w:w="18%"/>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Professional</w:t>
            </w:r>
          </w:p>
        </w:tc>
        <w:tc>
          <w:tcPr>
            <w:tcW w:type="pct" w:w="20%"/>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$149.00 / month USD</w:t>
            </w:r>
          </w:p>
        </w:tc>
        <w:tc>
          <w:tcPr>
            <w:tcW w:type="pct" w:w="27%"/>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10 Users, 500 Syncs/month, 5 Connections, 25 GB storage</w:t>
            </w:r>
          </w:p>
        </w:tc>
        <w:tc>
          <w:tcPr>
            <w:tcW w:type="pct" w:w="35%"/>
            <w:tcBorders>
              <w:top w:val="single" w:color="CBD5E1" w:sz="4"/>
              <w:left w:val="none"/>
              <w:bottom w:val="single" w:color="CBD5E1" w:sz="4"/>
              <w:right w:val="none"/>
            </w:tcBorders>
            <w:shd w:fill="F8FAFC"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Adds Purchase Reports, Scheduled Sync (02:00 AM), Reconciliation, 365-day history</w:t>
            </w:r>
          </w:p>
        </w:tc>
      </w:tr>
      <w:tr>
        <w:tc>
          <w:tcPr>
            <w:tcW w:type="pct" w:w="18%"/>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bCs/>
                <w:color w:val="1E293B"/>
                <w:sz w:val="19"/>
                <w:szCs w:val="19"/>
              </w:rPr>
              <w:t xml:space="preserve">Enterprise</w:t>
            </w:r>
          </w:p>
        </w:tc>
        <w:tc>
          <w:tcPr>
            <w:tcW w:type="pct" w:w="20%"/>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$399.00 / month USD</w:t>
            </w:r>
          </w:p>
        </w:tc>
        <w:tc>
          <w:tcPr>
            <w:tcW w:type="pct" w:w="27%"/>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50 Users, 5,000 Syncs/month, 999 Connections, 100 GB storage</w:t>
            </w:r>
          </w:p>
        </w:tc>
        <w:tc>
          <w:tcPr>
            <w:tcW w:type="pct" w:w="35%"/>
            <w:tcBorders>
              <w:top w:val="single" w:color="CBD5E1" w:sz="4"/>
              <w:left w:val="none"/>
              <w:bottom w:val="single" w:color="CBD5E1" w:sz="4"/>
              <w:right w:val="none"/>
            </w:tcBorders>
            <w:shd w:fill="FFFFFF" w:val="clear"/>
            <w:tcMar>
              <w:top w:type="dxa" w:w="100"/>
              <w:left w:type="dxa" w:w="140"/>
              <w:bottom w:type="dxa" w:w="100"/>
              <w:right w:type="dxa" w:w="140"/>
            </w:tcMar>
          </w:tcPr>
          <w:p>
            <w:pPr>
              <w:spacing w:after="20" w:before="20"/>
            </w:pPr>
            <w:r>
              <w:rPr>
                <w:rFonts w:ascii="Segoe UI" w:cs="Segoe UI" w:eastAsia="Segoe UI" w:hAnsi="Segoe UI"/>
                <w:b w:val="false"/>
                <w:bCs w:val="false"/>
                <w:color w:val="1E293B"/>
                <w:sz w:val="19"/>
                <w:szCs w:val="19"/>
              </w:rPr>
              <w:t xml:space="preserve">Adds Multi-Tenant API Access, Priority Support, 3,650-day history</w:t>
            </w:r>
          </w:p>
        </w:tc>
      </w:tr>
    </w:tbl>
    <w:p>
      <w:pPr>
        <w:spacing w:after="120"/>
      </w:pPr>
    </w:p>
    <w:p>
      <w:pPr>
        <w:pStyle w:val="Heading1"/>
        <w:spacing w:after="120" w:before="300"/>
      </w:pPr>
      <w:r>
        <w:rPr>
          <w:rFonts w:ascii="Segoe UI" w:cs="Segoe UI" w:eastAsia="Segoe UI" w:hAnsi="Segoe UI"/>
          <w:b/>
          <w:bCs/>
          <w:color w:val="004682"/>
          <w:sz w:val="28"/>
          <w:szCs w:val="28"/>
        </w:rPr>
        <w:t xml:space="preserve">8. Questions &amp; Decisions for VNC Leadership</w:t>
      </w:r>
    </w:p>
    <w:p>
      <w:pPr>
        <w:pStyle w:val="ListParagraph"/>
        <w:numPr>
          <w:ilvl w:val="0"/>
          <w:numId w:val="1"/>
        </w:numPr>
        <w:spacing w:after="40" w:before="40"/>
      </w:pPr>
      <w:r>
        <w:rPr>
          <w:rFonts w:ascii="Segoe UI" w:cs="Segoe UI" w:eastAsia="Segoe UI" w:hAnsi="Segoe UI"/>
          <w:color w:val="1E293B"/>
          <w:sz w:val="21"/>
          <w:szCs w:val="21"/>
        </w:rPr>
        <w:t xml:space="preserve">Preferred daily sync time — Is 02:00 AM (client timezone) ideal for the automated daily sync schedule?</w:t>
      </w:r>
    </w:p>
    <w:p>
      <w:pPr>
        <w:pStyle w:val="ListParagraph"/>
        <w:numPr>
          <w:ilvl w:val="0"/>
          <w:numId w:val="1"/>
        </w:numPr>
        <w:spacing w:after="40" w:before="40"/>
      </w:pPr>
      <w:r>
        <w:rPr>
          <w:rFonts w:ascii="Segoe UI" w:cs="Segoe UI" w:eastAsia="Segoe UI" w:hAnsi="Segoe UI"/>
          <w:color w:val="1E293B"/>
          <w:sz w:val="21"/>
          <w:szCs w:val="21"/>
        </w:rPr>
        <w:t xml:space="preserve">Client cloud storage permission model — Should client workbooks reside in a VNC-managed corporate Google Drive/OneDrive, or in the client's own cloud tenant?</w:t>
      </w:r>
    </w:p>
    <w:p>
      <w:pPr>
        <w:pStyle w:val="ListParagraph"/>
        <w:numPr>
          <w:ilvl w:val="0"/>
          <w:numId w:val="1"/>
        </w:numPr>
        <w:spacing w:after="40" w:before="40"/>
      </w:pPr>
      <w:r>
        <w:rPr>
          <w:rFonts w:ascii="Segoe UI" w:cs="Segoe UI" w:eastAsia="Segoe UI" w:hAnsi="Segoe UI"/>
          <w:color w:val="1E293B"/>
          <w:sz w:val="21"/>
          <w:szCs w:val="21"/>
        </w:rPr>
        <w:t xml:space="preserve">Alert notification channels — Which team alerts should be enabled by default (Daily Email summary vs Slack/Teams webhook)?</w:t>
      </w:r>
    </w:p>
    <w:p>
      <w:pPr>
        <w:pStyle w:val="ListParagraph"/>
        <w:numPr>
          <w:ilvl w:val="0"/>
          <w:numId w:val="1"/>
        </w:numPr>
        <w:spacing w:after="40" w:before="40"/>
      </w:pPr>
      <w:r>
        <w:rPr>
          <w:rFonts w:ascii="Segoe UI" w:cs="Segoe UI" w:eastAsia="Segoe UI" w:hAnsi="Segoe UI"/>
          <w:color w:val="1E293B"/>
          <w:sz w:val="21"/>
          <w:szCs w:val="21"/>
        </w:rPr>
        <w:t xml:space="preserve">Master Excel template versions — When updates are made to Controller_Reporting_Model_v5, should existing client workbooks auto-migrate or stay locked to their provisioned version?</w:t>
      </w:r>
    </w:p>
    <w:p>
      <w:pPr>
        <w:pStyle w:val="Heading1"/>
        <w:spacing w:after="120" w:before="300"/>
      </w:pPr>
      <w:r>
        <w:rPr>
          <w:rFonts w:ascii="Segoe UI" w:cs="Segoe UI" w:eastAsia="Segoe UI" w:hAnsi="Segoe UI"/>
          <w:b/>
          <w:bCs/>
          <w:color w:val="004682"/>
          <w:sz w:val="28"/>
          <w:szCs w:val="28"/>
        </w:rPr>
        <w:t xml:space="preserve">9. What happens next</w:t>
      </w:r>
    </w:p>
    <w:p>
      <w:pPr>
        <w:spacing w:after="80" w:before="40"/>
      </w:pPr>
      <w:r>
        <w:rPr>
          <w:rFonts w:ascii="Segoe UI" w:cs="Segoe UI" w:eastAsia="Segoe UI" w:hAnsi="Segoe UI"/>
          <w:color w:val="1E293B"/>
          <w:sz w:val="21"/>
          <w:szCs w:val="21"/>
        </w:rPr>
        <w:t xml:space="preserve">The core system is fully operational and available for end-to-end testing at http://192.168.0.202:2121/. The immediate next steps are to conduct user-acceptance testing with live client credentials, confirm default schedule timings, and proceed with client onboarding.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2026-09-15T08:51:56.159Z</dcterms:created>
  <dcterms:modified xsi:type="dcterms:W3CDTF">2026-09-15T08:51:56.159Z</dcterms:modified>
</cp:coreProperties>
</file>

<file path=docProps/custom.xml><?xml version="1.0" encoding="utf-8"?>
<Properties xmlns="http://schemas.openxmlformats.org/officeDocument/2006/custom-properties" xmlns:vt="http://schemas.openxmlformats.org/officeDocument/2006/docPropsVTypes"/>
</file>