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Segoe UI" w:cs="Segoe UI" w:eastAsia="Segoe UI" w:hAnsi="Segoe UI"/>
          <w:b/>
          <w:bCs/>
          <w:color w:val="004682"/>
          <w:sz w:val="36"/>
          <w:szCs w:val="36"/>
        </w:rPr>
        <w:t xml:space="preserve">New Feature Requirement Plan: VNC Cin7 Sync Portal</w:t>
      </w:r>
    </w:p>
    <w:p>
      <w:pPr>
        <w:spacing w:after="300" w:before="0"/>
        <w:jc w:val="center"/>
      </w:pPr>
      <w:r>
        <w:rPr>
          <w:rFonts w:ascii="Segoe UI" w:cs="Segoe UI" w:eastAsia="Segoe UI" w:hAnsi="Segoe UI"/>
          <w:i/>
          <w:iCs/>
          <w:color w:val="5A6A80"/>
          <w:sz w:val="22"/>
          <w:szCs w:val="22"/>
        </w:rPr>
        <w:t xml:space="preserve">VNC Global Group | Multi-Tenant Cin7 Core ERP to Excel Online &amp; Google Sheets Sync Engine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/>
              <w:left w:val="single" w:color="10B981" w:sz="24"/>
              <w:bottom w:val="none"/>
              <w:right w:val="none"/>
            </w:tcBorders>
            <w:shd w:fill="ECFD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065F46"/>
                <w:sz w:val="22"/>
                <w:szCs w:val="22"/>
              </w:rPr>
              <w:t xml:space="preserve">🟢 LIVE OPERATIONAL PORTAL: </w:t>
            </w:r>
            <w:r>
              <w:rPr>
                <w:rFonts w:ascii="Segoe UI" w:cs="Segoe UI" w:eastAsia="Segoe UI" w:hAnsi="Segoe UI"/>
                <w:b/>
                <w:bCs/>
                <w:color w:val="047857"/>
                <w:sz w:val="22"/>
                <w:szCs w:val="22"/>
              </w:rPr>
              <w:t xml:space="preserve">http://192.168.0.202:2121/</w:t>
            </w:r>
            <w:r>
              <w:rPr>
                <w:rFonts w:ascii="Segoe UI" w:cs="Segoe UI" w:eastAsia="Segoe UI" w:hAnsi="Segoe UI"/>
                <w:color w:val="047857"/>
                <w:sz w:val="20"/>
                <w:szCs w:val="20"/>
              </w:rPr>
              <w:t xml:space="preserve"> (Active on Local Network / Port 2121 with Supabase DB &amp; Google Cloud Integration)</w:t>
            </w:r>
          </w:p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/>
              <w:left w:val="single" w:color="2F8FED" w:sz="20"/>
              <w:bottom w:val="none"/>
              <w:right w:val="none"/>
            </w:tcBorders>
            <w:shd w:fill="F0F6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VNC Global Group Requirement Brief: This document outlines the complete business requirements, architectural flowcharts, end-to-end workflows, field catalogs, external integrations, security controls, and live deliverables for the VNC Cin7 Sync Portal (built to match Requirement_Template.docx).</w:t>
            </w:r>
          </w:p>
        </w:tc>
      </w:tr>
    </w:tbl>
    <w:p>
      <w:pPr>
        <w:pStyle w:val="Heading1"/>
        <w:spacing w:after="120" w:before="360"/>
      </w:pPr>
      <w:r>
        <w:rPr>
          <w:rFonts w:ascii="Segoe UI" w:cs="Segoe UI" w:eastAsia="Segoe UI" w:hAnsi="Segoe UI"/>
          <w:b/>
          <w:bCs/>
          <w:color w:val="004682"/>
          <w:sz w:val="28"/>
          <w:szCs w:val="28"/>
        </w:rPr>
        <w:t xml:space="preserve">1. What is it? (Definition)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color w:val="004682"/>
          <w:sz w:val="21"/>
          <w:szCs w:val="21"/>
        </w:rPr>
        <w:t xml:space="preserve">Feature name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— VNC Cin7 Sync Portal (Cin7 Core ERP to Excel Online &amp; Google Sheets Sync Hub)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color w:val="004682"/>
          <w:sz w:val="21"/>
          <w:szCs w:val="21"/>
        </w:rPr>
        <w:t xml:space="preserve">Which system is this for?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— VNC Hub — Financial Controller &amp; Automated Client Reporting Module (Client Portal &amp; ERP Data Automation)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color w:val="004682"/>
          <w:sz w:val="21"/>
          <w:szCs w:val="21"/>
        </w:rPr>
        <w:t xml:space="preserve">Live Deployment Instance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— http://192.168.0.202:2121/ (Running live on Node.js port 2121 with physical LAN IP binding, connected to AWS Supabase DB and Google Cloud)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color w:val="004682"/>
          <w:sz w:val="21"/>
          <w:szCs w:val="21"/>
        </w:rPr>
        <w:t xml:space="preserve">What does it do, and what problem does it solve today?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— The VNC Cin7 Sync Portal is a multi-tenant browser-based SaaS application that automates the extraction, enrichment, and synchronization of live Cin7 Core ERP data (Sales Orders, Inventory On Hand, and Purchase Orders) directly into Microsoft Excel Online (OneDrive/SharePoint) and Google Sheets. It completely eliminates hours of daily manual CSV exports, error-prone data manipulation, and tedious copy-pasting, populating pre-formatted 17-worksheet Master Financial Models automatically with zero desktop add-in installation required.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color w:val="004682"/>
          <w:sz w:val="21"/>
          <w:szCs w:val="21"/>
        </w:rPr>
        <w:t xml:space="preserve">Does it have any smaller features inside it? (parent / child)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— Yes. The parent platform comprises 9 specialized child features: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rFonts w:ascii="Segoe UI" w:cs="Segoe UI" w:eastAsia="Segoe UI" w:hAnsi="Segoe UI"/>
          <w:color w:val="1E293B"/>
          <w:sz w:val="20"/>
          <w:szCs w:val="20"/>
        </w:rPr>
        <w:t xml:space="preserve">1) Multi-Tenant Auth &amp; Role-Based Access Control: Email/Password &amp; OAuth SSO (Microsoft/Google) with strict organization tenant scoping, SUPER_ADMIN switching, and roles (ADMIN, MANAGER, VIEWER).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rFonts w:ascii="Segoe UI" w:cs="Segoe UI" w:eastAsia="Segoe UI" w:hAnsi="Segoe UI"/>
          <w:color w:val="1E293B"/>
          <w:sz w:val="20"/>
          <w:szCs w:val="20"/>
        </w:rPr>
        <w:t xml:space="preserve">2) Encrypted Cin7 Connection Manager: Self-service credential setup with live "Test Connection" API handshake, AES-256-GCM encryption at rest, and support for Cin7 Core (Account ID + API Key).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rFonts w:ascii="Segoe UI" w:cs="Segoe UI" w:eastAsia="Segoe UI" w:hAnsi="Segoe UI"/>
          <w:color w:val="1E293B"/>
          <w:sz w:val="20"/>
          <w:szCs w:val="20"/>
        </w:rPr>
        <w:t xml:space="preserve">3) Cin7 High-Performance Sync Engine: Automated ETL client with rate limiting (~54 req/min), paginated batch fetchers, exponential backoff retries (429/5xx), and incremental UTC sync filtering.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rFonts w:ascii="Segoe UI" w:cs="Segoe UI" w:eastAsia="Segoe UI" w:hAnsi="Segoe UI"/>
          <w:color w:val="1E293B"/>
          <w:sz w:val="20"/>
          <w:szCs w:val="20"/>
        </w:rPr>
        <w:t xml:space="preserve">4) Multi-Tenant Database &amp; Cache Persistence: PostgreSQL / Supabase storage for raw order cache, sales orders, order lines, inventory snapshots, and POs with Row Level Security (RLS) and transaction session isolation.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rFonts w:ascii="Segoe UI" w:cs="Segoe UI" w:eastAsia="Segoe UI" w:hAnsi="Segoe UI"/>
          <w:color w:val="1E293B"/>
          <w:sz w:val="20"/>
          <w:szCs w:val="20"/>
        </w:rPr>
        <w:t xml:space="preserve">5) Dual Cloud Destination Adapters: MicrosoftExcelAdapter (Graph API / ExcelJS) and GoogleSheetsAdapter (Drive/Sheets API) writing formatted canonical tabs with KPI summary cards.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rFonts w:ascii="Segoe UI" w:cs="Segoe UI" w:eastAsia="Segoe UI" w:hAnsi="Segoe UI"/>
          <w:color w:val="1E293B"/>
          <w:sz w:val="20"/>
          <w:szCs w:val="20"/>
        </w:rPr>
        <w:t xml:space="preserve">6) Client Sync Dashboard: Real-time sync progress bar, 1-click manual sync triggers (All, Sales, Inventory, Purchase Orders), and direct authenticated "Open Workbook" cloud launcher.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rFonts w:ascii="Segoe UI" w:cs="Segoe UI" w:eastAsia="Segoe UI" w:hAnsi="Segoe UI"/>
          <w:color w:val="1E293B"/>
          <w:sz w:val="20"/>
          <w:szCs w:val="20"/>
        </w:rPr>
        <w:t xml:space="preserve">7) Automated Background Scheduler: Configurable daily automated sync engine (default 02:00 AM) with timezone-aware execution.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rFonts w:ascii="Segoe UI" w:cs="Segoe UI" w:eastAsia="Segoe UI" w:hAnsi="Segoe UI"/>
          <w:color w:val="1E293B"/>
          <w:sz w:val="20"/>
          <w:szCs w:val="20"/>
        </w:rPr>
        <w:t xml:space="preserve">8) Sync Audit &amp; Reconciliation Explorer: Detailed audit logs, execution traces, duration tracking, record counts, and dataset selector for instant verification.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rFonts w:ascii="Segoe UI" w:cs="Segoe UI" w:eastAsia="Segoe UI" w:hAnsi="Segoe UI"/>
          <w:color w:val="1E293B"/>
          <w:sz w:val="20"/>
          <w:szCs w:val="20"/>
        </w:rPr>
        <w:t xml:space="preserve">9) Subscription &amp; Plan Gating: Built-in 3-tier catalog (Starter $49/mo, Professional $149/mo, Enterprise $399/mo) enforcing sync quotas, user seats, and feature access.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color w:val="004682"/>
          <w:sz w:val="21"/>
          <w:szCs w:val="21"/>
        </w:rPr>
        <w:t xml:space="preserve">Who is asking for this, and how urgent is it?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— Requester: VNC Global Controller, Client Accounting Services (CAS), and Enterprise Management. Urgency: Must have now (Core Production Offering).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color w:val="004682"/>
          <w:sz w:val="21"/>
          <w:szCs w:val="21"/>
        </w:rPr>
        <w:t xml:space="preserve">How will you know it is working well?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— Success Metric: Financial controllers and clients click a single button (or rely on daily automated 02:00 AM syncs) to have their entire 17-worksheet master reporting workbook populated with 100% accurate Cin7 actuals in under 60 seconds, completely eliminating manual spreadsheet exports.</w:t>
      </w:r>
    </w:p>
    <w:p>
      <w:pPr>
        <w:pStyle w:val="Heading1"/>
        <w:spacing w:after="120" w:before="360"/>
      </w:pPr>
      <w:r>
        <w:rPr>
          <w:rFonts w:ascii="Segoe UI" w:cs="Segoe UI" w:eastAsia="Segoe UI" w:hAnsi="Segoe UI"/>
          <w:b/>
          <w:bCs/>
          <w:color w:val="004682"/>
          <w:sz w:val="28"/>
          <w:szCs w:val="28"/>
        </w:rPr>
        <w:t xml:space="preserve">2. End-to-End System Flowchart &amp; Workflow</w:t>
      </w:r>
    </w:p>
    <w:p>
      <w:pPr>
        <w:spacing w:after="80" w:before="60"/>
      </w:pPr>
      <w:r>
        <w:rPr>
          <w:rFonts w:ascii="Segoe UI" w:cs="Segoe UI" w:eastAsia="Segoe UI" w:hAnsi="Segoe UI"/>
          <w:color w:val="1E293B"/>
          <w:sz w:val="21"/>
          <w:szCs w:val="21"/>
        </w:rPr>
        <w:t xml:space="preserve">The following architectural flowchart illustrates the complete journey of data, authentication, encryption, and synchronization across all system components: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5%"/>
            <w:tcBorders>
              <w:top w:val="single" w:color="CBD5E1" w:sz="4"/>
              <w:left w:val="none"/>
              <w:bottom w:val="single" w:color="CBD5E1" w:sz="4"/>
              <w:right w:val="none"/>
            </w:tcBorders>
            <w:shd w:fill="004682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STEP 1</w:t>
            </w:r>
            <w:r>
              <w:rPr>
                <w:rFonts w:ascii="Segoe UI" w:cs="Segoe UI" w:eastAsia="Segoe UI" w:hAnsi="Segoe UI"/>
                <w:color w:val="E2E8F0"/>
                <w:sz w:val="15"/>
                <w:szCs w:val="15"/>
              </w:rPr>
              <w:t xml:space="preserve">
CLIENT AUTH</w:t>
            </w:r>
          </w:p>
        </w:tc>
        <w:tc>
          <w:tcPr>
            <w:tcW w:type="pct" w:w="85%"/>
            <w:tcBorders>
              <w:top w:val="single" w:color="CBD5E1" w:sz="4"/>
              <w:left w:val="none"/>
              <w:bottom w:val="single" w:color="CBD5E1" w:sz="4"/>
              <w:right w:val="none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20"/>
            </w:pPr>
            <w:r>
              <w:rPr>
                <w:rFonts w:ascii="Segoe UI" w:cs="Segoe UI" w:eastAsia="Segoe UI" w:hAnsi="Segoe UI"/>
                <w:b/>
                <w:bCs/>
                <w:color w:val="004682"/>
                <w:sz w:val="21"/>
                <w:szCs w:val="21"/>
              </w:rPr>
              <w:t xml:space="preserve">Client Authentication &amp; Session Creation</w:t>
            </w:r>
          </w:p>
          <w:p>
            <w:pPr>
              <w:spacing w:after="20" w:before="0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User accesses http://192.168.0.202:2121/ and authenticates via Microsoft/Google SSO or local email/password. Server creates an HTTP-only secure cookie session, resolving client_id strictly on the backend.</w:t>
            </w:r>
          </w:p>
        </w:tc>
      </w:tr>
    </w:tbl>
    <w:p>
      <w:pPr>
        <w:spacing w:after="30" w:before="30"/>
        <w:jc w:val="center"/>
      </w:pPr>
      <w:r>
        <w:rPr>
          <w:rFonts w:ascii="Segoe UI" w:cs="Segoe UI" w:eastAsia="Segoe UI" w:hAnsi="Segoe UI"/>
          <w:b/>
          <w:bCs/>
          <w:color w:val="2F8FED"/>
          <w:sz w:val="24"/>
          <w:szCs w:val="24"/>
        </w:rPr>
        <w:t xml:space="preserve">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5%"/>
            <w:tcBorders>
              <w:top w:val="single" w:color="CBD5E1" w:sz="4"/>
              <w:left w:val="none"/>
              <w:bottom w:val="single" w:color="CBD5E1" w:sz="4"/>
              <w:right w:val="none"/>
            </w:tcBorders>
            <w:shd w:fill="2F8FED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STEP 2</w:t>
            </w:r>
            <w:r>
              <w:rPr>
                <w:rFonts w:ascii="Segoe UI" w:cs="Segoe UI" w:eastAsia="Segoe UI" w:hAnsi="Segoe UI"/>
                <w:color w:val="E2E8F0"/>
                <w:sz w:val="15"/>
                <w:szCs w:val="15"/>
              </w:rPr>
              <w:t xml:space="preserve">
PLATFORM SETUP</w:t>
            </w:r>
          </w:p>
        </w:tc>
        <w:tc>
          <w:tcPr>
            <w:tcW w:type="pct" w:w="85%"/>
            <w:tcBorders>
              <w:top w:val="single" w:color="CBD5E1" w:sz="4"/>
              <w:left w:val="none"/>
              <w:bottom w:val="single" w:color="CBD5E1" w:sz="4"/>
              <w:right w:val="none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20"/>
            </w:pPr>
            <w:r>
              <w:rPr>
                <w:rFonts w:ascii="Segoe UI" w:cs="Segoe UI" w:eastAsia="Segoe UI" w:hAnsi="Segoe UI"/>
                <w:b/>
                <w:bCs/>
                <w:color w:val="004682"/>
                <w:sz w:val="21"/>
                <w:szCs w:val="21"/>
              </w:rPr>
              <w:t xml:space="preserve">Reporting Platform Selection &amp; Cloud Provisioning</w:t>
            </w:r>
          </w:p>
          <w:p>
            <w:pPr>
              <w:spacing w:after="20" w:before="0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User selects Microsoft Excel Online or Google Sheets. The system connects to Microsoft Graph API (OneDrive/SharePoint) or Google Drive API and creates isolated client directories (CLIENTS/&lt;Client&gt;/Current/ &amp; /History/), cloning the 17-worksheet Master Model (GoogleMasterTemp: 1Qnx6RdCgI7krHtZru10J6r11ZpIkubCSR1jzUbs5G9Q).</w:t>
            </w:r>
          </w:p>
        </w:tc>
      </w:tr>
    </w:tbl>
    <w:p>
      <w:pPr>
        <w:spacing w:after="30" w:before="30"/>
        <w:jc w:val="center"/>
      </w:pPr>
      <w:r>
        <w:rPr>
          <w:rFonts w:ascii="Segoe UI" w:cs="Segoe UI" w:eastAsia="Segoe UI" w:hAnsi="Segoe UI"/>
          <w:b/>
          <w:bCs/>
          <w:color w:val="2F8FED"/>
          <w:sz w:val="24"/>
          <w:szCs w:val="24"/>
        </w:rPr>
        <w:t xml:space="preserve">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5%"/>
            <w:tcBorders>
              <w:top w:val="single" w:color="CBD5E1" w:sz="4"/>
              <w:left w:val="none"/>
              <w:bottom w:val="single" w:color="CBD5E1" w:sz="4"/>
              <w:right w:val="none"/>
            </w:tcBorders>
            <w:shd w:fill="7A4EAB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STEP 3</w:t>
            </w:r>
            <w:r>
              <w:rPr>
                <w:rFonts w:ascii="Segoe UI" w:cs="Segoe UI" w:eastAsia="Segoe UI" w:hAnsi="Segoe UI"/>
                <w:color w:val="E2E8F0"/>
                <w:sz w:val="15"/>
                <w:szCs w:val="15"/>
              </w:rPr>
              <w:t xml:space="preserve">
ENCRYPT &amp; STORE</w:t>
            </w:r>
          </w:p>
        </w:tc>
        <w:tc>
          <w:tcPr>
            <w:tcW w:type="pct" w:w="85%"/>
            <w:tcBorders>
              <w:top w:val="single" w:color="CBD5E1" w:sz="4"/>
              <w:left w:val="none"/>
              <w:bottom w:val="single" w:color="CBD5E1" w:sz="4"/>
              <w:right w:val="none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20"/>
            </w:pPr>
            <w:r>
              <w:rPr>
                <w:rFonts w:ascii="Segoe UI" w:cs="Segoe UI" w:eastAsia="Segoe UI" w:hAnsi="Segoe UI"/>
                <w:b/>
                <w:bCs/>
                <w:color w:val="004682"/>
                <w:sz w:val="21"/>
                <w:szCs w:val="21"/>
              </w:rPr>
              <w:t xml:space="preserve">Encrypted Cin7 Connection &amp; Validation</w:t>
            </w:r>
          </w:p>
          <w:p>
            <w:pPr>
              <w:spacing w:after="20" w:before="0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User inputs Cin7 Core Account ID and API Key. The backend executes a live handshake test against https://inventory.dearsystems.com/externalapi/v2. Upon success, credentials are encrypted using AES-256-GCM authenticated encryption and stored in PostgreSQL/Supabase.</w:t>
            </w:r>
          </w:p>
        </w:tc>
      </w:tr>
    </w:tbl>
    <w:p>
      <w:pPr>
        <w:spacing w:after="30" w:before="30"/>
        <w:jc w:val="center"/>
      </w:pPr>
      <w:r>
        <w:rPr>
          <w:rFonts w:ascii="Segoe UI" w:cs="Segoe UI" w:eastAsia="Segoe UI" w:hAnsi="Segoe UI"/>
          <w:b/>
          <w:bCs/>
          <w:color w:val="2F8FED"/>
          <w:sz w:val="24"/>
          <w:szCs w:val="24"/>
        </w:rPr>
        <w:t xml:space="preserve">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5%"/>
            <w:tcBorders>
              <w:top w:val="single" w:color="CBD5E1" w:sz="4"/>
              <w:left w:val="none"/>
              <w:bottom w:val="single" w:color="CBD5E1" w:sz="4"/>
              <w:right w:val="none"/>
            </w:tcBorders>
            <w:shd w:fill="F19031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STEP 4</w:t>
            </w:r>
            <w:r>
              <w:rPr>
                <w:rFonts w:ascii="Segoe UI" w:cs="Segoe UI" w:eastAsia="Segoe UI" w:hAnsi="Segoe UI"/>
                <w:color w:val="E2E8F0"/>
                <w:sz w:val="15"/>
                <w:szCs w:val="15"/>
              </w:rPr>
              <w:t xml:space="preserve">
SYNC TRIGGER</w:t>
            </w:r>
          </w:p>
        </w:tc>
        <w:tc>
          <w:tcPr>
            <w:tcW w:type="pct" w:w="85%"/>
            <w:tcBorders>
              <w:top w:val="single" w:color="CBD5E1" w:sz="4"/>
              <w:left w:val="none"/>
              <w:bottom w:val="single" w:color="CBD5E1" w:sz="4"/>
              <w:right w:val="none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20"/>
            </w:pPr>
            <w:r>
              <w:rPr>
                <w:rFonts w:ascii="Segoe UI" w:cs="Segoe UI" w:eastAsia="Segoe UI" w:hAnsi="Segoe UI"/>
                <w:b/>
                <w:bCs/>
                <w:color w:val="004682"/>
                <w:sz w:val="21"/>
                <w:szCs w:val="21"/>
              </w:rPr>
              <w:t xml:space="preserve">Sync Triggering &amp; Concurrency Lock</w:t>
            </w:r>
          </w:p>
          <w:p>
            <w:pPr>
              <w:spacing w:after="20" w:before="0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User clicks "Sync All Data" on the dashboard (or automated background scheduler triggers at 02:00 AM). LockService acquires a per-tenant mutex lock to prevent concurrent overlapping runs.</w:t>
            </w:r>
          </w:p>
        </w:tc>
      </w:tr>
    </w:tbl>
    <w:p>
      <w:pPr>
        <w:spacing w:after="30" w:before="30"/>
        <w:jc w:val="center"/>
      </w:pPr>
      <w:r>
        <w:rPr>
          <w:rFonts w:ascii="Segoe UI" w:cs="Segoe UI" w:eastAsia="Segoe UI" w:hAnsi="Segoe UI"/>
          <w:b/>
          <w:bCs/>
          <w:color w:val="2F8FED"/>
          <w:sz w:val="24"/>
          <w:szCs w:val="24"/>
        </w:rPr>
        <w:t xml:space="preserve">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5%"/>
            <w:tcBorders>
              <w:top w:val="single" w:color="CBD5E1" w:sz="4"/>
              <w:left w:val="none"/>
              <w:bottom w:val="single" w:color="CBD5E1" w:sz="4"/>
              <w:right w:val="none"/>
            </w:tcBorders>
            <w:shd w:fill="004682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STEP 5</w:t>
            </w:r>
            <w:r>
              <w:rPr>
                <w:rFonts w:ascii="Segoe UI" w:cs="Segoe UI" w:eastAsia="Segoe UI" w:hAnsi="Segoe UI"/>
                <w:color w:val="E2E8F0"/>
                <w:sz w:val="15"/>
                <w:szCs w:val="15"/>
              </w:rPr>
              <w:t xml:space="preserve">
ETL ENGINE</w:t>
            </w:r>
          </w:p>
        </w:tc>
        <w:tc>
          <w:tcPr>
            <w:tcW w:type="pct" w:w="85%"/>
            <w:tcBorders>
              <w:top w:val="single" w:color="CBD5E1" w:sz="4"/>
              <w:left w:val="none"/>
              <w:bottom w:val="single" w:color="CBD5E1" w:sz="4"/>
              <w:right w:val="none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20"/>
            </w:pPr>
            <w:r>
              <w:rPr>
                <w:rFonts w:ascii="Segoe UI" w:cs="Segoe UI" w:eastAsia="Segoe UI" w:hAnsi="Segoe UI"/>
                <w:b/>
                <w:bCs/>
                <w:color w:val="004682"/>
                <w:sz w:val="21"/>
                <w:szCs w:val="21"/>
              </w:rPr>
              <w:t xml:space="preserve">Cin7 Core API Extraction &amp; Enrichment Engine</w:t>
            </w:r>
          </w:p>
          <w:p>
            <w:pPr>
              <w:spacing w:after="20" w:before="0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Cin7Engine retrieves Sales Orders (SaleList + Sale details), enriches line items with product catalog data (Brand, Category, Family), fetches Inventory On Hand (ProductAvailability snapshot), and extracts Purchase Orders (PurchaseList). All calls are rate-limited to 54 req/min with exponential backoff.</w:t>
            </w:r>
          </w:p>
        </w:tc>
      </w:tr>
    </w:tbl>
    <w:p>
      <w:pPr>
        <w:spacing w:after="30" w:before="30"/>
        <w:jc w:val="center"/>
      </w:pPr>
      <w:r>
        <w:rPr>
          <w:rFonts w:ascii="Segoe UI" w:cs="Segoe UI" w:eastAsia="Segoe UI" w:hAnsi="Segoe UI"/>
          <w:b/>
          <w:bCs/>
          <w:color w:val="2F8FED"/>
          <w:sz w:val="24"/>
          <w:szCs w:val="24"/>
        </w:rPr>
        <w:t xml:space="preserve">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5%"/>
            <w:tcBorders>
              <w:top w:val="single" w:color="CBD5E1" w:sz="4"/>
              <w:left w:val="none"/>
              <w:bottom w:val="single" w:color="CBD5E1" w:sz="4"/>
              <w:right w:val="none"/>
            </w:tcBorders>
            <w:shd w:fill="2F8FED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STEP 6</w:t>
            </w:r>
            <w:r>
              <w:rPr>
                <w:rFonts w:ascii="Segoe UI" w:cs="Segoe UI" w:eastAsia="Segoe UI" w:hAnsi="Segoe UI"/>
                <w:color w:val="E2E8F0"/>
                <w:sz w:val="15"/>
                <w:szCs w:val="15"/>
              </w:rPr>
              <w:t xml:space="preserve">
DATABASE UPSERT</w:t>
            </w:r>
          </w:p>
        </w:tc>
        <w:tc>
          <w:tcPr>
            <w:tcW w:type="pct" w:w="85%"/>
            <w:tcBorders>
              <w:top w:val="single" w:color="CBD5E1" w:sz="4"/>
              <w:left w:val="none"/>
              <w:bottom w:val="single" w:color="CBD5E1" w:sz="4"/>
              <w:right w:val="none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20"/>
            </w:pPr>
            <w:r>
              <w:rPr>
                <w:rFonts w:ascii="Segoe UI" w:cs="Segoe UI" w:eastAsia="Segoe UI" w:hAnsi="Segoe UI"/>
                <w:b/>
                <w:bCs/>
                <w:color w:val="004682"/>
                <w:sz w:val="21"/>
                <w:szCs w:val="21"/>
              </w:rPr>
              <w:t xml:space="preserve">Multi-Tenant PostgreSQL / Supabase Upsert</w:t>
            </w:r>
          </w:p>
          <w:p>
            <w:pPr>
              <w:spacing w:after="20" w:before="0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Data is cached in cin7_order_cache and upserted into cin7_sales_orders, cin7_order_lines, cin7_inventory, and cin7_purchase_orders inside a transaction scoped with SET LOCAL app.current_client_id and Row Level Security (RLS).</w:t>
            </w:r>
          </w:p>
        </w:tc>
      </w:tr>
    </w:tbl>
    <w:p>
      <w:pPr>
        <w:spacing w:after="30" w:before="30"/>
        <w:jc w:val="center"/>
      </w:pPr>
      <w:r>
        <w:rPr>
          <w:rFonts w:ascii="Segoe UI" w:cs="Segoe UI" w:eastAsia="Segoe UI" w:hAnsi="Segoe UI"/>
          <w:b/>
          <w:bCs/>
          <w:color w:val="2F8FED"/>
          <w:sz w:val="24"/>
          <w:szCs w:val="24"/>
        </w:rPr>
        <w:t xml:space="preserve">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5%"/>
            <w:tcBorders>
              <w:top w:val="single" w:color="CBD5E1" w:sz="4"/>
              <w:left w:val="none"/>
              <w:bottom w:val="single" w:color="CBD5E1" w:sz="4"/>
              <w:right w:val="none"/>
            </w:tcBorders>
            <w:shd w:fill="7A4EAB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STEP 7</w:t>
            </w:r>
            <w:r>
              <w:rPr>
                <w:rFonts w:ascii="Segoe UI" w:cs="Segoe UI" w:eastAsia="Segoe UI" w:hAnsi="Segoe UI"/>
                <w:color w:val="E2E8F0"/>
                <w:sz w:val="15"/>
                <w:szCs w:val="15"/>
              </w:rPr>
              <w:t xml:space="preserve">
DESTINATION ADAPTER</w:t>
            </w:r>
          </w:p>
        </w:tc>
        <w:tc>
          <w:tcPr>
            <w:tcW w:type="pct" w:w="85%"/>
            <w:tcBorders>
              <w:top w:val="single" w:color="CBD5E1" w:sz="4"/>
              <w:left w:val="none"/>
              <w:bottom w:val="single" w:color="CBD5E1" w:sz="4"/>
              <w:right w:val="none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20"/>
            </w:pPr>
            <w:r>
              <w:rPr>
                <w:rFonts w:ascii="Segoe UI" w:cs="Segoe UI" w:eastAsia="Segoe UI" w:hAnsi="Segoe UI"/>
                <w:b/>
                <w:bCs/>
                <w:color w:val="004682"/>
                <w:sz w:val="21"/>
                <w:szCs w:val="21"/>
              </w:rPr>
              <w:t xml:space="preserve">Canonical Cloud Spreadsheet Population</w:t>
            </w:r>
          </w:p>
          <w:p>
            <w:pPr>
              <w:spacing w:after="20" w:before="0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Destination adapter (MicrosoftExcelAdapter or GoogleSheetsAdapter) formats and writes records into canonical sheets: "Sales Transactions Raw Data", "Inventory On Hand Raw Data", "Purchase Transactions Raw Data", and "Sync Log" with KPI header cards and zebra striping.</w:t>
            </w:r>
          </w:p>
        </w:tc>
      </w:tr>
    </w:tbl>
    <w:p>
      <w:pPr>
        <w:spacing w:after="30" w:before="30"/>
        <w:jc w:val="center"/>
      </w:pPr>
      <w:r>
        <w:rPr>
          <w:rFonts w:ascii="Segoe UI" w:cs="Segoe UI" w:eastAsia="Segoe UI" w:hAnsi="Segoe UI"/>
          <w:b/>
          <w:bCs/>
          <w:color w:val="2F8FED"/>
          <w:sz w:val="24"/>
          <w:szCs w:val="24"/>
        </w:rPr>
        <w:t xml:space="preserve">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5%"/>
            <w:tcBorders>
              <w:top w:val="single" w:color="CBD5E1" w:sz="4"/>
              <w:left w:val="none"/>
              <w:bottom w:val="single" w:color="CBD5E1" w:sz="4"/>
              <w:right w:val="none"/>
            </w:tcBorders>
            <w:shd w:fill="16A34A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STEP 8</w:t>
            </w:r>
            <w:r>
              <w:rPr>
                <w:rFonts w:ascii="Segoe UI" w:cs="Segoe UI" w:eastAsia="Segoe UI" w:hAnsi="Segoe UI"/>
                <w:color w:val="E2E8F0"/>
                <w:sz w:val="15"/>
                <w:szCs w:val="15"/>
              </w:rPr>
              <w:t xml:space="preserve">
AUDIT &amp; VERSION</w:t>
            </w:r>
          </w:p>
        </w:tc>
        <w:tc>
          <w:tcPr>
            <w:tcW w:type="pct" w:w="85%"/>
            <w:tcBorders>
              <w:top w:val="single" w:color="CBD5E1" w:sz="4"/>
              <w:left w:val="none"/>
              <w:bottom w:val="single" w:color="CBD5E1" w:sz="4"/>
              <w:right w:val="none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20"/>
            </w:pPr>
            <w:r>
              <w:rPr>
                <w:rFonts w:ascii="Segoe UI" w:cs="Segoe UI" w:eastAsia="Segoe UI" w:hAnsi="Segoe UI"/>
                <w:b/>
                <w:bCs/>
                <w:color w:val="004682"/>
                <w:sz w:val="21"/>
                <w:szCs w:val="21"/>
              </w:rPr>
              <w:t xml:space="preserve">Audit Trail Logging &amp; Version Snapshot</w:t>
            </w:r>
          </w:p>
          <w:p>
            <w:pPr>
              <w:spacing w:after="20" w:before="0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Sync metrics (duration, status, record counts, error traces) are committed to sync_runs and sync_logs. Version is incremented (v1.0 -&gt; v2.0) and notifications are dispatched.</w:t>
            </w:r>
          </w:p>
        </w:tc>
      </w:tr>
    </w:tbl>
    <w:p>
      <w:pPr>
        <w:spacing w:after="30" w:before="30"/>
        <w:jc w:val="center"/>
      </w:pPr>
      <w:r>
        <w:rPr>
          <w:rFonts w:ascii="Segoe UI" w:cs="Segoe UI" w:eastAsia="Segoe UI" w:hAnsi="Segoe UI"/>
          <w:b/>
          <w:bCs/>
          <w:color w:val="2F8FED"/>
          <w:sz w:val="24"/>
          <w:szCs w:val="24"/>
        </w:rPr>
        <w:t xml:space="preserve">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5%"/>
            <w:tcBorders>
              <w:top w:val="single" w:color="CBD5E1" w:sz="4"/>
              <w:left w:val="none"/>
              <w:bottom w:val="single" w:color="CBD5E1" w:sz="4"/>
              <w:right w:val="none"/>
            </w:tcBorders>
            <w:shd w:fill="004682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STEP 9</w:t>
            </w:r>
            <w:r>
              <w:rPr>
                <w:rFonts w:ascii="Segoe UI" w:cs="Segoe UI" w:eastAsia="Segoe UI" w:hAnsi="Segoe UI"/>
                <w:color w:val="E2E8F0"/>
                <w:sz w:val="15"/>
                <w:szCs w:val="15"/>
              </w:rPr>
              <w:t xml:space="preserve">
DIRECT ACCESS</w:t>
            </w:r>
          </w:p>
        </w:tc>
        <w:tc>
          <w:tcPr>
            <w:tcW w:type="pct" w:w="85%"/>
            <w:tcBorders>
              <w:top w:val="single" w:color="CBD5E1" w:sz="4"/>
              <w:left w:val="none"/>
              <w:bottom w:val="single" w:color="CBD5E1" w:sz="4"/>
              <w:right w:val="none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20"/>
            </w:pPr>
            <w:r>
              <w:rPr>
                <w:rFonts w:ascii="Segoe UI" w:cs="Segoe UI" w:eastAsia="Segoe UI" w:hAnsi="Segoe UI"/>
                <w:b/>
                <w:bCs/>
                <w:color w:val="004682"/>
                <w:sz w:val="21"/>
                <w:szCs w:val="21"/>
              </w:rPr>
              <w:t xml:space="preserve">1-Click "Open Workbook" Cloud Access</w:t>
            </w:r>
          </w:p>
          <w:p>
            <w:pPr>
              <w:spacing w:after="20" w:before="0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Client clicks "Open Workbook" in the portal dashboard and is redirected directly to their live, authenticated Excel Online or Google Sheets document.</w:t>
            </w:r>
          </w:p>
        </w:tc>
      </w:tr>
    </w:tbl>
    <w:p>
      <w:pPr>
        <w:spacing w:after="150"/>
      </w:pP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color w:val="004682"/>
          <w:sz w:val="21"/>
          <w:szCs w:val="21"/>
        </w:rPr>
        <w:t xml:space="preserve">Does this connect with any other features or modules already in VNC Hub?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— Yes. It integrates with VNC Hub User Authentication, Multi-Tenant Organization Management, Role-Based Access Control (RBAC), Subscription &amp; Billing Engine, and Notification Services (Email/Slack/Teams).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color w:val="004682"/>
          <w:sz w:val="21"/>
          <w:szCs w:val="21"/>
        </w:rPr>
        <w:t xml:space="preserve">If that other module or feature is not ready yet, what should happen?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— The system is built with a resilient adapter architecture: it runs fully standalone with its own Express session auth, built-in subscription management, and multi-database support (Supabase, PostgreSQL, or in-memory MemoryDatabaseAdapter for isolated testing).</w:t>
      </w:r>
    </w:p>
    <w:p>
      <w:pPr>
        <w:pStyle w:val="Heading1"/>
        <w:spacing w:after="120" w:before="360"/>
      </w:pPr>
      <w:r>
        <w:rPr>
          <w:rFonts w:ascii="Segoe UI" w:cs="Segoe UI" w:eastAsia="Segoe UI" w:hAnsi="Segoe UI"/>
          <w:b/>
          <w:bCs/>
          <w:color w:val="004682"/>
          <w:sz w:val="28"/>
          <w:szCs w:val="28"/>
        </w:rPr>
        <w:t xml:space="preserve">3. What information it needs to store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color w:val="004682"/>
          <w:sz w:val="21"/>
          <w:szCs w:val="21"/>
        </w:rPr>
        <w:t xml:space="preserve">What information (fields) does it need to be captured?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— The database schema persists the following primary entities and fields: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rFonts w:ascii="Segoe UI" w:cs="Segoe UI" w:eastAsia="Segoe UI" w:hAnsi="Segoe UI"/>
          <w:color w:val="1E293B"/>
          <w:sz w:val="20"/>
          <w:szCs w:val="20"/>
        </w:rPr>
        <w:t xml:space="preserve">• clients: id, company_name, phone_number, timezone, status, subscription_status, current_version, last_sync_at, sync_status, sync_schedule_json, notifications_config_json, onboarding_status, created_at, updated_at.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rFonts w:ascii="Segoe UI" w:cs="Segoe UI" w:eastAsia="Segoe UI" w:hAnsi="Segoe UI"/>
          <w:color w:val="1E293B"/>
          <w:sz w:val="20"/>
          <w:szCs w:val="20"/>
        </w:rPr>
        <w:t xml:space="preserve">• users: id, client_id, full_name, email, phone_number, password_hash, role (ADMIN, MANAGER, VIEWER), platform_role (USER, SUPER_ADMIN), status, auth_provider.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rFonts w:ascii="Segoe UI" w:cs="Segoe UI" w:eastAsia="Segoe UI" w:hAnsi="Segoe UI"/>
          <w:color w:val="1E293B"/>
          <w:sz w:val="20"/>
          <w:szCs w:val="20"/>
        </w:rPr>
        <w:t xml:space="preserve">• plans &amp; subscriptions: plan_id, name, code (STARTER, PROFESSIONAL, ENTERPRISE), price, currency, billing_interval, features_json, limits_json, status, current_period_start/end.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rFonts w:ascii="Segoe UI" w:cs="Segoe UI" w:eastAsia="Segoe UI" w:hAnsi="Segoe UI"/>
          <w:color w:val="1E293B"/>
          <w:sz w:val="20"/>
          <w:szCs w:val="20"/>
        </w:rPr>
        <w:t xml:space="preserve">• cin7_connections: id, client_id, api_username_encrypted, api_key_encrypted, status, last_tested_at.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rFonts w:ascii="Segoe UI" w:cs="Segoe UI" w:eastAsia="Segoe UI" w:hAnsi="Segoe UI"/>
          <w:color w:val="1E293B"/>
          <w:sz w:val="20"/>
          <w:szCs w:val="20"/>
        </w:rPr>
        <w:t xml:space="preserve">• client_workbooks &amp; destination_files: id, client_id, workbook_path, current_version, file_name, cloud_provider, cloud_file_id, cloud_web_url.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rFonts w:ascii="Segoe UI" w:cs="Segoe UI" w:eastAsia="Segoe UI" w:hAnsi="Segoe UI"/>
          <w:color w:val="1E293B"/>
          <w:sz w:val="20"/>
          <w:szCs w:val="20"/>
        </w:rPr>
        <w:t xml:space="preserve">• sync_runs &amp; sync_logs: run_id, client_id, user_id, sync_type, status (RUNNING, COMPLETED, FAILED), records_processed, duration_ms, error_message, destination_provider, excel_version_id, logs with log_level and timestamps.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rFonts w:ascii="Segoe UI" w:cs="Segoe UI" w:eastAsia="Segoe UI" w:hAnsi="Segoe UI"/>
          <w:color w:val="1E293B"/>
          <w:sz w:val="20"/>
          <w:szCs w:val="20"/>
        </w:rPr>
        <w:t xml:space="preserve">• report_snapshots &amp; audit_logs: snapshot metadata, totals_json, audit actions, user_id, organization_id, result, details_json.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rFonts w:ascii="Segoe UI" w:cs="Segoe UI" w:eastAsia="Segoe UI" w:hAnsi="Segoe UI"/>
          <w:color w:val="1E293B"/>
          <w:sz w:val="20"/>
          <w:szCs w:val="20"/>
        </w:rPr>
        <w:t xml:space="preserve">• cin7_sales_orders &amp; lines: cin7_sale_id, order_number, invoice_number, order_date, invoice_date, customer, status, type, channel, rep, customer_tags, SKU, product_name, brand, category, family, unit, quantity, unit_price, total, average_cost.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rFonts w:ascii="Segoe UI" w:cs="Segoe UI" w:eastAsia="Segoe UI" w:hAnsi="Segoe UI"/>
          <w:color w:val="1E293B"/>
          <w:sz w:val="20"/>
          <w:szCs w:val="20"/>
        </w:rPr>
        <w:t xml:space="preserve">• cin7_inventory: location, SKU, product_name, unit, on_hand, allocated, on_order, in_transit, unit_cost, stock_on_hand, available.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rFonts w:ascii="Segoe UI" w:cs="Segoe UI" w:eastAsia="Segoe UI" w:hAnsi="Segoe UI"/>
          <w:color w:val="1E293B"/>
          <w:sz w:val="20"/>
          <w:szCs w:val="20"/>
        </w:rPr>
        <w:t xml:space="preserve">• cin7_purchase_orders: cin7_po_id, order_number, invoice_number, order_date, invoice_due_date, supplier, status, invoice_amount.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color w:val="004682"/>
          <w:sz w:val="21"/>
          <w:szCs w:val="21"/>
        </w:rPr>
        <w:t xml:space="preserve">For any dropdown or fixed-choice list — what are the options?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— Standardized choices include: Roles [ADMIN, MANAGER, VIEWER, SUPER_ADMIN], Subscription Status [TRIALING, ACTIVE, PAST_DUE, CANCELED, EXPIRED], Sync Types [all, sales, inventory, purchase_orders], Sync Status [IDLE, RUNNING, COMPLETED, FAILED], Reporting Platform [excel, google_sheets], Log Levels [INFO, WARN, ERROR]. Super Admins and Admins can configure schedules, notifications, and user assignments.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color w:val="004682"/>
          <w:sz w:val="21"/>
          <w:szCs w:val="21"/>
        </w:rPr>
        <w:t xml:space="preserve">Does it involve money, or any calculations?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— Yes: 1) Financial Metrics: Line item total = quantity × unit_price; Available stock = on_hand - allocated; Purchase order invoice commitments; Gross margin calculations. 2) SaaS Subscription Billing: Starter ($49/mo), Professional ($149/mo), Enterprise ($399/mo). 3) API Rate Limiter Formula: 54 requests / 60-second sliding bucket with exponential backoff delay = base_ms × (2 ^ attempt).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color w:val="004682"/>
          <w:sz w:val="21"/>
          <w:szCs w:val="21"/>
        </w:rPr>
        <w:t xml:space="preserve">Does it move through stages, like Draft → Approved?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— Yes, three lifecycles: 1) Onboarding: pending → configured → active; 2) Sync Execution: IDLE → RUNNING → COMPLETED (or FAILED with error trace); 3) Subscription: TRIALING → ACTIVE → PAST_DUE → EXPIRED / CANCELED (which restricts workbook access).</w:t>
      </w:r>
    </w:p>
    <w:p>
      <w:pPr>
        <w:pStyle w:val="Heading1"/>
        <w:spacing w:after="120" w:before="360"/>
      </w:pPr>
      <w:r>
        <w:rPr>
          <w:rFonts w:ascii="Segoe UI" w:cs="Segoe UI" w:eastAsia="Segoe UI" w:hAnsi="Segoe UI"/>
          <w:b/>
          <w:bCs/>
          <w:color w:val="004682"/>
          <w:sz w:val="28"/>
          <w:szCs w:val="28"/>
        </w:rPr>
        <w:t xml:space="preserve">4. How it should look and feel (UI/UX)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color w:val="004682"/>
          <w:sz w:val="21"/>
          <w:szCs w:val="21"/>
        </w:rPr>
        <w:t xml:space="preserve">On the main list screen, what matters most at a glance?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— 1) Top Header: VNC brand lockup, active organization pill, user avatar, and navigation (Sync, Reports, Settings, Admin). 2) Metric KPI Cards: Total Syncs, Average Duration, Records Processed, Cin7 Connection Status. 3) Action Center: Prominent "Sync All Data" button with animated loader, and "Open Workbook" cloud deep-link. 4) Recent Sync History Table: Timestamp, sync type badge, record count, execution time, status pill, and direct audit log link.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color w:val="004682"/>
          <w:sz w:val="21"/>
          <w:szCs w:val="21"/>
        </w:rPr>
        <w:t xml:space="preserve">When someone opens one record, what should they see and do?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— 1) Connection Modal: Test and save Cin7 API credentials. 2) Sync Audit Drawer: Real-time terminal log viewer showing exact step-by-step ETL execution. 3) Reconciliation Modal: Select and verify specific datasets. 4) Settings Hub: Configure daily sync schedule (02:00 AM), notification channels, team user roles, and subscription tier.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color w:val="004682"/>
          <w:sz w:val="21"/>
          <w:szCs w:val="21"/>
        </w:rPr>
        <w:t xml:space="preserve">Do you have anything we can look at already?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— Yes. A complete production-grade frontend is already built in the portal (index.html, styles.css, app.js) and is running live at http://192.168.0.202:2121/ featuring VNC brand styling (Inter typography, JetBrains Mono code fonts, VNC Navy #004682, Accent Blue #2f8fed, glassmorphism cards, responsive dark/light themes, and modal sheets).</w:t>
      </w:r>
    </w:p>
    <w:p>
      <w:pPr>
        <w:pStyle w:val="Heading1"/>
        <w:spacing w:after="120" w:before="360"/>
      </w:pPr>
      <w:r>
        <w:rPr>
          <w:rFonts w:ascii="Segoe UI" w:cs="Segoe UI" w:eastAsia="Segoe UI" w:hAnsi="Segoe UI"/>
          <w:b/>
          <w:bCs/>
          <w:color w:val="004682"/>
          <w:sz w:val="28"/>
          <w:szCs w:val="28"/>
        </w:rPr>
        <w:t xml:space="preserve">5. Does this need anything from outside? (External Integrations)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color w:val="004682"/>
          <w:sz w:val="21"/>
          <w:szCs w:val="21"/>
        </w:rPr>
        <w:t xml:space="preserve">Which outside system(s) are involved, and what do we need from each?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— 1) Cin7 Core ERP (REST API): Inbound sales, order line details, inventory availability, product catalog metadata, and purchase orders. 2) Microsoft 365 / OneDrive / Graph API: Outbound workbook creation, cell/worksheet updates, and Excel Online viewing. 3) Google Workspace (Drive &amp; Sheets API): Outbound Google Sheet creation, data writing, and Drive sharing permissions. 4) PostgreSQL / Supabase: Multi-tenant relational persistence with RLS.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color w:val="004682"/>
          <w:sz w:val="21"/>
          <w:szCs w:val="21"/>
        </w:rPr>
        <w:t xml:space="preserve">Does anything need to be sent back to that system?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— Cin7 Core is One-Way Read (ETL extraction). Cloud storage (Microsoft OneDrive / Google Drive) is Two-Way Orchestration (creating client folders, cloning master workbook templates, writing formatted data tables, and generating versioned snapshots).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color w:val="004682"/>
          <w:sz w:val="21"/>
          <w:szCs w:val="21"/>
        </w:rPr>
        <w:t xml:space="preserve">Who at VNC manages that system, and can grant us access?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— Cin7 API access: Client Account Administrator. Microsoft 365 / Azure AD: VNC Global IT / Azure Admin. Google Cloud Console: harshili.vnc@gmail.com / VNC IT Lead.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color w:val="004682"/>
          <w:sz w:val="21"/>
          <w:szCs w:val="21"/>
        </w:rPr>
        <w:t xml:space="preserve">Does any of this information need to stay within a specific country?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— Yes. The application satisfies data residency and sovereign compliance: all API credentials are encrypted with AES-256-GCM; database queries enforce tenant isolation via PostgreSQL RLS and session variables (app.current_client_id); and client data remains strictly within their designated cloud tenant.</w:t>
      </w:r>
    </w:p>
    <w:p>
      <w:pPr>
        <w:pStyle w:val="Heading1"/>
        <w:spacing w:after="120" w:before="360"/>
      </w:pPr>
      <w:r>
        <w:rPr>
          <w:rFonts w:ascii="Segoe UI" w:cs="Segoe UI" w:eastAsia="Segoe UI" w:hAnsi="Segoe UI"/>
          <w:b/>
          <w:bCs/>
          <w:color w:val="004682"/>
          <w:sz w:val="28"/>
          <w:szCs w:val="28"/>
        </w:rPr>
        <w:t xml:space="preserve">6. Is AI needed for this feature?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color w:val="004682"/>
          <w:sz w:val="21"/>
          <w:szCs w:val="21"/>
        </w:rPr>
        <w:t xml:space="preserve">Yes or No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— No for core ETL sync (uses deterministic financial rules); Planned for Phase 2 Financial Intelligence.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color w:val="004682"/>
          <w:sz w:val="21"/>
          <w:szCs w:val="21"/>
        </w:rPr>
        <w:t xml:space="preserve">What should the AI look at or read? (Phase 2)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— The AI will analyze freshly synced sales, inventory, and purchase order actuals against historical trends and budget baselines.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color w:val="004682"/>
          <w:sz w:val="21"/>
          <w:szCs w:val="21"/>
        </w:rPr>
        <w:t xml:space="preserve">What should it give back? (Phase 2)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— 1) Anomaly &amp; Variance Alerts: Flagging unusual margin drops, inventory stock-out risks, or sudden supplier price surges. 2) Executive Summary Commentary: A 3-bullet financial summary placed directly on the master dashboard.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color w:val="004682"/>
          <w:sz w:val="21"/>
          <w:szCs w:val="21"/>
        </w:rPr>
        <w:t xml:space="preserve">Should a person always review and approve its output before it is final?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— Yes. All AI commentary and anomaly alerts require Financial Controller review and approval before being finalized into client-facing reporting packs.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color w:val="004682"/>
          <w:sz w:val="21"/>
          <w:szCs w:val="21"/>
        </w:rPr>
        <w:t xml:space="preserve">Can you share 5–10 real examples you would judge yourself?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— Examples include validating: stock-out predictions on fast-moving SKUs, gross margin variance thresholds (&gt;5% fluctuation), and supplier lead-time delay warnings.</w:t>
      </w:r>
    </w:p>
    <w:p>
      <w:pPr>
        <w:pStyle w:val="Heading1"/>
        <w:spacing w:after="120" w:before="360"/>
      </w:pPr>
      <w:r>
        <w:rPr>
          <w:rFonts w:ascii="Segoe UI" w:cs="Segoe UI" w:eastAsia="Segoe UI" w:hAnsi="Segoe UI"/>
          <w:b/>
          <w:bCs/>
          <w:color w:val="004682"/>
          <w:sz w:val="28"/>
          <w:szCs w:val="28"/>
        </w:rPr>
        <w:t xml:space="preserve">7. What We Have Already Done &amp; Live Operational Deliverables</w:t>
      </w:r>
    </w:p>
    <w:p>
      <w:pPr>
        <w:spacing w:after="80" w:before="60"/>
      </w:pPr>
      <w:r>
        <w:rPr>
          <w:rFonts w:ascii="Segoe UI" w:cs="Segoe UI" w:eastAsia="Segoe UI" w:hAnsi="Segoe UI"/>
          <w:color w:val="1E293B"/>
          <w:sz w:val="21"/>
          <w:szCs w:val="21"/>
        </w:rPr>
        <w:t xml:space="preserve">The VNC Cin7 Sync Portal is live and operational at http://192.168.0.202:2121/. The following table summarizes all completed deliverables and active features: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CBD5E1" w:sz="4"/>
              <w:left w:val="none"/>
              <w:bottom w:val="single" w:color="004682" w:sz="8"/>
              <w:right w:val="none"/>
            </w:tcBorders>
            <w:shd w:fill="004682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Component &amp; URL</w:t>
            </w:r>
          </w:p>
        </w:tc>
        <w:tc>
          <w:tcPr>
            <w:tcW w:type="pct" w:w="23%"/>
            <w:tcBorders>
              <w:top w:val="single" w:color="CBD5E1" w:sz="4"/>
              <w:left w:val="none"/>
              <w:bottom w:val="single" w:color="004682" w:sz="8"/>
              <w:right w:val="none"/>
            </w:tcBorders>
            <w:shd w:fill="004682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Source Location</w:t>
            </w:r>
          </w:p>
        </w:tc>
        <w:tc>
          <w:tcPr>
            <w:tcW w:type="pct" w:w="55%"/>
            <w:tcBorders>
              <w:top w:val="single" w:color="CBD5E1" w:sz="4"/>
              <w:left w:val="none"/>
              <w:bottom w:val="single" w:color="004682" w:sz="8"/>
              <w:right w:val="none"/>
            </w:tcBorders>
            <w:shd w:fill="004682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Completed Capabilities (Active at http://192.168.0.202:2121/)</w:t>
            </w:r>
          </w:p>
        </w:tc>
      </w:tr>
      <w:tr>
        <w:tc>
          <w:tcPr>
            <w:tcW w:type="pct" w:w="22%"/>
            <w:tcBorders>
              <w:top w:val="single" w:color="CBD5E1" w:sz="4"/>
              <w:left w:val="none"/>
              <w:bottom w:val="single" w:color="CBD5E1" w:sz="4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19"/>
                <w:szCs w:val="19"/>
              </w:rPr>
              <w:t xml:space="preserve">Live Portal Instance</w:t>
            </w:r>
          </w:p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http://192.168.0.202:2121/</w:t>
            </w:r>
          </w:p>
        </w:tc>
        <w:tc>
          <w:tcPr>
            <w:tcW w:type="pct" w:w="23%"/>
            <w:tcBorders>
              <w:top w:val="single" w:color="CBD5E1" w:sz="4"/>
              <w:left w:val="none"/>
              <w:bottom w:val="single" w:color="CBD5E1" w:sz="4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cin7-sync-portal/</w:t>
            </w:r>
          </w:p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.env (PORT=2121)</w:t>
            </w:r>
          </w:p>
        </w:tc>
        <w:tc>
          <w:tcPr>
            <w:tcW w:type="pct" w:w="55%"/>
            <w:tcBorders>
              <w:top w:val="single" w:color="CBD5E1" w:sz="4"/>
              <w:left w:val="none"/>
              <w:bottom w:val="single" w:color="CBD5E1" w:sz="4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Active Express server running on port 2121, accessible across the local network with physical LAN IP binding.</w:t>
            </w:r>
          </w:p>
        </w:tc>
      </w:tr>
      <w:tr>
        <w:tc>
          <w:tcPr>
            <w:tcW w:type="pct" w:w="22%"/>
            <w:tcBorders>
              <w:top w:val="single" w:color="CBD5E1" w:sz="4"/>
              <w:left w:val="none"/>
              <w:bottom w:val="single" w:color="CBD5E1" w:sz="4"/>
              <w:right w:val="none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19"/>
                <w:szCs w:val="19"/>
              </w:rPr>
              <w:t xml:space="preserve">Multi-Tenant DB &amp; Supabase</w:t>
            </w:r>
          </w:p>
        </w:tc>
        <w:tc>
          <w:tcPr>
            <w:tcW w:type="pct" w:w="23%"/>
            <w:tcBorders>
              <w:top w:val="single" w:color="CBD5E1" w:sz="4"/>
              <w:left w:val="none"/>
              <w:bottom w:val="single" w:color="CBD5E1" w:sz="4"/>
              <w:right w:val="none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src/db/schema.sql</w:t>
            </w:r>
          </w:p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src/db/index.js</w:t>
            </w:r>
          </w:p>
        </w:tc>
        <w:tc>
          <w:tcPr>
            <w:tcW w:type="pct" w:w="55%"/>
            <w:tcBorders>
              <w:top w:val="single" w:color="CBD5E1" w:sz="4"/>
              <w:left w:val="none"/>
              <w:bottom w:val="single" w:color="CBD5E1" w:sz="4"/>
              <w:right w:val="none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Connected to AWS Supabase PostgreSQL cluster (aws-0-ap-southeast-1.pooler.supabase.com). 14 relational tables with Row Level Security (RLS) and session isolation.</w:t>
            </w:r>
          </w:p>
        </w:tc>
      </w:tr>
      <w:tr>
        <w:tc>
          <w:tcPr>
            <w:tcW w:type="pct" w:w="22%"/>
            <w:tcBorders>
              <w:top w:val="single" w:color="CBD5E1" w:sz="4"/>
              <w:left w:val="none"/>
              <w:bottom w:val="single" w:color="CBD5E1" w:sz="4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19"/>
                <w:szCs w:val="19"/>
              </w:rPr>
              <w:t xml:space="preserve">Cin7 Core ETL Engine</w:t>
            </w:r>
          </w:p>
        </w:tc>
        <w:tc>
          <w:tcPr>
            <w:tcW w:type="pct" w:w="23%"/>
            <w:tcBorders>
              <w:top w:val="single" w:color="CBD5E1" w:sz="4"/>
              <w:left w:val="none"/>
              <w:bottom w:val="single" w:color="CBD5E1" w:sz="4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src/services/cin7Engine.js</w:t>
            </w:r>
          </w:p>
        </w:tc>
        <w:tc>
          <w:tcPr>
            <w:tcW w:type="pct" w:w="55%"/>
            <w:tcBorders>
              <w:top w:val="single" w:color="CBD5E1" w:sz="4"/>
              <w:left w:val="none"/>
              <w:bottom w:val="single" w:color="CBD5E1" w:sz="4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Complete ETL pipeline connecting to inventory.dearsystems.com/externalapi/v2. Rate-limited (54 req/min) with retry, line item product enrichment, and order caching.</w:t>
            </w:r>
          </w:p>
        </w:tc>
      </w:tr>
      <w:tr>
        <w:tc>
          <w:tcPr>
            <w:tcW w:type="pct" w:w="22%"/>
            <w:tcBorders>
              <w:top w:val="single" w:color="CBD5E1" w:sz="4"/>
              <w:left w:val="none"/>
              <w:bottom w:val="single" w:color="CBD5E1" w:sz="4"/>
              <w:right w:val="none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19"/>
                <w:szCs w:val="19"/>
              </w:rPr>
              <w:t xml:space="preserve">Google Cloud &amp; Sheets Adapter</w:t>
            </w:r>
          </w:p>
        </w:tc>
        <w:tc>
          <w:tcPr>
            <w:tcW w:type="pct" w:w="23%"/>
            <w:tcBorders>
              <w:top w:val="single" w:color="CBD5E1" w:sz="4"/>
              <w:left w:val="none"/>
              <w:bottom w:val="single" w:color="CBD5E1" w:sz="4"/>
              <w:right w:val="none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src/services/googleSheetsAdapter.js</w:t>
            </w:r>
          </w:p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cin7-sheets/</w:t>
            </w:r>
          </w:p>
        </w:tc>
        <w:tc>
          <w:tcPr>
            <w:tcW w:type="pct" w:w="55%"/>
            <w:tcBorders>
              <w:top w:val="single" w:color="CBD5E1" w:sz="4"/>
              <w:left w:val="none"/>
              <w:bottom w:val="single" w:color="CBD5E1" w:sz="4"/>
              <w:right w:val="none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Google Drive &amp; Sheets API integration with Google Master Template (1Qnx6RdCgI7krHtZru10J6r11ZpIkubCSR1jzUbs5G9Q).</w:t>
            </w:r>
          </w:p>
        </w:tc>
      </w:tr>
      <w:tr>
        <w:tc>
          <w:tcPr>
            <w:tcW w:type="pct" w:w="22%"/>
            <w:tcBorders>
              <w:top w:val="single" w:color="CBD5E1" w:sz="4"/>
              <w:left w:val="none"/>
              <w:bottom w:val="single" w:color="CBD5E1" w:sz="4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19"/>
                <w:szCs w:val="19"/>
              </w:rPr>
              <w:t xml:space="preserve">Microsoft Excel Adapter</w:t>
            </w:r>
          </w:p>
        </w:tc>
        <w:tc>
          <w:tcPr>
            <w:tcW w:type="pct" w:w="23%"/>
            <w:tcBorders>
              <w:top w:val="single" w:color="CBD5E1" w:sz="4"/>
              <w:left w:val="none"/>
              <w:bottom w:val="single" w:color="CBD5E1" w:sz="4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src/services/microsoftExcelAdapter.js</w:t>
            </w:r>
          </w:p>
        </w:tc>
        <w:tc>
          <w:tcPr>
            <w:tcW w:type="pct" w:w="55%"/>
            <w:tcBorders>
              <w:top w:val="single" w:color="CBD5E1" w:sz="4"/>
              <w:left w:val="none"/>
              <w:bottom w:val="single" w:color="CBD5E1" w:sz="4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ExcelJS &amp; Microsoft Graph API adapter writing formatted canonical worksheets with KPI summary banners, currency formatting, and zebra striping.</w:t>
            </w:r>
          </w:p>
        </w:tc>
      </w:tr>
      <w:tr>
        <w:tc>
          <w:tcPr>
            <w:tcW w:type="pct" w:w="22%"/>
            <w:tcBorders>
              <w:top w:val="single" w:color="CBD5E1" w:sz="4"/>
              <w:left w:val="none"/>
              <w:bottom w:val="single" w:color="CBD5E1" w:sz="4"/>
              <w:right w:val="none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19"/>
                <w:szCs w:val="19"/>
              </w:rPr>
              <w:t xml:space="preserve">Security &amp; AES-256-GCM</w:t>
            </w:r>
          </w:p>
        </w:tc>
        <w:tc>
          <w:tcPr>
            <w:tcW w:type="pct" w:w="23%"/>
            <w:tcBorders>
              <w:top w:val="single" w:color="CBD5E1" w:sz="4"/>
              <w:left w:val="none"/>
              <w:bottom w:val="single" w:color="CBD5E1" w:sz="4"/>
              <w:right w:val="none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src/services/cryptoService.js</w:t>
            </w:r>
          </w:p>
        </w:tc>
        <w:tc>
          <w:tcPr>
            <w:tcW w:type="pct" w:w="55%"/>
            <w:tcBorders>
              <w:top w:val="single" w:color="CBD5E1" w:sz="4"/>
              <w:left w:val="none"/>
              <w:bottom w:val="single" w:color="CBD5E1" w:sz="4"/>
              <w:right w:val="none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Hardware-accelerated AES-256-GCM encryption for stored API keys. Client credentials never logged or sent to frontend.</w:t>
            </w:r>
          </w:p>
        </w:tc>
      </w:tr>
      <w:tr>
        <w:tc>
          <w:tcPr>
            <w:tcW w:type="pct" w:w="22%"/>
            <w:tcBorders>
              <w:top w:val="single" w:color="CBD5E1" w:sz="4"/>
              <w:left w:val="none"/>
              <w:bottom w:val="single" w:color="CBD5E1" w:sz="4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19"/>
                <w:szCs w:val="19"/>
              </w:rPr>
              <w:t xml:space="preserve">12 REST Route Modules</w:t>
            </w:r>
          </w:p>
        </w:tc>
        <w:tc>
          <w:tcPr>
            <w:tcW w:type="pct" w:w="23%"/>
            <w:tcBorders>
              <w:top w:val="single" w:color="CBD5E1" w:sz="4"/>
              <w:left w:val="none"/>
              <w:bottom w:val="single" w:color="CBD5E1" w:sz="4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src/routes/*.js</w:t>
            </w:r>
          </w:p>
        </w:tc>
        <w:tc>
          <w:tcPr>
            <w:tcW w:type="pct" w:w="55%"/>
            <w:tcBorders>
              <w:top w:val="single" w:color="CBD5E1" w:sz="4"/>
              <w:left w:val="none"/>
              <w:bottom w:val="single" w:color="CBD5E1" w:sz="4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Full suite of API routes handling Auth, Connections, Sync runs, Reports, Destinations, Teams, Settings, Billing, and Super Admin.</w:t>
            </w:r>
          </w:p>
        </w:tc>
      </w:tr>
      <w:tr>
        <w:tc>
          <w:tcPr>
            <w:tcW w:type="pct" w:w="22%"/>
            <w:tcBorders>
              <w:top w:val="single" w:color="CBD5E1" w:sz="4"/>
              <w:left w:val="none"/>
              <w:bottom w:val="single" w:color="CBD5E1" w:sz="4"/>
              <w:right w:val="none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19"/>
                <w:szCs w:val="19"/>
              </w:rPr>
              <w:t xml:space="preserve">10 Frontend Views &amp; UI</w:t>
            </w:r>
          </w:p>
        </w:tc>
        <w:tc>
          <w:tcPr>
            <w:tcW w:type="pct" w:w="23%"/>
            <w:tcBorders>
              <w:top w:val="single" w:color="CBD5E1" w:sz="4"/>
              <w:left w:val="none"/>
              <w:bottom w:val="single" w:color="CBD5E1" w:sz="4"/>
              <w:right w:val="none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public/index.html</w:t>
            </w:r>
          </w:p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public/app.js</w:t>
            </w:r>
          </w:p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public/styles.css</w:t>
            </w:r>
          </w:p>
        </w:tc>
        <w:tc>
          <w:tcPr>
            <w:tcW w:type="pct" w:w="55%"/>
            <w:tcBorders>
              <w:top w:val="single" w:color="CBD5E1" w:sz="4"/>
              <w:left w:val="none"/>
              <w:bottom w:val="single" w:color="CBD5E1" w:sz="4"/>
              <w:right w:val="none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Production UI: Split Hero Auth, Client Switcher, Onboarding Wizard, Sync Dashboard, Terminal Log Viewer, Reconcile Selector, Settings.</w:t>
            </w:r>
          </w:p>
        </w:tc>
      </w:tr>
      <w:tr>
        <w:tc>
          <w:tcPr>
            <w:tcW w:type="pct" w:w="22%"/>
            <w:tcBorders>
              <w:top w:val="single" w:color="CBD5E1" w:sz="4"/>
              <w:left w:val="none"/>
              <w:bottom w:val="single" w:color="CBD5E1" w:sz="4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19"/>
                <w:szCs w:val="19"/>
              </w:rPr>
              <w:t xml:space="preserve">Master Financial Model</w:t>
            </w:r>
          </w:p>
        </w:tc>
        <w:tc>
          <w:tcPr>
            <w:tcW w:type="pct" w:w="23%"/>
            <w:tcBorders>
              <w:top w:val="single" w:color="CBD5E1" w:sz="4"/>
              <w:left w:val="none"/>
              <w:bottom w:val="single" w:color="CBD5E1" w:sz="4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cin7-sync-addin/</w:t>
            </w:r>
          </w:p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Controller_Reporting_Model_v5</w:t>
            </w:r>
          </w:p>
        </w:tc>
        <w:tc>
          <w:tcPr>
            <w:tcW w:type="pct" w:w="55%"/>
            <w:tcBorders>
              <w:top w:val="single" w:color="CBD5E1" w:sz="4"/>
              <w:left w:val="none"/>
              <w:bottom w:val="single" w:color="CBD5E1" w:sz="4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17-worksheet Master Financial Reporting Model pre-configured for automated population with Cin7 actuals.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2026-09-15T08:46:34.803Z</dcterms:created>
  <dcterms:modified xsi:type="dcterms:W3CDTF">2026-09-15T08:46:34.804Z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