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4682"/>
          <w:sz w:val="56"/>
          <w:szCs w:val="56"/>
        </w:rPr>
        <w:t xml:space="preserve">VNC Cin7 Sync Portal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f8fed"/>
          <w:sz w:val="30"/>
          <w:szCs w:val="30"/>
        </w:rPr>
        <w:t xml:space="preserve">What It Is, What It Does, and How It Works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312f77"/>
          <w:sz w:val="22"/>
          <w:szCs w:val="22"/>
        </w:rPr>
        <w:t xml:space="preserve">Multi-Tenant SaaS Portal — Cin7 Core ERP to Excel / Google Sheets Sync Engine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 VNC Global Group</w:t>
      </w:r>
    </w:p>
    <w:p>
      <w:r>
        <w:br/>
        <w:t xml:space="preserve"/>
      </w:r>
    </w:p>
    <w:p>
      <w:pPr>
        <w:pageBreakBefore/>
      </w:pPr>
    </w:p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VNC Cin7 Sync Portal (project folder: cin7-sync-portal) is a browser-based, multi-tenant SaaS application. It lets a client connect their Cin7 Core ERP account once, then automatically synchronizes their Sales Orders, Inventory On Hand, and Purchase Orders data into either Microsoft Excel Online (OneDrive) or Google Sheets — with no Excel add-in required.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description as stated in the project’s own README.md and ARCHITECTURE.md files.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Who it is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Finance / controller teams who need Cin7 ERP data reflected in a live reporting workbook without manual exports.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Multiple client organizations ("tenants") using the same hosted portal, each with fully isolated data and credentials.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Core capabilities (from README.md)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Browser-based experience — no Excel add-in installation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&amp; Google Single Sign-On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First-time Cin7 setup modal with live "Test Connection"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Server-side AES-256-GCM encrypted credential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 multi-tenant data isolation between client organizations.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Cin7 Core integration engine: Sales, Stock, and Purchase Orders endpoints; rate-limited request queue (60 req/min); paginated batch fetch; exponential backoff retry on HTTP 429 / 5xx; incremental "updated since"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Destination adapters for Microsoft Excel Online and Google Sheets, writing into 4 canonical formatted 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Sync audit history page and connection settings page with status badges.</w:t>
      </w:r>
    </w:p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2. End-to-End Flow (Flowchart)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diagram below shows the path data takes from a client’s browser through the portal, into Cin7, and out to the destination spreadsheet.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00468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Client logs in via Microsoft / Google SSO (browser)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312f7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Express.js session established — client_id resolved server-side from session only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  client selects / confirms workspace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f8f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Client configures Cin7 credentials (Account ID + API Key) — encrypted with AES-256-GCM before storage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  user clicks "Sync"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7a4ea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Sync Engine (cin7Engine.js) requests data from Cin7 Core REST API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8f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 (saleList + sale detail, paginated &amp; enriched)</w:t>
            </w:r>
          </w:p>
        </w:tc>
        <w:tc>
          <w:tcPr>
            <w:tcW w:type="dxa" w:w="3000"/>
            <w:shd w:fill="312f7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Inventory (productavailability)</w:t>
            </w:r>
          </w:p>
        </w:tc>
        <w:tc>
          <w:tcPr>
            <w:tcW w:type="dxa" w:w="3000"/>
            <w:shd w:fill="7a4ea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Purchase Orders (purchaseList)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  rate-limited (~54 req/min), retried with backoff on 429/5xx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00468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Data cached &amp; upserted into tenant-scoped Postgres/Supabase tables (queryWithTenant enforces client_id isolation)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f8f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Destination Adapter formats data into 4 canonical sheets (zebra striping, currency format, KPI cards, status badges)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12f7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Microsoft Excel Online (via Graph API)</w:t>
            </w:r>
          </w:p>
        </w:tc>
        <w:tc>
          <w:tcPr>
            <w:tcW w:type="dxa" w:w="4500"/>
            <w:shd w:fill="7a4ea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Google Sheets (via Sheets/Drive API)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312f77"/>
          <w:sz w:val="24"/>
          <w:szCs w:val="24"/>
        </w:rPr>
        <w:t xml:space="preserve">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1903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7. Sync run recorded in sync_runs / sync_logs — visible on Sync Audit History page</w:t>
            </w:r>
          </w:p>
        </w:tc>
      </w:tr>
    </w:tbl>
    <w:p>
      <w:pPr>
        <w:spacing w:before="200"/>
      </w:pPr>
    </w:p>
    <w:p>
      <w:pPr>
        <w:pBdr>
          <w:left w:val="single" w:color="f19031" w:sz="18" w:space="6"/>
        </w:pBdr>
        <w:shd w:fill="FFF6EC" w:val="clear"/>
        <w:spacing w:after="160"/>
        <w:ind w:left="12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This flow is derived directly from ARCHITECTURE.md, README.md, and the sync engine source (src/services/cin7Engine.js). It reflects the current codebase, not a claim about the live Cin7 platform’s own internals.</w:t>
      </w:r>
    </w:p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3. System Architecture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High-level component diagram, as documented in ARCHITECTURE.md: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Client Browser  →  Node.js/Express REST API  →  [ Multi-Tenant DB (Postgres/Supabase) | AES-256 Crypto | Cin7 Engine | Destination Adapters ]  →  Cin7 ERP REST Gateway  &amp;  Microsoft Graph / Google Sheets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Key architectural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Destination Adapter Pattern — an abstract DestinationAdapter interface with MicrosoftExcelAdapter and GoogleSheetsAdapter implementations, so new destinations can be added without touching the sync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Adapter-selected database layer (src/db/index.js) — automatically picks SupabaseDatabaseAdapter, PostgresDatabaseAdapter, or an in-memory MemoryDatabaseAdapter (local dev only) based on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Tenant isolation enforced at the query layer — Cin7 data-table queries go through queryWithTenant(), which opens a transaction, sets a Postgres session variable (SET LOCAL app.current_client_id) scoped to that request, then commits or rolls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client_id is resolved strictly from the authenticated server-side session; client-supplied tenant IDs are rejected (per ARCHITECTURE.md security section).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Route layer (src/routes/)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file</w:t>
            </w:r>
          </w:p>
        </w:tc>
        <w:tc>
          <w:tcPr>
            <w:tcW w:type="dxa" w:w="58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authRoutes.js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Login/SSO, session, client selection &amp; switching, onboarding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cin7Routes.js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 connection setup, test-connection, triggering syncs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syncRoutes.js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Sync run orchestration and progress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reportRoutes.js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 snapshots / data views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destinationRoutes.js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Excel/Google Sheets destination file management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integrationRoutes.js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Microsoft/Google OAuth integration endpoints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organizationRoutes.js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Tenant/organization management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teamRoutes.js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 &amp; team management within a tenant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billingRoutes.js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Subscription/billing endpoints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settingRoutes.js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settings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adminRoutes.js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Platform-level admin (SUPER_ADMIN) operations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editorRoutes.js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Workbook/report editor endpoints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Service layer (src/services/)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 file</w:t>
            </w:r>
          </w:p>
        </w:tc>
        <w:tc>
          <w:tcPr>
            <w:tcW w:type="dxa" w:w="54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cin7Engine.js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 API client, pacing/retry, sales/inventory/PO fetch &amp; DB upsert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clientStorageService.js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Per-tenant file storage paths; clientId validation (allow-list regex)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cryptoService.js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AES-256-GCM encrypt/decrypt for stored credentials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googleSheetsAdapter.js / microsoftExcelAdapter.js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Destination adapter implementations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microsoftGraphService.js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 Graph API calls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lockService.js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Per-client sync locking to prevent concurrent runs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snapshotService.js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 snapshot generation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subscriptionService.js / billingProviderService.js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 &amp; subscription lifecycle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ssrfProtectionService.js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Outbound request URL validation (SSRF defense)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auditService.js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 log writes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editorService.js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Workbook/report editing support</w:t>
            </w:r>
          </w:p>
        </w:tc>
      </w:tr>
    </w:tbl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4. Technology Stack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Taken directly from package.json (name: cin7-sync-portal, description: "VNC Cin7 Sync Engine - Multi-Tenant Browser-Based SaaS Portal").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6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Runtime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Node.js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Express 4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Sessions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express-session (+ connect-pg-simple for Postgres-backed sessions)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Database driver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pg (node-postgres)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Managed DB / Auth (production)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@supabase/supabase-js — Supabase project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Local dev fallback DB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sqlite3 / in-memory JSON store (MemoryDatabaseAdapter) — not for production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axios (Cin7 API calls)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Spreadsheet generation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exceljs (Excel), googleapis (Google Sheets/Drive)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 tokens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jsonwebtoken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cors (configured via ALLOWED_ORIGINS env var)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Cookies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cookie-parser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Encryption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Node crypto (AES-256-GCM) via cryptoService.js</w:t>
            </w:r>
          </w:p>
        </w:tc>
      </w:tr>
    </w:tbl>
    <w:p>
      <w:pPr>
        <w:spacing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npm scripts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0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npm start / npm run dev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node src/server.js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npm run init-db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node src/db/initDb.js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npm test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node test/test_portal.js</w:t>
            </w:r>
          </w:p>
        </w:tc>
      </w:tr>
    </w:tbl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5. Security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AES-256-GCM encryption at rest for all Cin7 API credentials and OAuth tokens; master key supplied via ENCRYPTION_KEY env var; credentials never logged or exposed to frontend payloads.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Strict multi-tenant scoping — client_id resolved only from the authenticated server-side session; every Cin7 data-table query is scoped with WHERE client_id = ? and, as of the latest update, wrapped in queryWithTenant() which also sets a Postgres-level app.current_client_id session variable per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HTTP-only, SameSite=Strict session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clientId values are validated against an allow-list regex (^[a-zA-Z0-9_-]{1,64}$) before use in any storage path or query, preventing path traversal / injection via tenant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CORS origins are explicitly controlled via the ALLOWED_ORIGINS environment variable rather than left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SUPER_ADMIN vs. regular user role separation — only SUPER_ADMIN can switch into any tenant; regular users must have an active membership record in the target tenant.</w:t>
      </w:r>
    </w:p>
    <w:p>
      <w:pPr>
        <w:pBdr>
          <w:left w:val="single" w:color="f19031" w:sz="18" w:space="6"/>
        </w:pBdr>
        <w:shd w:fill="FFF6EC" w:val="clear"/>
        <w:spacing w:after="160"/>
        <w:ind w:left="12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Security details above are drawn from ARCHITECTURE.md and the source files directly reviewed (src/db/index.js, src/services/clientStorageService.js, src/routes/authRoutes.js, src/middleware/tenantMiddleware.js). This is a description of code as written, not an independent penetration-test finding.</w:t>
      </w:r>
    </w:p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6. Database Schema (Key Tables)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Primary tenant organization record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 identity bound to a tenant (client_id) and role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oauth_accounts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 / Google OAuth token metadata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cin7_connections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Encrypted Cin7 API credentials per tenant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cin7_order_cache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Cached raw Cin7 sale detail JSON per order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cin7_sales_orders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Upserted sales order header records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cin7_order_lines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Upserted sales order line items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cin7_inventory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Current inventory snapshot per location/SKU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cin7_purchase_orders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Upserted purchase order records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destination_files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Tracked Excel/Google Sheets file IDs (prevents duplicate file creation)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sync_runs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 record per sync execution: status, duration, record count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sync_logs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Detailed execution trace per sync run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plans / subscriptions / billing_events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Subscription plan catalog and lifecycle events</w:t>
            </w:r>
          </w:p>
        </w:tc>
      </w:tr>
    </w:tbl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7. Cost Model — Subscription Plan Tiers</w:t>
      </w:r>
    </w:p>
    <w:p>
      <w:pPr>
        <w:pBdr>
          <w:left w:val="single" w:color="f19031" w:sz="18" w:space="6"/>
        </w:pBdr>
        <w:shd w:fill="FFF6EC" w:val="clear"/>
        <w:spacing w:after="160"/>
        <w:ind w:left="12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These figures come from the seed data hard-coded in src/db/index.js (seedDefaultPlans()) — i.e. the plan catalog the application ships with by default. I do not have a verified source confirming these are the current, live prices being charged to real customers; please verify against your actual billing/Stripe configuration before quoting them externally.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(seed default)</w:t>
            </w:r>
          </w:p>
        </w:tc>
        <w:tc>
          <w:tcPr>
            <w:tcW w:type="dxa" w:w="42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limits (seed default)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approximately $49.00 / month USD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user, 30 syncs/month, 1 Cin7 connection, 1 Google Sheet, 5 GB storage, 30-day report history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approximately $149.00 / month USD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users, 500 syncs/month, 5 Cin7 connections, 5 Google Sheets, 25 GB storage, 365-day report history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approximately $399.00 / month USD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 users, 5000 syncs/month, up to 999 Cin7 connections/Sheets, 100 GB storage, 3650-day report history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Feature gating by plan (from features_json in the seed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Starter: Cin7 sync, Google Sheets, sales reports, inventory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Professional: adds purchase reports, advanced reports, report history, reconciliation, scheduled sync, multiple users, advanced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Enterprise: adds API access and priority support on top of all Professional features.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Infrastructure cost drivers (not figures — categories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Supabase / Postgres hosting (production database).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Graph API and Google Workspace API usage (both are third-party services with their own quota/pricing that this codebase does not control).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Cin7 Core API usage is rate-limited by Cin7 at 60 requests/minute regardless of plan — this is a technical constraint, not a cost line item.</w:t>
      </w:r>
    </w:p>
    <w:p>
      <w:pPr>
        <w:pBdr>
          <w:left w:val="single" w:color="f19031" w:sz="18" w:space="6"/>
        </w:pBdr>
        <w:shd w:fill="FFF6EC" w:val="clear"/>
        <w:spacing w:after="160"/>
        <w:ind w:left="12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I do not have a verified source for Microsoft Graph, Google Sheets API, Supabase, or Cin7’s own pricing — these depend on your organization’s actual account tiers and should be confirmed directly with each provider or your billing owner.</w:t>
      </w:r>
    </w:p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8. Setup &amp; Local Run Instructions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From README.md: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1. cd cin7-sync-portal &amp;&amp; 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 Copy .env.example to .env — ensure ENCRYPTION_KEY, SESSION_SECRET, and (new) ALLOWED_ORIGINS are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 npm test — runs the automated integration test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 npm run dev — starts the local server (default: http://localhost:8080).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f8fed"/>
          <w:sz w:val="22"/>
          <w:szCs w:val="22"/>
        </w:rPr>
        <w:t xml:space="preserve">Key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00"/>
            <w:shd w:fill="0046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APP_URL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 URL of the deployed app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Comma-separated list of additional allowed CORS origins beyond localhost defaults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SUPABASE_URL / SUPABASE_SERVICE_ROLE_KEY / SUPABASE_DB_URL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Production Supabase connection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Self-hosted Postgres connection (alternative to Supabase)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ENCRYPTION_KEY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32-byte hex key for AES-256-GCM credential encryption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Session signing secret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MICROSOFT_CLIENT_ID / SECRET / REDIRECT_URI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 OAuth &amp; Graph API config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GOOGLE_CLIENT_ID / SECRET / REDIRECT_URI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Google OAuth &amp; Sheets/Drive API config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CIN7_BASE_URL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Cin7 Core ERP API base URL</w:t>
            </w:r>
          </w:p>
        </w:tc>
      </w:tr>
    </w:tbl>
    <w:p>
      <w:pPr>
        <w:pStyle w:val="Heading1"/>
        <w:pBdr>
          <w:bottom w:val="single" w:color="004682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4682"/>
          <w:sz w:val="32"/>
          <w:szCs w:val="32"/>
        </w:rPr>
        <w:t xml:space="preserve">9. Recent Hardening Changes (this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queryWithTenant() to both PostgresDatabaseAdapter and SupabaseDatabaseAdapter (src/db/index.js) — wraps Cin7 data-table queries in a transaction with a Postgres session-scoped app.current_client_id variable, adding a second layer of tenant isolation beyond the WHERE client_id = ?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Migrated all Cin7 data-table calls in src/services/cin7Engine.js (cin7_order_cache, cin7_sales_orders, cin7_order_lines, cin7_inventory, cin7_purchase_orders) to use queryWithTenant().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Removed a duplicate, less-strict POST /select-client route handler in src/routes/authRoutes.js that lacked a membership check; consolidated on the single handler (shared with /switch-client) that verifies DB membership for regular users and allows SUPER_ADMIN to switch freely.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ALLOWED_ORIGINS to .env.example to document the CORS configuration variable.</w:t>
      </w:r>
    </w:p>
    <w:p>
      <w:pPr>
        <w:spacing w:before="300"/>
      </w:pPr>
    </w:p>
    <w:p>
      <w:pPr>
        <w:pBdr>
          <w:left w:val="single" w:color="f19031" w:sz="18" w:space="6"/>
        </w:pBdr>
        <w:shd w:fill="FFF6EC" w:val="clear"/>
        <w:spacing w:after="160"/>
        <w:ind w:left="12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This document describes the codebase as found in this project directory at the time of writing. It is not a substitute for reviewing the live source, the actual deployed .env configuration, or your billing provider dashboard for current, authoritative figures.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222222"/>
        <w:sz w:val="16"/>
        <w:szCs w:val="16"/>
      </w:rPr>
      <w:t xml:space="preserve">Page </w:t>
    </w:r>
    <w:r>
      <w:rPr>
        <w:rFonts w:ascii="Calibri" w:cs="Calibri" w:eastAsia="Calibri" w:hAnsi="Calibri"/>
        <w:color w:val="22222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004682"/>
        <w:sz w:val="16"/>
        <w:szCs w:val="16"/>
      </w:rPr>
      <w:t xml:space="preserve">VNC Cin7 Sync Portal — Technical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2026-09-14T09:00:02.796Z</dcterms:created>
  <dcterms:modified xsi:type="dcterms:W3CDTF">2026-09-14T09:00:02.796Z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